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iberation Sans" w:hAnsi="Liberation Sans"/>
          <w:b/>
          <w:color w:val="1F4E79"/>
          <w:sz w:val="46"/>
          <w:lang w:val="en-US" w:eastAsia="en-US"/>
        </w:rPr>
        <w:t>Employee and Recreational Benefits Policy</w:t>
      </w:r>
    </w:p>
    <w:p>
      <w:pPr>
        <w:pStyle w:val="Subtitle"/>
      </w:pPr>
      <w:r>
        <w:rPr>
          <w:rFonts w:ascii="Liberation Sans" w:hAnsi="Liberation Sans"/>
          <w:b w:val="0"/>
          <w:color w:val="2F7D8C"/>
          <w:sz w:val="23"/>
          <w:lang w:val="en-US" w:eastAsia="en-US"/>
        </w:rPr>
        <w:t>Eligibility and reimbursement conditions for holiday, training, and wellbeing benefits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B9D9D5"/>
          <w:left w:val="single" w:sz="7" w:space="0" w:color="B9D9D5"/>
          <w:bottom w:val="single" w:sz="7" w:space="0" w:color="B9D9D5"/>
          <w:right w:val="single" w:sz="7" w:space="0" w:color="B9D9D5"/>
          <w:insideH w:val="single" w:sz="7" w:space="0" w:color="B9D9D5"/>
          <w:insideV w:val="single" w:sz="7" w:space="0" w:color="B9D9D5"/>
        </w:tblBorders>
      </w:tblPr>
      <w:tblGrid>
        <w:gridCol w:w="9648"/>
      </w:tblGrid>
      <w:tr>
        <w:tc>
          <w:tcPr>
            <w:tcW w:type="dxa" w:w="10166"/>
            <w:shd w:fill="E8F4F3"/>
            <w:tcMar>
              <w:top w:w="95" w:type="dxa"/>
              <w:start w:w="145" w:type="dxa"/>
              <w:bottom w:w="95" w:type="dxa"/>
              <w:end w:w="145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F7D8C"/>
                <w:sz w:val="18"/>
                <w:lang w:val="en-US" w:eastAsia="en-US"/>
              </w:rPr>
              <w:t>Sample document for educational purposes.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ID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POL-BEN-005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Version / effective date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1.0 / 1 January 2026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Document owner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HR Department</w:t>
            </w:r>
          </w:p>
        </w:tc>
      </w:tr>
      <w:tr>
        <w:tc>
          <w:tcPr>
            <w:tcW w:type="dxa" w:w="2376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8"/>
                <w:lang w:val="en-US" w:eastAsia="en-US"/>
              </w:rPr>
              <w:t>Topic tags</w:t>
            </w:r>
          </w:p>
        </w:tc>
        <w:tc>
          <w:tcPr>
            <w:tcW w:type="dxa" w:w="7272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holiday, recreation, accommodation, training, wellbeing, annual allowance</w:t>
            </w:r>
          </w:p>
        </w:tc>
      </w:tr>
    </w:tbl>
    <w:p>
      <w:pPr>
        <w:pStyle w:val="Heading1"/>
        <w:keepNext/>
        <w:keepLines/>
      </w:pPr>
      <w:r>
        <w:rPr>
          <w:lang w:val="en-US" w:eastAsia="en-US"/>
        </w:rPr>
        <w:t>1. Purpose of the benefits programme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employer supports employee rest, professional development, and wellbeing through annual benefit allowances. These benefits are not automatic cash payments: only documented expenses listed in this policy may be reimbursed, up to the available allowance.</w:t>
      </w:r>
    </w:p>
    <w:p>
      <w:pPr>
        <w:pStyle w:val="Heading1"/>
        <w:keepNext/>
        <w:keepLines/>
      </w:pPr>
      <w:r>
        <w:rPr>
          <w:lang w:val="en-US" w:eastAsia="en-US"/>
        </w:rPr>
        <w:t>2. Eligibility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benefit may be claimed after at least six months of continuous employment.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allowance is not reduced for part-time employment, but it is prorated when employment begins during the year.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During a notice period, a new benefit claim may be accepted only with approval from the head of HR.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An unused annual allowance may not be carried forward to the next year.</w:t>
      </w:r>
    </w:p>
    <w:p>
      <w:pPr>
        <w:pStyle w:val="Heading1"/>
        <w:keepNext/>
        <w:keepLines/>
      </w:pPr>
      <w:r>
        <w:rPr>
          <w:lang w:val="en-US" w:eastAsia="en-US"/>
        </w:rPr>
        <w:t>3. Annual benefit allowances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338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Support</w:t>
            </w:r>
          </w:p>
        </w:tc>
        <w:tc>
          <w:tcPr>
            <w:tcW w:type="dxa" w:w="194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Annual allowance</w:t>
            </w:r>
          </w:p>
        </w:tc>
        <w:tc>
          <w:tcPr>
            <w:tcW w:type="dxa" w:w="2088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Reimbursement rate</w:t>
            </w:r>
          </w:p>
        </w:tc>
        <w:tc>
          <w:tcPr>
            <w:tcW w:type="dxa" w:w="2232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  <w:lang w:val="en-US" w:eastAsia="en-US"/>
              </w:rPr>
              <w:t>Prior approval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Recreational and holiday benefit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HUF 120,000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100% up to the allowance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for a claim above HUF 60,000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Professional training benefit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HUF 200,000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up to 80%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in all cases</w:t>
            </w:r>
          </w:p>
        </w:tc>
      </w:tr>
      <w:tr>
        <w:trPr>
          <w:cantSplit w:val="true"/>
        </w:trPr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Sport and wellbeing benefit</w:t>
            </w:r>
          </w:p>
        </w:tc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HUF 60,000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up to 70%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7"/>
                <w:lang w:val="en-US" w:eastAsia="en-US"/>
              </w:rPr>
              <w:t>not required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4. Recreational and holiday benefit</w:t>
      </w:r>
    </w:p>
    <w:p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benefit may be used for leisure accommodation and a related basic package, domestically or abroad. The claim requires an invoice issued in the employee's name or an official booking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48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Eligible</w:t>
            </w:r>
          </w:p>
        </w:tc>
        <w:tc>
          <w:tcPr>
            <w:tcW w:type="dxa" w:w="48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Not eligible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accommodation fee for a hotel, guesthouse, apartment, or campsite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airfare, fuel, and other travel costs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breakfast or basic wellness access included in an accommodation package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alcohol, minibar charges, souvenirs, and equipment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accommodation share of the employee and a dependent child travelling with the employee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the separate cost of another adult family member</w:t>
            </w:r>
          </w:p>
        </w:tc>
      </w:tr>
      <w:tr>
        <w:trPr>
          <w:cantSplit w:val="true"/>
        </w:trPr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tourist tax or local accommodation tax</w:t>
            </w:r>
          </w:p>
        </w:tc>
        <w:tc>
          <w:tcPr>
            <w:tcW w:type="dxa" w:w="48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cash-withdrawal and currency-exchange fees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lang w:val="en-US" w:eastAsia="en-US"/>
        </w:rPr>
        <w:t>5. Claiming the recreational benefit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single claim above HUF 60,000 requires HR approval before booking.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claim must be submitted within 30 days after the service ends, but no later than 30 November.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Non-eligible items must be deducted from the amount shown on the invoice.</w:t>
      </w:r>
    </w:p>
    <w:p>
      <w:pPr>
        <w:pStyle w:val="ListNumber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reimbursement may not exceed the employee's remaining annual allowance.</w:t>
      </w:r>
    </w:p>
    <w:p>
      <w:pPr>
        <w:pStyle w:val="Heading1"/>
        <w:keepNext/>
        <w:keepLines/>
      </w:pPr>
      <w:r>
        <w:rPr>
          <w:lang w:val="en-US" w:eastAsia="en-US"/>
        </w:rPr>
        <w:t>6. Professional training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training must be related to the employee’s current or planned role.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The line manager and HR must approve the training in advance.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Course fees, examination fees, and mandatory course materials may be reimbursed.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A hobby course selected by the employee and unrelated to the role is not reimbursable.</w:t>
      </w:r>
    </w:p>
    <w:p>
      <w:pPr>
        <w:pStyle w:val="Heading1"/>
        <w:keepNext/>
        <w:keepLines/>
      </w:pPr>
      <w:r>
        <w:rPr>
          <w:lang w:val="en-US" w:eastAsia="en-US"/>
        </w:rPr>
        <w:t>7. Sport and wellbeing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gym or swimming-pool membership;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participation fee for an organized sports activity;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mental wellbeing programme or stress-management workshop;</w:t>
      </w:r>
    </w:p>
    <w:p>
      <w:pPr>
        <w:pStyle w:val="ListBullet"/>
        <w:spacing w:after="60"/>
      </w:pPr>
      <w:r>
        <w:rPr>
          <w:rFonts w:ascii="Liberation Sans" w:hAnsi="Liberation Sans"/>
          <w:b w:val="0"/>
          <w:color w:val="263238"/>
          <w:sz w:val="20"/>
          <w:lang w:val="en-US" w:eastAsia="en-US"/>
        </w:rPr>
        <w:t>sports equipment, sports clothing, and dietary supplements are not reimbursable;</w:t>
      </w:r>
    </w:p>
    <w:p>
      <w:pPr>
        <w:pStyle w:val="Heading1"/>
        <w:keepNext/>
        <w:keepLines/>
      </w:pPr>
      <w:r>
        <w:rPr>
          <w:lang w:val="en-US" w:eastAsia="en-US"/>
        </w:rPr>
        <w:t>8. Examples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7D1D8"/>
          <w:left w:val="single" w:sz="5" w:space="0" w:color="C7D1D8"/>
          <w:bottom w:val="single" w:sz="5" w:space="0" w:color="C7D1D8"/>
          <w:right w:val="single" w:sz="5" w:space="0" w:color="C7D1D8"/>
          <w:insideH w:val="single" w:sz="5" w:space="0" w:color="C7D1D8"/>
          <w:insideV w:val="single" w:sz="5" w:space="0" w:color="C7D1D8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66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Example</w:t>
            </w:r>
          </w:p>
        </w:tc>
        <w:tc>
          <w:tcPr>
            <w:tcW w:type="dxa" w:w="3024"/>
            <w:shd w:fill="1F4E79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  <w:lang w:val="en-US" w:eastAsia="en-US"/>
              </w:rPr>
              <w:t>Decision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90,000 accommodation with HUF 120,000 remaining allowance and prior approval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90,000 may be reimbursed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150,000 accommodation with HUF 100,000 remaining allowance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 more than HUF 100,000 may be reimbursed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80,000 accommodation including HUF 12,000 in minibar charges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68,000 is eligible</w:t>
            </w:r>
          </w:p>
        </w:tc>
      </w:tr>
      <w:tr>
        <w:trPr>
          <w:cantSplit w:val="true"/>
        </w:trPr>
        <w:tc>
          <w:tcPr>
            <w:tcW w:type="dxa" w:w="66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HUF 50,000 airfare for a holiday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/>
                <w:b w:val="0"/>
                <w:color w:val="263238"/>
                <w:sz w:val="18"/>
                <w:lang w:val="en-US" w:eastAsia="en-US"/>
              </w:rPr>
              <w:t>not eligible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E3C77B"/>
          <w:left w:val="single" w:sz="8" w:space="0" w:color="E3C77B"/>
          <w:bottom w:val="single" w:sz="8" w:space="0" w:color="E3C77B"/>
          <w:right w:val="single" w:sz="8" w:space="0" w:color="E3C77B"/>
          <w:insideH w:val="single" w:sz="8" w:space="0" w:color="E3C77B"/>
          <w:insideV w:val="single" w:sz="8" w:space="0" w:color="E3C77B"/>
        </w:tblBorders>
      </w:tblPr>
      <w:tblGrid>
        <w:gridCol w:w="10166"/>
      </w:tblGrid>
      <w:tr>
        <w:tc>
          <w:tcPr>
            <w:tcW w:type="dxa" w:w="10166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8A5A00"/>
                <w:sz w:val="20"/>
                <w:lang w:val="en-US" w:eastAsia="en-US"/>
              </w:rPr>
              <w:t>Tax note</w:t>
            </w:r>
          </w:p>
          <w:p>
            <w:pPr>
              <w:spacing w:after="0"/>
            </w:pPr>
            <w:r>
              <w:rPr>
                <w:rFonts w:ascii="Liberation Sans" w:hAnsi="Liberation Sans"/>
                <w:b w:val="0"/>
                <w:color w:val="263238"/>
                <w:sz w:val="19"/>
                <w:lang w:val="en-US" w:eastAsia="en-US"/>
              </w:rPr>
              <w:t>The prototype does not calculate tax liabilities. In a real system, the tax treatment of benefits would need to be implemented separately using current professional rules.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B7378"/>
        <w:sz w:val="16"/>
        <w:lang w:val="en-US" w:eastAsia="en-US"/>
      </w:rPr>
      <w:t>Sample document for educational purposes.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Liberation Sans" w:hAnsi="Liberation Sans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 w:val="0"/>
      <w:i/>
      <w:iCs/>
      <w:color w:val="2F7D8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and Recreational Benefits Policy</dc:title>
  <dc:subject>Educational RAG source document</dc:subject>
  <dc:creator/>
  <cp:keywords>RAG, expense reimbursement, employee benefits, educational prototype</cp:keywords>
  <dc:description>Fictional educational document; no real organization is identified.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