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iberation Sans" w:hAnsi="Liberation Sans"/>
          <w:b/>
          <w:color w:val="1F4E79"/>
          <w:sz w:val="46"/>
        </w:rPr>
        <w:t>Dokumentumjegyzék és fogalomtár</w:t>
      </w:r>
    </w:p>
    <w:p>
      <w:pPr>
        <w:pStyle w:val="Subtitle"/>
      </w:pPr>
      <w:r>
        <w:rPr>
          <w:rFonts w:ascii="Liberation Sans" w:hAnsi="Liberation Sans"/>
          <w:b w:val="0"/>
          <w:color w:val="2F7D8C"/>
          <w:sz w:val="23"/>
        </w:rPr>
        <w:t>A költségtérítési és munkavállalói támogatási asszisztens RAG-forráscsomagja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9D9D5"/>
          <w:left w:val="single" w:sz="7" w:space="0" w:color="B9D9D5"/>
          <w:bottom w:val="single" w:sz="7" w:space="0" w:color="B9D9D5"/>
          <w:right w:val="single" w:sz="7" w:space="0" w:color="B9D9D5"/>
          <w:insideH w:val="single" w:sz="7" w:space="0" w:color="B9D9D5"/>
          <w:insideV w:val="single" w:sz="7" w:space="0" w:color="B9D9D5"/>
        </w:tblBorders>
      </w:tblPr>
      <w:tblGrid>
        <w:gridCol w:w="9648"/>
      </w:tblGrid>
      <w:tr>
        <w:tc>
          <w:tcPr>
            <w:tcW w:type="dxa" w:w="10166"/>
            <w:shd w:fill="E8F4F3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F7D8C"/>
                <w:sz w:val="18"/>
              </w:rPr>
              <w:t>Oktatási célú mintadokumentum.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Dokumentumazonosító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RAG-000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Verzió / hatály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1.0 / 2026. január 1.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Dokumentumgazda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Pénzügyi és HR működés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Témacímkék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dokumentumjegyzék, fogalmak, RAG, költségtérítés, támogatások</w:t>
            </w:r>
          </w:p>
        </w:tc>
      </w:tr>
    </w:tbl>
    <w:p>
      <w:pPr>
        <w:pStyle w:val="Heading1"/>
        <w:keepNext/>
        <w:keepLines/>
      </w:pPr>
      <w:r>
        <w:t>1. A dokumentumcsomag célja</w:t>
      </w:r>
    </w:p>
    <w:p>
      <w:r>
        <w:rPr>
          <w:rFonts w:ascii="Liberation Sans" w:hAnsi="Liberation Sans"/>
          <w:b w:val="0"/>
          <w:color w:val="263238"/>
          <w:sz w:val="20"/>
        </w:rPr>
        <w:t>Ez a dokumentumcsomag egy agentic RAG-alapú költségtérítési asszisztens fejlesztéséhez készült. A szabályzatok egymással összehangolt, fiktív belső előírásokat tartalmaznak. A chatbot feladata a releváns szabály megtalálása, a hiányzó adatok bekérése, az elszámolható összeg kiszámítása és a szükséges dokumentumok megnevezése.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3C77B"/>
          <w:left w:val="single" w:sz="8" w:space="0" w:color="E3C77B"/>
          <w:bottom w:val="single" w:sz="8" w:space="0" w:color="E3C77B"/>
          <w:right w:val="single" w:sz="8" w:space="0" w:color="E3C77B"/>
          <w:insideH w:val="single" w:sz="8" w:space="0" w:color="E3C77B"/>
          <w:insideV w:val="single" w:sz="8" w:space="0" w:color="E3C77B"/>
        </w:tblBorders>
      </w:tblPr>
      <w:tblGrid>
        <w:gridCol w:w="10166"/>
      </w:tblGrid>
      <w:tr>
        <w:tc>
          <w:tcPr>
            <w:tcW w:type="dxa" w:w="10166"/>
            <w:shd w:fill="FFF4D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8A5A00"/>
                <w:sz w:val="20"/>
              </w:rPr>
              <w:t>Fontos felhasználási korlát</w:t>
            </w:r>
          </w:p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9"/>
              </w:rPr>
              <w:t>A dokumentumok nem valós vállalat belső szabályzatai, és nem minősülnek jogi, adózási vagy számviteli tanácsadásnak.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2. Dokumentumok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58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Kód</w:t>
            </w:r>
          </w:p>
        </w:tc>
        <w:tc>
          <w:tcPr>
            <w:tcW w:type="dxa" w:w="381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Dokumentum</w:t>
            </w:r>
          </w:p>
        </w:tc>
        <w:tc>
          <w:tcPr>
            <w:tcW w:type="dxa" w:w="4320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Fő témák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POL-EXP-001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Általános költségelszámolási szabályzat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alapelvek, határidők, elszámolható és tiltott költségek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POL-TRV-002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Üzleti utazási és szállásszabályzat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utazás, szállás, étkezés, taxi, külföldi költségek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POL-COM-003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Munkába járási támogatási szabályzat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bérlet, saját autó, hibrid munkavégzés, jogosultság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POL-CAR-004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Saját gépjármű üzleti használata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kilométer-térítés, menetlevél, parkolás, útdíj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POL-BEN-005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Munkavállalói és rekreációs támogatások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üdülés, képzés, jóllét, éves keretek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POL-DOC-006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Bizonylati és jóváhagyási követelmények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számla, nyugta, elveszett bizonylat, jóváhagyási mátrix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POL-FAQ-007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Gyakori kérdések és példaesetek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összetett példák, határesetek, visszakérdezési minták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3. Elsőbbségi szabályok</w:t>
      </w:r>
    </w:p>
    <w:p>
      <w:pPr>
        <w:pStyle w:val="ListNumber"/>
        <w:spacing w:after="60"/>
      </w:pPr>
      <w:r>
        <w:rPr>
          <w:rFonts w:ascii="Liberation Sans" w:hAnsi="Liberation Sans"/>
          <w:b w:val="0"/>
          <w:color w:val="263238"/>
          <w:sz w:val="20"/>
        </w:rPr>
        <w:t>A speciális szabályzat elsőbbséget élvez az általános szabályzattal szemben. Például a munkába járásra a POL-COM-003, üzleti célú autóhasználatra a POL-CAR-004 irányadó.</w:t>
      </w:r>
    </w:p>
    <w:p>
      <w:pPr>
        <w:pStyle w:val="ListNumber"/>
        <w:spacing w:after="60"/>
      </w:pPr>
      <w:r>
        <w:rPr>
          <w:rFonts w:ascii="Liberation Sans" w:hAnsi="Liberation Sans"/>
          <w:b w:val="0"/>
          <w:color w:val="263238"/>
          <w:sz w:val="20"/>
        </w:rPr>
        <w:t>Ugyanaz a költség csak egy jogcímen számolható el. Kettős térítés nem engedélyezett.</w:t>
      </w:r>
    </w:p>
    <w:p>
      <w:pPr>
        <w:pStyle w:val="ListNumber"/>
        <w:spacing w:after="60"/>
      </w:pPr>
      <w:r>
        <w:rPr>
          <w:rFonts w:ascii="Liberation Sans" w:hAnsi="Liberation Sans"/>
          <w:b w:val="0"/>
          <w:color w:val="263238"/>
          <w:sz w:val="20"/>
        </w:rPr>
        <w:t>Ha egy költséghez előzetes jóváhagyás szükséges, az utólagos vezetői jóváhagyás csak kivételes és dokumentált esetben fogadható el.</w:t>
      </w:r>
    </w:p>
    <w:p>
      <w:pPr>
        <w:pStyle w:val="ListNumber"/>
        <w:spacing w:after="60"/>
      </w:pPr>
      <w:r>
        <w:rPr>
          <w:rFonts w:ascii="Liberation Sans" w:hAnsi="Liberation Sans"/>
          <w:b w:val="0"/>
          <w:color w:val="263238"/>
          <w:sz w:val="20"/>
        </w:rPr>
        <w:t>A pénzügyi osztály indokolt esetben további bizonylatot vagy magyarázatot kérhet.</w:t>
      </w:r>
    </w:p>
    <w:p>
      <w:pPr>
        <w:pStyle w:val="Heading1"/>
        <w:keepNext/>
        <w:keepLines/>
      </w:pPr>
      <w:r>
        <w:t>4. Fogalomtár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59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Fogalom</w:t>
            </w:r>
          </w:p>
        </w:tc>
        <w:tc>
          <w:tcPr>
            <w:tcW w:type="dxa" w:w="7128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Meghatározás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Elszámolható költség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Olyan üzleti vagy támogatási célú kiadás, amely megfelel a vonatkozó szabályzatnak és megfelelő bizonylattal igazolt.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Üzleti út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 munkavégzés szokásos helyétől eltérő helyszínre, igazolt üzleti célból történő utazás.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Munkába járás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 munkavállaló bejelentett lakó- vagy tartózkodási helye és a szokásos munkavégzési hely közötti utazás.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Előzetes jóváhagyás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 költség felmerülése előtt, írásban megadott engedély.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Költségkeret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Az adott költségtípusra vagy időszakra meghatározott maximálisan téríthető összeg.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Kettős térítés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Ugyanazon kiadás vagy útszakasz több jogcímen történő elszámolása.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Hivatalos bizonylat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Számla, elektronikus számla, menetjegy, bérlet vagy más, a kiadást és annak célját igazoló dokumentum.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5. A chatbot által kezelendő fő döntések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Melyik szabályzat vonatkozik a kérdésre?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Milyen adatok hiányoznak a döntéshez?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Jogosult-e a munkavállaló a térítésre vagy támogatásra?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Mekkora összeg téríthető a limitek alapján?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Szükséges-e előzetes vagy utólagos jóváhagyás?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Milyen bizonylatokat kell csatolni?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Van-e tiltott tétel vagy kettős elszámolási kockázat?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B7378"/>
        <w:sz w:val="16"/>
      </w:rPr>
      <w:t>Oktatási célú mintadokumentum.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Liberation Sans" w:hAnsi="Liberation San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F7D8C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