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iberation Sans" w:hAnsi="Liberation Sans"/>
          <w:b/>
          <w:color w:val="1F4E79"/>
          <w:sz w:val="46"/>
        </w:rPr>
        <w:t>Általános költségelszámolási szabályzat</w:t>
      </w:r>
    </w:p>
    <w:p>
      <w:pPr>
        <w:pStyle w:val="Subtitle"/>
      </w:pPr>
      <w:r>
        <w:rPr>
          <w:rFonts w:ascii="Liberation Sans" w:hAnsi="Liberation Sans"/>
          <w:b w:val="0"/>
          <w:color w:val="2F7D8C"/>
          <w:sz w:val="23"/>
        </w:rPr>
        <w:t>A munkavégzéssel összefüggő kiadások benyújtásának és térítésének alapelvei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9D9D5"/>
          <w:left w:val="single" w:sz="7" w:space="0" w:color="B9D9D5"/>
          <w:bottom w:val="single" w:sz="7" w:space="0" w:color="B9D9D5"/>
          <w:right w:val="single" w:sz="7" w:space="0" w:color="B9D9D5"/>
          <w:insideH w:val="single" w:sz="7" w:space="0" w:color="B9D9D5"/>
          <w:insideV w:val="single" w:sz="7" w:space="0" w:color="B9D9D5"/>
        </w:tblBorders>
      </w:tblPr>
      <w:tblGrid>
        <w:gridCol w:w="9648"/>
      </w:tblGrid>
      <w:tr>
        <w:tc>
          <w:tcPr>
            <w:tcW w:type="dxa" w:w="10166"/>
            <w:shd w:fill="E8F4F3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F7D8C"/>
                <w:sz w:val="18"/>
              </w:rPr>
              <w:t>Oktatási célú mintadokumentum.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Dokumentumazonosító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POL-EXP-001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Verzió / hatály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1.0 / 2026. január 1.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Dokumentumgazda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Pénzügyi osztály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Témacímkék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költségelszámolás, számla, határidő, étkezés, eszköz, tiltott költségek</w:t>
            </w:r>
          </w:p>
        </w:tc>
      </w:tr>
    </w:tbl>
    <w:p>
      <w:pPr>
        <w:pStyle w:val="Heading1"/>
        <w:keepNext/>
        <w:keepLines/>
      </w:pPr>
      <w:r>
        <w:t>1. Cél és hatály</w:t>
      </w:r>
    </w:p>
    <w:p>
      <w:r>
        <w:rPr>
          <w:rFonts w:ascii="Liberation Sans" w:hAnsi="Liberation Sans"/>
          <w:b w:val="0"/>
          <w:color w:val="263238"/>
          <w:sz w:val="20"/>
        </w:rPr>
        <w:t>A szabályzat célja, hogy egységes keretet biztosítson a munkavégzéssel összefüggő, saját forrásból megfizetett költségek megtérítéséhez. A szabályzat minden aktív munkaviszonyban álló munkavállalóra vonatkozik, kivéve, ha egy speciális szabályzat eltérően rendelkezik.</w:t>
      </w:r>
    </w:p>
    <w:p>
      <w:pPr>
        <w:pStyle w:val="Heading1"/>
        <w:keepNext/>
        <w:keepLines/>
      </w:pPr>
      <w:r>
        <w:t>2. Általános alapelvek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Csak igazolt üzleti célból, a feladat ellátásához szükséges és észszerű összegű költség téríthető.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költséget lehetőség szerint a vállalati beszerzési vagy utazási csatornán kell megrendelni.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munkavállaló köteles a költséghatékony, de a feladat ellátására alkalmas megoldást választani.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saját forrásból fizetett költség elszámolását a felmerüléstől számított 30 naptári napon belül kell benyújtani.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Ugyanaz a tétel nem számolható el több igénylésben vagy más támogatási jogcímen.</w:t>
      </w:r>
    </w:p>
    <w:p>
      <w:pPr>
        <w:pStyle w:val="Heading1"/>
        <w:keepNext/>
        <w:keepLines/>
      </w:pPr>
      <w:r>
        <w:t>3. Elszámolható költségkategóriák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Kategória</w:t>
            </w:r>
          </w:p>
        </w:tc>
        <w:tc>
          <w:tcPr>
            <w:tcW w:type="dxa" w:w="3600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Példák</w:t>
            </w:r>
          </w:p>
        </w:tc>
        <w:tc>
          <w:tcPr>
            <w:tcW w:type="dxa" w:w="381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Fő feltétel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Üzleti étkezés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ügyfélebéd, projektvacsora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igazolt üzleti cél és résztvevőlista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Helyi közlekedés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taxi, helyi jegy, parkolás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üzleti eseményhez vagy üzleti úthoz kapcsolódik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Kis értékű eszköz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egér, adapter, fejhallgató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vezetői jóváhagyás és üzleti szükséglet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Posta és futár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szerződés vagy eszköz kézbesítése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üzleti címzett és feladási bizonylat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Rendezvénydíj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szakmai konferencia, workshop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előzetes jóváhagyás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4. Üzleti étkezés</w:t>
      </w:r>
    </w:p>
    <w:p>
      <w:r>
        <w:rPr>
          <w:rFonts w:ascii="Liberation Sans" w:hAnsi="Liberation Sans"/>
          <w:b w:val="0"/>
          <w:color w:val="263238"/>
          <w:sz w:val="20"/>
        </w:rPr>
        <w:t>Üzleti étkezés akkor téríthető, ha közvetlenül ügyféltalálkozóhoz, projektmegbeszéléshez vagy jóváhagyott belső rendezvényhez kapcsolódik. A maximálisan elszámolható keret 15 000 Ft személyenként és alkalmanként.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számlához csatolni kell az esemény rövid célját és a résztvevők nevét vagy szervezeti egységét.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Az alkohol, dohánytermék, borravaló és magánfogyasztás nem téríthető.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Ha a számla tartalmaz tiltott tételt, csak a fennmaradó, igazolt rész számolható el.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keretet meghaladó összeg csak előzetes pénzügyi igazgatói jóváhagyással téríthető.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FC9DE"/>
          <w:left w:val="single" w:sz="8" w:space="0" w:color="AFC9DE"/>
          <w:bottom w:val="single" w:sz="8" w:space="0" w:color="AFC9DE"/>
          <w:right w:val="single" w:sz="8" w:space="0" w:color="AFC9DE"/>
          <w:insideH w:val="single" w:sz="8" w:space="0" w:color="AFC9DE"/>
          <w:insideV w:val="single" w:sz="8" w:space="0" w:color="AFC9DE"/>
        </w:tblBorders>
      </w:tblPr>
      <w:tblGrid>
        <w:gridCol w:w="10166"/>
      </w:tblGrid>
      <w:tr>
        <w:tc>
          <w:tcPr>
            <w:tcW w:type="dxa" w:w="10166"/>
            <w:shd w:fill="EAF2F8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F4E79"/>
                <w:sz w:val="20"/>
              </w:rPr>
              <w:t>Számítási példa</w:t>
            </w:r>
          </w:p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9"/>
              </w:rPr>
              <w:t>Négy résztvevő esetén a keret 4 x 15 000 Ft, azaz 60 000 Ft. Ha a számla 68 000 Ft, és nincs tiltott tétel, legfeljebb 60 000 Ft téríthető.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5. Munkaeszközök és kisebb beszerzések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160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Bruttó érték</w:t>
            </w:r>
          </w:p>
        </w:tc>
        <w:tc>
          <w:tcPr>
            <w:tcW w:type="dxa" w:w="273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Jóváhagyás</w:t>
            </w:r>
          </w:p>
        </w:tc>
        <w:tc>
          <w:tcPr>
            <w:tcW w:type="dxa" w:w="475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Eljárás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0-50 000 Ft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közvetlen vezető</w:t>
            </w:r>
          </w:p>
        </w:tc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utólagos elszámolás megengedett, ha sürgős volt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50 001-150 000 Ft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területvezető</w:t>
            </w:r>
          </w:p>
        </w:tc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előzetes írásos jóváhagyás szükséges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150 000 Ft felett</w:t>
            </w:r>
          </w:p>
        </w:tc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pénzügyi igazgató</w:t>
            </w:r>
          </w:p>
        </w:tc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központi beszerzés használata kötelező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 w:val="0"/>
          <w:color w:val="263238"/>
          <w:sz w:val="20"/>
        </w:rPr>
        <w:t>A vállalat tulajdonába kerülő eszközt az eszköznyilvántartásba fel kell venni. Magánhasználatra vásárolt eszköz nem téríthető.</w:t>
      </w:r>
    </w:p>
    <w:p>
      <w:pPr>
        <w:pStyle w:val="Heading1"/>
        <w:keepNext/>
        <w:keepLines/>
      </w:pPr>
      <w:r>
        <w:t>6. Nem elszámolható tételek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alkohol, dohánytermék és szerencsejátékhoz kapcsolódó kiadás;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személyes ruházat és magáncélú vásárlás;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közlekedési vagy parkolási bírság;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szállodai minibár, fizetős szórakoztató tartalom és wellness-felár üzleti úton;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családtag vagy kísérő költsége, kivéve a rekreációs támogatás szabályzatában engedélyezett esetet;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számla vagy elfogadott helyettesítő bizonylat nélküli kiadás;</w:t>
      </w:r>
    </w:p>
    <w:p>
      <w:pPr>
        <w:pStyle w:val="Heading1"/>
        <w:keepNext/>
        <w:keepLines/>
      </w:pPr>
      <w:r>
        <w:t>7. Benyújtási határidő és késedelem</w:t>
      </w:r>
    </w:p>
    <w:p>
      <w:r>
        <w:rPr>
          <w:rFonts w:ascii="Liberation Sans" w:hAnsi="Liberation Sans"/>
          <w:b w:val="0"/>
          <w:color w:val="263238"/>
          <w:sz w:val="20"/>
        </w:rPr>
        <w:t>Az igénylést a költség felmerülésétől számított 30 naptári napon belül kell benyújtani. A 31-60 nap között benyújtott igényléshez vezetői indoklás szükséges. A 60 napnál régebbi költség csak pénzügyi igazgatói kivételi engedéllyel fogadható el.</w:t>
      </w:r>
    </w:p>
    <w:p>
      <w:pPr>
        <w:pStyle w:val="Heading1"/>
        <w:keepNext/>
        <w:keepLines/>
      </w:pPr>
      <w:r>
        <w:t>8. Kapcsolódó dokumentumok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POL-TRV-002 - Üzleti utazási és szállásszabályzat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POL-COM-003 - Munkába járási támogatási szabályzat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POL-CAR-004 - Saját gépjármű üzleti használata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POL-DOC-006 - Bizonylati és jóváhagyási követelmények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B7378"/>
        <w:sz w:val="16"/>
      </w:rPr>
      <w:t>Oktatási célú mintadokumentum.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Liberation Sans" w:hAnsi="Liberation San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F7D8C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