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ans" w:hAnsi="Liberation Sans"/>
          <w:b/>
          <w:color w:val="1F4E79"/>
          <w:sz w:val="46"/>
        </w:rPr>
        <w:t>Üzleti utazási és szállásszabályzat</w:t>
      </w:r>
    </w:p>
    <w:p>
      <w:pPr>
        <w:pStyle w:val="Subtitle"/>
      </w:pPr>
      <w:r>
        <w:rPr>
          <w:rFonts w:ascii="Liberation Sans" w:hAnsi="Liberation Sans"/>
          <w:b w:val="0"/>
          <w:color w:val="2F7D8C"/>
          <w:sz w:val="23"/>
        </w:rPr>
        <w:t>Belföldi és külföldi üzleti utak tervezése, jóváhagyása és elszámolása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9D9D5"/>
          <w:left w:val="single" w:sz="7" w:space="0" w:color="B9D9D5"/>
          <w:bottom w:val="single" w:sz="7" w:space="0" w:color="B9D9D5"/>
          <w:right w:val="single" w:sz="7" w:space="0" w:color="B9D9D5"/>
          <w:insideH w:val="single" w:sz="7" w:space="0" w:color="B9D9D5"/>
          <w:insideV w:val="single" w:sz="7" w:space="0" w:color="B9D9D5"/>
        </w:tblBorders>
      </w:tblPr>
      <w:tblGrid>
        <w:gridCol w:w="9648"/>
      </w:tblGrid>
      <w:tr>
        <w:tc>
          <w:tcPr>
            <w:tcW w:type="dxa" w:w="10166"/>
            <w:shd w:fill="E8F4F3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F7D8C"/>
                <w:sz w:val="18"/>
              </w:rPr>
              <w:t>Oktatási célú mintadokumentum.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Dokumentumazonosító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POL-TRV-002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Verzió / hatály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1.0 / 2026. január 1.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Dokumentumgazda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Operációs és pénzügyi osztály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Témacímkék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üzleti út, szállás, taxi, repülő, vonat, étkezés, deviza, napidíj</w:t>
            </w:r>
          </w:p>
        </w:tc>
      </w:tr>
    </w:tbl>
    <w:p>
      <w:pPr>
        <w:pStyle w:val="Heading1"/>
        <w:keepNext/>
        <w:keepLines/>
      </w:pPr>
      <w:r>
        <w:t>1. Üzleti út fogalma és jóváhagyása</w:t>
      </w:r>
    </w:p>
    <w:p>
      <w:r>
        <w:rPr>
          <w:rFonts w:ascii="Liberation Sans" w:hAnsi="Liberation Sans"/>
          <w:b w:val="0"/>
          <w:color w:val="263238"/>
          <w:sz w:val="20"/>
        </w:rPr>
        <w:t>Üzleti útnak minősül a szokásos munkavégzési helytől eltérő helyszínre, igazolt üzleti célból történő utazás. Az utazást a foglalás előtt jóvá kell hagynia a közvetlen vezetőnek. Külföldi út vagy 150 000 Ft feletti becsült összköltség esetén területvezetői jóváhagyás is szükséges.</w:t>
      </w:r>
    </w:p>
    <w:p>
      <w:pPr>
        <w:pStyle w:val="Heading1"/>
        <w:keepNext/>
        <w:keepLines/>
      </w:pPr>
      <w:r>
        <w:t>2. Közlekedési módok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Közlekedés</w:t>
            </w:r>
          </w:p>
        </w:tc>
        <w:tc>
          <w:tcPr>
            <w:tcW w:type="dxa" w:w="259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Alapeset</w:t>
            </w:r>
          </w:p>
        </w:tc>
        <w:tc>
          <w:tcPr>
            <w:tcW w:type="dxa" w:w="518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Eltérés feltétele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Vonat</w:t>
            </w:r>
          </w:p>
        </w:tc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2. osztály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3 órát meghaladó utazásnál 1. osztály vezetői jóváhagyással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Repülő</w:t>
            </w:r>
          </w:p>
        </w:tc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economy osztály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business osztály nem téríthető a prototípus szabályai szerint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Taxi</w:t>
            </w:r>
          </w:p>
        </w:tc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csak indokolt esetben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22:00 után, tömegközlekedés hiányában vagy nehéz eszköz szállításakor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Bérelt autó</w:t>
            </w:r>
          </w:p>
        </w:tc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középkategória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nagyobb jármű csak utasszám vagy felszerelés miatt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Saját autó</w:t>
            </w:r>
          </w:p>
        </w:tc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előzetes jóváhagyással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POL-CAR-004 szerinti kilométer-térítéssel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3. Szállás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Út típusa</w:t>
            </w:r>
          </w:p>
        </w:tc>
        <w:tc>
          <w:tcPr>
            <w:tcW w:type="dxa" w:w="288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Éjszakánkénti keret</w:t>
            </w:r>
          </w:p>
        </w:tc>
        <w:tc>
          <w:tcPr>
            <w:tcW w:type="dxa" w:w="432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Megjegyzés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Belföldi út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45 000 Ft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reggelit tartalmazó standard szoba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Külföldi út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55 000 Ft-nak megfelelő összeg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helyi adók külön téríthetők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Kiemelt árú időszak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keret + legfeljebb 20%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előzetes területvezetői jóváhagyással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Egyágyas, standard kategóriájú szoba foglalható.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szállodai reggeli téríthető, ha az ár része vagy külön soron legfeljebb 7 000 Ft.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Minibár, film, wellness-kezelés és kísérő személy felára nem téríthető.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korai érkezés vagy késői távozás felára csak üzleti menetrenddel indokolva téríthető.</w:t>
      </w:r>
    </w:p>
    <w:p>
      <w:pPr>
        <w:pStyle w:val="Heading1"/>
        <w:keepNext/>
        <w:keepLines/>
      </w:pPr>
      <w:r>
        <w:t>4. Étkezés és napidíj</w:t>
      </w:r>
    </w:p>
    <w:p>
      <w:r>
        <w:rPr>
          <w:rFonts w:ascii="Liberation Sans" w:hAnsi="Liberation Sans"/>
          <w:b w:val="0"/>
          <w:color w:val="263238"/>
          <w:sz w:val="20"/>
        </w:rPr>
        <w:t>A munkavállaló üzleti úton étkezési költséget számolhat el a következő napi keretek szerint. A keret nem automatikus juttatás: csak ténylegesen felmerült, bizonylattal igazolt költség téríthető.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Út típusa</w:t>
            </w:r>
          </w:p>
        </w:tc>
        <w:tc>
          <w:tcPr>
            <w:tcW w:type="dxa" w:w="302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Napi étkezési keret</w:t>
            </w:r>
          </w:p>
        </w:tc>
        <w:tc>
          <w:tcPr>
            <w:tcW w:type="dxa" w:w="417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Csökkentés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Belföldi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18 000 Ft / nap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szállásban foglalt reggeli esetén 3 000 Ft-tal csökken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Külföldi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30 000 Ft / nap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szállásban foglalt reggeli esetén 5 000 Ft-tal csökken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  <w:color w:val="263238"/>
          <w:sz w:val="20"/>
        </w:rPr>
        <w:t>Ügyféllel közös étkezés esetén a POL-EXP-001 üzleti étkezési szabályai alkalmazandók, és ugyanarra az étkezésre napi étkezési keret nem igényelhető.</w:t>
      </w:r>
    </w:p>
    <w:p>
      <w:pPr>
        <w:pStyle w:val="Heading1"/>
        <w:keepNext/>
        <w:keepLines/>
      </w:pPr>
      <w:r>
        <w:t>5. Külföldi pénznemben felmerült költségek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Bankkártyás fizetésnél a bankszámlakivonaton szereplő forintösszeg az elszámolás alapja.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Készpénzes fizetésnél a pénzügyi rendszerben rögzített, a teljesítés napjára vonatkozó belső árfolyam alkalmazandó.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munkavállalónak az eredeti bizonylatot és szükség esetén rövid magyar vagy angol magyarázatot kell csatolnia.</w:t>
      </w:r>
    </w:p>
    <w:p>
      <w:pPr>
        <w:pStyle w:val="Heading1"/>
        <w:keepNext/>
        <w:keepLines/>
      </w:pPr>
      <w:r>
        <w:t>6. Módosítás és lemondás</w:t>
      </w:r>
    </w:p>
    <w:p>
      <w:r>
        <w:rPr>
          <w:rFonts w:ascii="Liberation Sans" w:hAnsi="Liberation Sans"/>
          <w:b w:val="0"/>
          <w:color w:val="263238"/>
          <w:sz w:val="20"/>
        </w:rPr>
        <w:t>A munkavállaló köteles a lehető leghamarabb lemondani a már szükségtelenné vált foglalást. A mulasztásból eredő, elkerülhető lemondási díj nem téríthető. Üzleti okból felmerült módosítási díj a vezető igazolásával elszámolható.</w:t>
      </w:r>
    </w:p>
    <w:p>
      <w:pPr>
        <w:pStyle w:val="Heading1"/>
        <w:keepNext/>
        <w:keepLines/>
      </w:pPr>
      <w:r>
        <w:t>7. Szükséges dokumentumok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jóváhagyott utazási kérelem;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jegy, beszállókártya vagy foglalási visszaigazolás;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szállodai számla;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taxi- és helyi közlekedési bizonylat;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üzleti cél és meglátogatott ügyfél vagy esemény megnevezése;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külföldi költségnél árfolyamot igazoló adat vagy bankszámlakivonat-részlet;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3C77B"/>
          <w:left w:val="single" w:sz="8" w:space="0" w:color="E3C77B"/>
          <w:bottom w:val="single" w:sz="8" w:space="0" w:color="E3C77B"/>
          <w:right w:val="single" w:sz="8" w:space="0" w:color="E3C77B"/>
          <w:insideH w:val="single" w:sz="8" w:space="0" w:color="E3C77B"/>
          <w:insideV w:val="single" w:sz="8" w:space="0" w:color="E3C77B"/>
        </w:tblBorders>
      </w:tblPr>
      <w:tblGrid>
        <w:gridCol w:w="10166"/>
      </w:tblGrid>
      <w:tr>
        <w:tc>
          <w:tcPr>
            <w:tcW w:type="dxa" w:w="10166"/>
            <w:shd w:fill="FFF4D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8A5A00"/>
                <w:sz w:val="20"/>
              </w:rPr>
              <w:t>Határeset</w:t>
            </w:r>
          </w:p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9"/>
              </w:rPr>
              <w:t>Ha a munkavállaló hétvégére magáncélból meghosszabbítja az utat, a vállalat legfeljebb az eredeti üzleti menetrend szerinti utazási és szállásköltséget téríti. A többletet a munkavállaló viseli.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378"/>
        <w:sz w:val="16"/>
      </w:rPr>
      <w:t>Oktatási célú mintadokumentum.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F7D8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