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iberation Sans" w:hAnsi="Liberation Sans"/>
          <w:b/>
          <w:color w:val="1F4E79"/>
          <w:sz w:val="46"/>
        </w:rPr>
        <w:t>Saját gépjármű üzleti használatának szabályzata</w:t>
      </w:r>
    </w:p>
    <w:p>
      <w:pPr>
        <w:pStyle w:val="Subtitle"/>
      </w:pPr>
      <w:r>
        <w:rPr>
          <w:rFonts w:ascii="Liberation Sans" w:hAnsi="Liberation Sans"/>
          <w:b w:val="0"/>
          <w:color w:val="2F7D8C"/>
          <w:sz w:val="23"/>
        </w:rPr>
        <w:t>Ügyféllátogatások és más üzleti utak kilométer-alapú térítése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9D9D5"/>
          <w:left w:val="single" w:sz="7" w:space="0" w:color="B9D9D5"/>
          <w:bottom w:val="single" w:sz="7" w:space="0" w:color="B9D9D5"/>
          <w:right w:val="single" w:sz="7" w:space="0" w:color="B9D9D5"/>
          <w:insideH w:val="single" w:sz="7" w:space="0" w:color="B9D9D5"/>
          <w:insideV w:val="single" w:sz="7" w:space="0" w:color="B9D9D5"/>
        </w:tblBorders>
      </w:tblPr>
      <w:tblGrid>
        <w:gridCol w:w="9648"/>
      </w:tblGrid>
      <w:tr>
        <w:tc>
          <w:tcPr>
            <w:tcW w:type="dxa" w:w="10166"/>
            <w:shd w:fill="E8F4F3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F7D8C"/>
                <w:sz w:val="18"/>
              </w:rPr>
              <w:t>Oktatási célú mintadokumentum.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Dokumentumazonosító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POL-CAR-004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Verzió / hatály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1.0 / 2026. január 1.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Dokumentumgazda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Pénzügyi és operációs osztály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</w:rPr>
              <w:t>Témacímkék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saját autó, üzleti út, kilométer-térítés, menetlevél, parkolás, autópálya</w:t>
            </w:r>
          </w:p>
        </w:tc>
      </w:tr>
    </w:tbl>
    <w:p>
      <w:pPr>
        <w:pStyle w:val="Heading1"/>
        <w:keepNext/>
        <w:keepLines/>
      </w:pPr>
      <w:r>
        <w:t>1. Alkalmazási kör</w:t>
      </w:r>
    </w:p>
    <w:p>
      <w:r>
        <w:rPr>
          <w:rFonts w:ascii="Liberation Sans" w:hAnsi="Liberation Sans"/>
          <w:b w:val="0"/>
          <w:color w:val="263238"/>
          <w:sz w:val="20"/>
        </w:rPr>
        <w:t>A szabályzat a munkavállaló saját vagy jogszerűen használt gépjárművével teljesített üzleti utakra vonatkozik. Nem alkalmazható a lakóhely és a szokásos munkavégzési hely közötti rendszeres bejárásra.</w:t>
      </w:r>
    </w:p>
    <w:p>
      <w:pPr>
        <w:pStyle w:val="Heading1"/>
        <w:keepNext/>
        <w:keepLines/>
      </w:pPr>
      <w:r>
        <w:t>2. Előzetes engedély és közlekedési mód választása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Saját gépjármű használatához előzetes vezetői jóváhagyás szükséges.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saját autó akkor választható, ha az időben vagy teljes költségben kedvezőbb, illetve eszközszállítás vagy több utas miatt indokolt.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A jóváhagyásnak tartalmaznia kell az út célját, célállomását és becsült távolságát.</w:t>
      </w:r>
    </w:p>
    <w:p>
      <w:pPr>
        <w:pStyle w:val="Heading1"/>
        <w:keepNext/>
        <w:keepLines/>
      </w:pPr>
      <w:r>
        <w:t>3. Kilométer-térítés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520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Tétel</w:t>
            </w:r>
          </w:p>
        </w:tc>
        <w:tc>
          <w:tcPr>
            <w:tcW w:type="dxa" w:w="712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Szabály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Alap térítés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45 Ft / megtett km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Útvonal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 legrövidebb észszerű útvonal, legfeljebb 10% indokolt eltéréssel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Üzemanyag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az alap térítés része, külön üzemanyagszámla nem számolható el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Parkolás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üzleti helyszínen, bizonylattal külön elszámolható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Útdíj és autópálya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az üzleti úthoz közvetlenül kapcsolódó díj bizonylattal elszámolható</w:t>
            </w:r>
          </w:p>
        </w:tc>
      </w:tr>
      <w:tr>
        <w:trPr>
          <w:cantSplit w:val="true"/>
        </w:trPr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Bírság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semmilyen esetben nem téríthető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4. Menetlevél kötelező adatai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utazás dátuma;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indulási és érkezési hely;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üzleti cél és meglátogatott ügyfél vagy esemény;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megtett kilométer;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utasok neve, ha releváns;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</w:rPr>
        <w:t>parkolási és útdíjbizonylatok hivatkozása;</w:t>
      </w:r>
    </w:p>
    <w:p>
      <w:pPr>
        <w:pStyle w:val="Heading1"/>
        <w:keepNext/>
        <w:keepLines/>
      </w:pPr>
      <w:r>
        <w:t>5. Kettős elszámolás tilalma</w:t>
      </w:r>
    </w:p>
    <w:p>
      <w:r>
        <w:rPr>
          <w:rFonts w:ascii="Liberation Sans" w:hAnsi="Liberation Sans"/>
          <w:b w:val="0"/>
          <w:color w:val="263238"/>
          <w:sz w:val="20"/>
        </w:rPr>
        <w:t>Ugyanarra az útszakaszra nem igényelhető egyszerre kilométer-térítés, üzemanyagköltség, bérautó-költség vagy munkába járási támogatás. Ha az út az irodából indul ügyfélhez, csak az irodától az ügyfélig és vissza megtett üzleti szakasz számolható el.</w:t>
      </w:r>
    </w:p>
    <w:p>
      <w:pPr>
        <w:pStyle w:val="Heading1"/>
        <w:keepNext/>
        <w:keepLines/>
      </w:pPr>
      <w:r>
        <w:t>6. Utastársak és költségmegosztás</w:t>
      </w:r>
    </w:p>
    <w:p>
      <w:r>
        <w:rPr>
          <w:rFonts w:ascii="Liberation Sans" w:hAnsi="Liberation Sans"/>
          <w:b w:val="0"/>
          <w:color w:val="263238"/>
          <w:sz w:val="20"/>
        </w:rPr>
        <w:t>Ha több munkavállaló ugyanazzal az autóval utazik, a kilométer-térítést kizárólag a gépjárművet használó és a menetlevelet benyújtó munkavállaló igényelheti. A többi utas ugyanarra az útra külön közlekedési költséget nem számolhat el.</w:t>
      </w:r>
    </w:p>
    <w:p>
      <w:pPr>
        <w:pStyle w:val="Heading1"/>
        <w:keepNext/>
        <w:keepLines/>
      </w:pPr>
      <w:r>
        <w:t>7. Számítási példák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316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Eset</w:t>
            </w:r>
          </w:p>
        </w:tc>
        <w:tc>
          <w:tcPr>
            <w:tcW w:type="dxa" w:w="403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Számítás</w:t>
            </w:r>
          </w:p>
        </w:tc>
        <w:tc>
          <w:tcPr>
            <w:tcW w:type="dxa" w:w="244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Téríthető összeg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Budapest-Győr-Budapest, 250 km</w:t>
            </w:r>
          </w:p>
        </w:tc>
        <w:tc>
          <w:tcPr>
            <w:tcW w:type="dxa" w:w="40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250 x 45 Ft</w:t>
            </w:r>
          </w:p>
        </w:tc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11 250 Ft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180 km út + 4 500 Ft parkolás</w:t>
            </w:r>
          </w:p>
        </w:tc>
        <w:tc>
          <w:tcPr>
            <w:tcW w:type="dxa" w:w="40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180 x 45 Ft + 4 500 Ft</w:t>
            </w:r>
          </w:p>
        </w:tc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12 600 Ft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100 km út + 20 000 Ft üzemanyagszámla</w:t>
            </w:r>
          </w:p>
        </w:tc>
        <w:tc>
          <w:tcPr>
            <w:tcW w:type="dxa" w:w="40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100 x 45 Ft; az üzemanyag nem külön téríthető</w:t>
            </w:r>
          </w:p>
        </w:tc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</w:rPr>
              <w:t>4 500 Ft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FC9DE"/>
          <w:left w:val="single" w:sz="8" w:space="0" w:color="AFC9DE"/>
          <w:bottom w:val="single" w:sz="8" w:space="0" w:color="AFC9DE"/>
          <w:right w:val="single" w:sz="8" w:space="0" w:color="AFC9DE"/>
          <w:insideH w:val="single" w:sz="8" w:space="0" w:color="AFC9DE"/>
          <w:insideV w:val="single" w:sz="8" w:space="0" w:color="AFC9DE"/>
        </w:tblBorders>
      </w:tblPr>
      <w:tblGrid>
        <w:gridCol w:w="10166"/>
      </w:tblGrid>
      <w:tr>
        <w:tc>
          <w:tcPr>
            <w:tcW w:type="dxa" w:w="10166"/>
            <w:shd w:fill="EAF2F8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9"/>
                <w:sz w:val="20"/>
              </w:rPr>
              <w:t>Elektromos és hibrid autó</w:t>
            </w:r>
          </w:p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9"/>
              </w:rPr>
              <w:t>A prototípusban minden hajtástípusra azonos, 45 Ft/km térítési összeg alkalmazandó. Töltési bizonylat külön nem számolható el.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B7378"/>
        <w:sz w:val="16"/>
      </w:rPr>
      <w:t>Oktatási célú mintadokumentum.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Liberation Sans" w:hAnsi="Liberation San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F7D8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