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Liberation Sans" w:hAnsi="Liberation Sans"/>
          <w:b/>
          <w:color w:val="1F4E79"/>
          <w:sz w:val="46"/>
        </w:rPr>
        <w:t>Gyakori kérdések és példaesetek</w:t>
      </w:r>
    </w:p>
    <w:p>
      <w:pPr>
        <w:pStyle w:val="Subtitle"/>
      </w:pPr>
      <w:r>
        <w:rPr>
          <w:rFonts w:ascii="Liberation Sans" w:hAnsi="Liberation Sans"/>
          <w:b w:val="0"/>
          <w:color w:val="2F7D8C"/>
          <w:sz w:val="23"/>
        </w:rPr>
        <w:t>Mintakérdések, döntési logika és elvárt visszakérdezések a chatbot értékeléséhez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B9D9D5"/>
          <w:left w:val="single" w:sz="7" w:space="0" w:color="B9D9D5"/>
          <w:bottom w:val="single" w:sz="7" w:space="0" w:color="B9D9D5"/>
          <w:right w:val="single" w:sz="7" w:space="0" w:color="B9D9D5"/>
          <w:insideH w:val="single" w:sz="7" w:space="0" w:color="B9D9D5"/>
          <w:insideV w:val="single" w:sz="7" w:space="0" w:color="B9D9D5"/>
        </w:tblBorders>
      </w:tblPr>
      <w:tblGrid>
        <w:gridCol w:w="9648"/>
      </w:tblGrid>
      <w:tr>
        <w:tc>
          <w:tcPr>
            <w:tcW w:type="dxa" w:w="10166"/>
            <w:shd w:fill="E8F4F3"/>
            <w:tcMar>
              <w:top w:w="95" w:type="dxa"/>
              <w:start w:w="145" w:type="dxa"/>
              <w:bottom w:w="95" w:type="dxa"/>
              <w:end w:w="145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2F7D8C"/>
                <w:sz w:val="18"/>
              </w:rPr>
              <w:t>Oktatási célú mintadokumentum.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5083"/>
        <w:gridCol w:w="5083"/>
      </w:tblGrid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Dokumentumazonosító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POL-FAQ-007</w:t>
            </w:r>
          </w:p>
        </w:tc>
      </w:tr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Verzió / hatály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1.0 / 2026. január 1.</w:t>
            </w:r>
          </w:p>
        </w:tc>
      </w:tr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Dokumentumgazda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Pénzügyi és HR működés</w:t>
            </w:r>
          </w:p>
        </w:tc>
      </w:tr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Témacímkék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GYIK, teszteset, kérdés, válasz, visszakérdezés, kalkuláció</w:t>
            </w:r>
          </w:p>
        </w:tc>
      </w:tr>
    </w:tbl>
    <w:p>
      <w:pPr>
        <w:pStyle w:val="Heading1"/>
        <w:keepNext/>
        <w:keepLines/>
      </w:pPr>
      <w:r>
        <w:t>1. Általános költségelszámolás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4320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Kérdés</w:t>
            </w:r>
          </w:p>
        </w:tc>
        <w:tc>
          <w:tcPr>
            <w:tcW w:type="dxa" w:w="5328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Elvárt válasz lényege</w:t>
            </w:r>
          </w:p>
        </w:tc>
      </w:tr>
      <w:tr>
        <w:trPr>
          <w:cantSplit w:val="true"/>
        </w:trPr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Elfogadható az elektronikus számla?</w:t>
            </w:r>
          </w:p>
        </w:tc>
        <w:tc>
          <w:tcPr>
            <w:tcW w:type="dxa" w:w="53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Igen. Az eredeti PDF vagy hiteles elektronikus dokumentum csatolandó.</w:t>
            </w:r>
          </w:p>
        </w:tc>
      </w:tr>
      <w:tr>
        <w:trPr>
          <w:cantSplit w:val="true"/>
        </w:trPr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Hány napon belül kell beadnom egy költséget?</w:t>
            </w:r>
          </w:p>
        </w:tc>
        <w:tc>
          <w:tcPr>
            <w:tcW w:type="dxa" w:w="53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Főszabály szerint 30 naptári napon belül. 31-60 nap között vezetői indoklás kell.</w:t>
            </w:r>
          </w:p>
        </w:tc>
      </w:tr>
      <w:tr>
        <w:trPr>
          <w:cantSplit w:val="true"/>
        </w:trPr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Elvesztettem egy 8 000 Ft-os nyugtát. Elszámolható?</w:t>
            </w:r>
          </w:p>
        </w:tc>
        <w:tc>
          <w:tcPr>
            <w:tcW w:type="dxa" w:w="53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Először másolatot kell kérni. Ha ez nem lehetséges, évente egyszer, legfeljebb 10 000 Ft-ig nyilatkozat fogadható el jóváhagyással.</w:t>
            </w:r>
          </w:p>
        </w:tc>
      </w:tr>
      <w:tr>
        <w:trPr>
          <w:cantSplit w:val="true"/>
        </w:trPr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Elszámolható a borravaló?</w:t>
            </w:r>
          </w:p>
        </w:tc>
        <w:tc>
          <w:tcPr>
            <w:tcW w:type="dxa" w:w="53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Nem, a borravaló nem téríthető.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2. Üzleti étkezés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4536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Eset</w:t>
            </w:r>
          </w:p>
        </w:tc>
        <w:tc>
          <w:tcPr>
            <w:tcW w:type="dxa" w:w="5112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Elvárt döntés</w:t>
            </w:r>
          </w:p>
        </w:tc>
      </w:tr>
      <w:tr>
        <w:trPr>
          <w:cantSplit w:val="true"/>
        </w:trPr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3 fő üzleti ebédje 39 000 Ft, alkohol nélkül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A keret 45 000 Ft, ezért 39 000 Ft téríthető.</w:t>
            </w:r>
          </w:p>
        </w:tc>
      </w:tr>
      <w:tr>
        <w:trPr>
          <w:cantSplit w:val="true"/>
        </w:trPr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4 fő vacsorája 68 000 Ft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A keret 60 000 Ft, ezért legfeljebb 60 000 Ft téríthető.</w:t>
            </w:r>
          </w:p>
        </w:tc>
      </w:tr>
      <w:tr>
        <w:trPr>
          <w:cantSplit w:val="true"/>
        </w:trPr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5 fő számlája 82 000 Ft, ebből 7 000 Ft alkohol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A nettó támogatható rész 75 000 Ft, amely megegyezik az 5 fős kerettel.</w:t>
            </w:r>
          </w:p>
        </w:tc>
      </w:tr>
      <w:tr>
        <w:trPr>
          <w:cantSplit w:val="true"/>
        </w:trPr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„Elszámolhatom a vacsorát?”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Vissza kell kérdezni az üzleti célra, összegre, résztvevők számára és tiltott tételekre.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3. Munkába járás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4536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Kérdés vagy eset</w:t>
            </w:r>
          </w:p>
        </w:tc>
        <w:tc>
          <w:tcPr>
            <w:tcW w:type="dxa" w:w="5112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Elvárt döntés</w:t>
            </w:r>
          </w:p>
        </w:tc>
      </w:tr>
      <w:tr>
        <w:trPr>
          <w:cantSplit w:val="true"/>
        </w:trPr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Havi bérlet ára 24 000 Ft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A támogatás 80%, azaz 19 200 Ft.</w:t>
            </w:r>
          </w:p>
        </w:tc>
      </w:tr>
      <w:tr>
        <w:trPr>
          <w:cantSplit w:val="true"/>
        </w:trPr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Havi bérlet ára 42 000 Ft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A 80% 33 600 Ft lenne, de a maximum 30 000 Ft.</w:t>
            </w:r>
          </w:p>
        </w:tc>
      </w:tr>
      <w:tr>
        <w:trPr>
          <w:cantSplit w:val="true"/>
        </w:trPr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18 km-re lakik, 10 irodai nap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36 km/nap x 10 x 30 Ft = 10 800 Ft.</w:t>
            </w:r>
          </w:p>
        </w:tc>
      </w:tr>
      <w:tr>
        <w:trPr>
          <w:cantSplit w:val="true"/>
        </w:trPr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Teljesen távmunkában dolgozik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Munkába járási támogatás nem jár.</w:t>
            </w:r>
          </w:p>
        </w:tc>
      </w:tr>
      <w:tr>
        <w:trPr>
          <w:cantSplit w:val="true"/>
        </w:trPr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„Hetente háromszor járok be, mennyi jár?”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Vissza kell kérdezni a távolságra, közlekedési módra és az adott havi tényleges irodai napokra.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4. Saját autó üzleti úton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4536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Eset</w:t>
            </w:r>
          </w:p>
        </w:tc>
        <w:tc>
          <w:tcPr>
            <w:tcW w:type="dxa" w:w="5112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Elvárt döntés</w:t>
            </w:r>
          </w:p>
        </w:tc>
      </w:tr>
      <w:tr>
        <w:trPr>
          <w:cantSplit w:val="true"/>
        </w:trPr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250 km-es ügyféllátogatás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250 x 45 Ft = 11 250 Ft.</w:t>
            </w:r>
          </w:p>
        </w:tc>
      </w:tr>
      <w:tr>
        <w:trPr>
          <w:cantSplit w:val="true"/>
        </w:trPr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180 km és 4 500 Ft parkolás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8 100 Ft kilométer-térítés + 4 500 Ft parkolás = 12 600 Ft.</w:t>
            </w:r>
          </w:p>
        </w:tc>
      </w:tr>
      <w:tr>
        <w:trPr>
          <w:cantSplit w:val="true"/>
        </w:trPr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100 km és külön 20 000 Ft üzemanyagszámla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Csak 4 500 Ft kilométer-térítés; az üzemanyag külön nem téríthető.</w:t>
            </w:r>
          </w:p>
        </w:tc>
      </w:tr>
      <w:tr>
        <w:trPr>
          <w:cantSplit w:val="true"/>
        </w:trPr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Ugyanarra az útra bérlettámogatást is kér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Kettős térítés miatt ugyanaz az útszakasz nem számolható el kétszer.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5. Rekreációs támogatás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4536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Eset</w:t>
            </w:r>
          </w:p>
        </w:tc>
        <w:tc>
          <w:tcPr>
            <w:tcW w:type="dxa" w:w="5112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Elvárt döntés</w:t>
            </w:r>
          </w:p>
        </w:tc>
      </w:tr>
      <w:tr>
        <w:trPr>
          <w:cantSplit w:val="true"/>
        </w:trPr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90 000 Ft szállás, teljes éves kerettel és jóváhagyással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90 000 Ft téríthető.</w:t>
            </w:r>
          </w:p>
        </w:tc>
      </w:tr>
      <w:tr>
        <w:trPr>
          <w:cantSplit w:val="true"/>
        </w:trPr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150 000 Ft szállás, 100 000 Ft maradék keret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Legfeljebb 100 000 Ft téríthető.</w:t>
            </w:r>
          </w:p>
        </w:tc>
      </w:tr>
      <w:tr>
        <w:trPr>
          <w:cantSplit w:val="true"/>
        </w:trPr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80 000 Ft szállás, ebből 12 000 Ft minibár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68 000 Ft támogatható.</w:t>
            </w:r>
          </w:p>
        </w:tc>
      </w:tr>
      <w:tr>
        <w:trPr>
          <w:cantSplit w:val="true"/>
        </w:trPr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50 000 Ft repülőjegy nyaraláshoz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Nem támogatható.</w:t>
            </w:r>
          </w:p>
        </w:tc>
      </w:tr>
      <w:tr>
        <w:trPr>
          <w:cantSplit w:val="true"/>
        </w:trPr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„Mennyi nyaralási támogatásom maradt?”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A chatbotnak be kell kérnie vagy toolból le kell kérnie az éves keretet és az eddig felhasznált összeget.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6. Több szabályzatot érintő összetett esetek</w:t>
      </w:r>
    </w:p>
    <w:p>
      <w:pPr>
        <w:pStyle w:val="ListNumber"/>
        <w:spacing w:after="60"/>
      </w:pPr>
      <w:r>
        <w:rPr>
          <w:rFonts w:ascii="Liberation Sans" w:hAnsi="Liberation Sans"/>
          <w:b w:val="0"/>
          <w:color w:val="263238"/>
          <w:sz w:val="20"/>
        </w:rPr>
        <w:t>A munkavállaló az irodából saját autóval utazik ügyfélhez, majd hazamegy. A chatbotnak el kell különítenie az üzleti útszakaszt a munkába járási szakasztól, és csak a jogos üzleti kilométert kell a POL-CAR-004 szerint számolnia.</w:t>
      </w:r>
    </w:p>
    <w:p>
      <w:pPr>
        <w:pStyle w:val="ListNumber"/>
        <w:spacing w:after="60"/>
      </w:pPr>
      <w:r>
        <w:rPr>
          <w:rFonts w:ascii="Liberation Sans" w:hAnsi="Liberation Sans"/>
          <w:b w:val="0"/>
          <w:color w:val="263238"/>
          <w:sz w:val="20"/>
        </w:rPr>
        <w:t>Egy külföldi konferencia szálláscsomagja reggelit és wellness-belépőt tartalmaz. Üzleti útnál a reggeli korlátozottan téríthető, a wellness-rész nem; rekreációs támogatásként ugyanaz a számla nem számolható el.</w:t>
      </w:r>
    </w:p>
    <w:p>
      <w:pPr>
        <w:pStyle w:val="ListNumber"/>
        <w:spacing w:after="60"/>
      </w:pPr>
      <w:r>
        <w:rPr>
          <w:rFonts w:ascii="Liberation Sans" w:hAnsi="Liberation Sans"/>
          <w:b w:val="0"/>
          <w:color w:val="263238"/>
          <w:sz w:val="20"/>
        </w:rPr>
        <w:t>Egy 80 000 Ft-os fejhallgatót a munkavállaló jóváhagyás nélkül vásárolt. A rendszernek fel kell ismernie, hogy a POL-EXP-001 szerint 50 001-150 000 Ft között előzetes területvezetői jóváhagyás szükséges.</w:t>
      </w:r>
    </w:p>
    <w:p>
      <w:pPr>
        <w:pStyle w:val="Heading1"/>
        <w:keepNext/>
        <w:keepLines/>
      </w:pPr>
      <w:r>
        <w:t>7. Javasolt visszakérdezési mezők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168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Téma</w:t>
            </w:r>
          </w:p>
        </w:tc>
        <w:tc>
          <w:tcPr>
            <w:tcW w:type="dxa" w:w="6480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Hiányzó adatok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Üzleti étkezés</w:t>
            </w:r>
          </w:p>
        </w:tc>
        <w:tc>
          <w:tcPr>
            <w:tcW w:type="dxa" w:w="64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összeg, résztvevők száma, üzleti cél, alkohol vagy más tiltott tétel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Munkába járás</w:t>
            </w:r>
          </w:p>
        </w:tc>
        <w:tc>
          <w:tcPr>
            <w:tcW w:type="dxa" w:w="64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közlekedési mód, egyirányú távolság, irodai napok, bérlet ára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Saját autó üzleti úton</w:t>
            </w:r>
          </w:p>
        </w:tc>
        <w:tc>
          <w:tcPr>
            <w:tcW w:type="dxa" w:w="64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indulási és érkezési hely, kilométer, üzleti cél, jóváhagyás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Rekreációs támogatás</w:t>
            </w:r>
          </w:p>
        </w:tc>
        <w:tc>
          <w:tcPr>
            <w:tcW w:type="dxa" w:w="64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szolgáltatás típusa, összeg, maradék keret, tiltott tételek, jóváhagyás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Késedelmes igény</w:t>
            </w:r>
          </w:p>
        </w:tc>
        <w:tc>
          <w:tcPr>
            <w:tcW w:type="dxa" w:w="64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költség dátuma, benyújtás dátuma, késedelem indoka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8. Javasolt válaszszerkezet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376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Válaszmező</w:t>
            </w:r>
          </w:p>
        </w:tc>
        <w:tc>
          <w:tcPr>
            <w:tcW w:type="dxa" w:w="7272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Tartalom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Döntés</w:t>
            </w:r>
          </w:p>
        </w:tc>
        <w:tc>
          <w:tcPr>
            <w:tcW w:type="dxa" w:w="72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elszámolható, részben elszámolható, nem elszámolható vagy további adat szükséges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Számítás</w:t>
            </w:r>
          </w:p>
        </w:tc>
        <w:tc>
          <w:tcPr>
            <w:tcW w:type="dxa" w:w="72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a használt keret, képlet és a téríthető összeg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Feltételek</w:t>
            </w:r>
          </w:p>
        </w:tc>
        <w:tc>
          <w:tcPr>
            <w:tcW w:type="dxa" w:w="72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jóváhagyás, jogosultság, határidő és esetleges kivétel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Dokumentumok</w:t>
            </w:r>
          </w:p>
        </w:tc>
        <w:tc>
          <w:tcPr>
            <w:tcW w:type="dxa" w:w="72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a kötelezően csatolandó bizonylatok és nyilatkozatok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Forrás</w:t>
            </w:r>
          </w:p>
        </w:tc>
        <w:tc>
          <w:tcPr>
            <w:tcW w:type="dxa" w:w="72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a vonatkozó dokumentumkód és szabályzati fejezet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9. Értékelési alapelvek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A rendszer ne adjon végleges döntést, ha a szükséges összeg, dátum, távolság vagy jogosultsági adat hiányzik.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A kalkulációt determinisztikus tool végezze, és a képlet jelenjen meg a válaszban.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A válasz mindig nevezze meg a felhasznált szabályzatot vagy jelezze, ha nem talált megfelelő forrást.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A rendszer különböztesse meg a munkába járást, az üzleti utat és a rekreációs támogatást.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Tiltott tétel esetén a támogatható részt külön számítsa ki, ha a bizonylat tételei elkülöníthetők.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B7378"/>
        <w:sz w:val="16"/>
      </w:rPr>
      <w:t>Oktatási célú mintadokumentum.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2" w:lineRule="auto"/>
    </w:pPr>
    <w:rPr>
      <w:rFonts w:ascii="Liberation Sans" w:hAnsi="Liberation Sans"/>
      <w:color w:val="2632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7D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632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Liberation Sans" w:hAnsi="Liberation Sans"/>
      <w:b w:val="0"/>
      <w:i/>
      <w:iCs/>
      <w:color w:val="2F7D8C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