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3a6e"/>
          <w:sz w:val="36"/>
          <w:szCs w:val="36"/>
        </w:rPr>
        <w:t xml:space="preserve">TULC – Replit Architectural Response</w:t>
      </w:r>
    </w:p>
    <w:p>
      <w:pPr>
        <w:spacing w:after="80"/>
        <w:jc w:val="center"/>
      </w:pPr>
      <w:r>
        <w:rPr>
          <w:i/>
          <w:iCs/>
          <w:color w:val="444444"/>
          <w:sz w:val="26"/>
          <w:szCs w:val="26"/>
        </w:rPr>
        <w:t xml:space="preserve">The Ultimate Learning Coach</w:t>
      </w:r>
    </w:p>
    <w:p>
      <w:pPr>
        <w:spacing w:after="80"/>
        <w:jc w:val="center"/>
      </w:pPr>
      <w:r>
        <w:rPr>
          <w:color w:val="666666"/>
          <w:sz w:val="24"/>
          <w:szCs w:val="24"/>
        </w:rPr>
        <w:t xml:space="preserve">Architecture Consultation Response</w:t>
      </w:r>
    </w:p>
    <w:p>
      <w:pPr>
        <w:spacing w:after="80"/>
        <w:jc w:val="center"/>
      </w:pPr>
      <w:r>
        <w:rPr>
          <w:i/>
          <w:iCs/>
          <w:color w:val="888888"/>
          <w:sz w:val="22"/>
          <w:szCs w:val="22"/>
        </w:rPr>
        <w:t xml:space="preserve">Prepared by: Replit Agent (Senior Mobile/Edge-AI Architect role)</w:t>
      </w:r>
    </w:p>
    <w:p>
      <w:pPr>
        <w:spacing w:after="240"/>
        <w:jc w:val="center"/>
      </w:pPr>
      <w:r>
        <w:rPr>
          <w:color w:val="888888"/>
          <w:sz w:val="22"/>
          <w:szCs w:val="22"/>
        </w:rPr>
        <w:t xml:space="preserve">Date: August 9, 2026</w:t>
      </w:r>
    </w:p>
    <w:p>
      <w:pPr>
        <w:pBdr>
          <w:bottom w:val="single" w:color="AAAAAA" w:sz="6" w:space="1"/>
        </w:pBdr>
        <w:spacing w:after="120" w:before="120"/>
      </w:pPr>
    </w:p>
    <w:p>
      <w:pPr>
        <w:pStyle w:val="Heading1"/>
        <w:spacing w:after="120" w:before="360"/>
      </w:pPr>
      <w:r>
        <w:t xml:space="preserve">Opening Assessment</w:t>
      </w:r>
    </w:p>
    <w:p>
      <w:pPr>
        <w:spacing w:after="120"/>
      </w:pPr>
      <w:r>
        <w:rPr>
          <w:sz w:val="24"/>
          <w:szCs w:val="24"/>
        </w:rPr>
        <w:t xml:space="preserve">Your two-project instinct is structurally sound, and the reasoning behind it — separating the student-facing UX from the model experimentation harness — is correct. However, the way those two projects relate to each other needs to be more deliberately designed from day one, or you will face an integration rewrite when TEE results are ready to move into production. The following responses address each of your twelve questions in detail, followed by a single consolidated recommendation.</w:t>
      </w:r>
    </w:p>
    <w:p>
      <w:pPr>
        <w:spacing w:after="120"/>
      </w:pPr>
      <w:r>
        <w:rPr>
          <w:sz w:val="24"/>
          <w:szCs w:val="24"/>
        </w:rPr>
        <w:t xml:space="preserve">The core tension in your architecture is this: TULC-Mobile and TEE share a logical contract (the AIEngine interface and the RAG retrieval protocol), but they will be developed by different tools, possibly different agents, at different paces. If that shared contract lives inside either project, the other project will drift, and integration will be painful. The architecture must ensure the contract is the source of truth, not an afterthought.</w:t>
      </w:r>
    </w:p>
    <w:p>
      <w:pPr>
        <w:pBdr>
          <w:bottom w:val="single" w:color="AAAAAA" w:sz="6" w:space="1"/>
        </w:pBdr>
        <w:spacing w:after="120" w:before="120"/>
      </w:pPr>
    </w:p>
    <w:p>
      <w:pPr>
        <w:pStyle w:val="Heading1"/>
        <w:spacing w:after="120" w:before="360"/>
      </w:pPr>
      <w:r>
        <w:t xml:space="preserve">Q1. One Repository or Two?</w:t>
      </w:r>
    </w:p>
    <w:p>
      <w:pPr>
        <w:pStyle w:val="Heading2"/>
        <w:spacing w:after="80" w:before="240"/>
      </w:pPr>
      <w:r>
        <w:t xml:space="preserve">Recommendation: One pnpm monorepo with two deployable packages and one shared contract library</w:t>
      </w:r>
    </w:p>
    <w:p>
      <w:pPr>
        <w:spacing w:after="120"/>
      </w:pPr>
      <w:r>
        <w:rPr>
          <w:sz w:val="24"/>
          <w:szCs w:val="24"/>
        </w:rPr>
        <w:t xml:space="preserve">Do not use two fully separate repositories. The reasoning below explains why, but the short answer is: shared TypeScript contracts between two separate repos require either npm publishing, git submodules, or copy-paste — all of which introduce version drift and friction at exactly the wrong moment (when you are trying to swap the cloud LLM for the on-device SLM).</w:t>
      </w:r>
    </w:p>
    <w:p>
      <w:pPr>
        <w:spacing w:after="120"/>
      </w:pPr>
      <w:r>
        <w:rPr>
          <w:sz w:val="24"/>
          <w:szCs w:val="24"/>
        </w:rPr>
        <w:t xml:space="preserve">A pnpm workspace monorepo gives you:</w:t>
      </w:r>
    </w:p>
    <w:p>
      <w:pPr>
        <w:pStyle w:val="ListParagraph"/>
        <w:numPr>
          <w:ilvl w:val="0"/>
          <w:numId w:val="1"/>
        </w:numPr>
        <w:spacing w:after="60"/>
      </w:pPr>
      <w:r>
        <w:rPr>
          <w:sz w:val="24"/>
          <w:szCs w:val="24"/>
        </w:rPr>
        <w:t xml:space="preserve">A single source of truth for the AIEngine interface and RAG retrieval contract</w:t>
      </w:r>
    </w:p>
    <w:p>
      <w:pPr>
        <w:pStyle w:val="ListParagraph"/>
        <w:numPr>
          <w:ilvl w:val="0"/>
          <w:numId w:val="1"/>
        </w:numPr>
        <w:spacing w:after="60"/>
      </w:pPr>
      <w:r>
        <w:rPr>
          <w:sz w:val="24"/>
          <w:szCs w:val="24"/>
        </w:rPr>
        <w:t xml:space="preserve">Instant cross-package TypeScript type-checking — a change to the interface fails both TULC-Mobile and TEE at compile time before you even run the app</w:t>
      </w:r>
    </w:p>
    <w:p>
      <w:pPr>
        <w:pStyle w:val="ListParagraph"/>
        <w:numPr>
          <w:ilvl w:val="0"/>
          <w:numId w:val="1"/>
        </w:numPr>
        <w:spacing w:after="60"/>
      </w:pPr>
      <w:r>
        <w:rPr>
          <w:sz w:val="24"/>
          <w:szCs w:val="24"/>
        </w:rPr>
        <w:t xml:space="preserve">Independent package.json files, so TULC-Mobile dependencies do not pollute TEE and vice versa</w:t>
      </w:r>
    </w:p>
    <w:p>
      <w:pPr>
        <w:pStyle w:val="ListParagraph"/>
        <w:numPr>
          <w:ilvl w:val="0"/>
          <w:numId w:val="1"/>
        </w:numPr>
        <w:spacing w:after="60"/>
      </w:pPr>
      <w:r>
        <w:rPr>
          <w:sz w:val="24"/>
          <w:szCs w:val="24"/>
        </w:rPr>
        <w:t xml:space="preserve">The ability to publish packages independently if you later want to move TEE to a different runtime (e.g., a local Python harness that imports a JS type stub)</w:t>
      </w:r>
    </w:p>
    <w:p>
      <w:pPr>
        <w:pStyle w:val="ListParagraph"/>
        <w:numPr>
          <w:ilvl w:val="0"/>
          <w:numId w:val="1"/>
        </w:numPr>
        <w:spacing w:after="60"/>
      </w:pPr>
      <w:r>
        <w:rPr>
          <w:sz w:val="24"/>
          <w:szCs w:val="24"/>
        </w:rPr>
        <w:t xml:space="preserve">A single git history that makes it trivial to bisect integration regressions</w:t>
      </w:r>
    </w:p>
    <w:p>
      <w:pPr>
        <w:spacing w:after="120"/>
      </w:pPr>
      <w:r>
        <w:rPr>
          <w:sz w:val="24"/>
          <w:szCs w:val="24"/>
        </w:rPr>
        <w:t xml:space="preserve">If the TEE team (or Claude agent) is working in a truly separate environment, a monorepo with a shared branch model still works. Each agent operates on its own package directory; the shared lib is the handshake. The monorepo does not require everyone to work in the same IDE or even the same host.</w:t>
      </w:r>
    </w:p>
    <w:p>
      <w:pPr>
        <w:pBdr>
          <w:bottom w:val="single" w:color="AAAAAA" w:sz="6" w:space="1"/>
        </w:pBdr>
        <w:spacing w:after="120" w:before="120"/>
      </w:pPr>
    </w:p>
    <w:p>
      <w:pPr>
        <w:pStyle w:val="Heading1"/>
        <w:spacing w:after="120" w:before="360"/>
      </w:pPr>
      <w:r>
        <w:t xml:space="preserve">Q2. Why Monorepo Is Better For This Specific Project</w:t>
      </w:r>
    </w:p>
    <w:p>
      <w:pPr>
        <w:spacing w:after="120"/>
      </w:pPr>
      <w:r>
        <w:rPr>
          <w:sz w:val="24"/>
          <w:szCs w:val="24"/>
        </w:rPr>
        <w:t xml:space="preserve">The canonical argument for two separate repos is: "the teams are independent and have no shared code." That argument does not apply here. TULC-Mobile and TEE share:</w:t>
      </w:r>
    </w:p>
    <w:p>
      <w:pPr>
        <w:pStyle w:val="ListParagraph"/>
        <w:numPr>
          <w:ilvl w:val="0"/>
          <w:numId w:val="1"/>
        </w:numPr>
        <w:spacing w:after="60"/>
      </w:pPr>
      <w:r>
        <w:rPr>
          <w:sz w:val="24"/>
          <w:szCs w:val="24"/>
        </w:rPr>
        <w:t xml:space="preserve">The AIEngine request/response interface (student question, detected language, retrieved context, coaching instruction → generated response + metadata)</w:t>
      </w:r>
    </w:p>
    <w:p>
      <w:pPr>
        <w:pStyle w:val="ListParagraph"/>
        <w:numPr>
          <w:ilvl w:val="0"/>
          <w:numId w:val="1"/>
        </w:numPr>
        <w:spacing w:after="60"/>
      </w:pPr>
      <w:r>
        <w:rPr>
          <w:sz w:val="24"/>
          <w:szCs w:val="24"/>
        </w:rPr>
        <w:t xml:space="preserve">The RAG retrieval contract (query → retrieved chunks with source attribution)</w:t>
      </w:r>
    </w:p>
    <w:p>
      <w:pPr>
        <w:pStyle w:val="ListParagraph"/>
        <w:numPr>
          <w:ilvl w:val="0"/>
          <w:numId w:val="1"/>
        </w:numPr>
        <w:spacing w:after="60"/>
      </w:pPr>
      <w:r>
        <w:rPr>
          <w:sz w:val="24"/>
          <w:szCs w:val="24"/>
        </w:rPr>
        <w:t xml:space="preserve">The session/state schema (student profile, weak-concept flags, interaction history shape)</w:t>
      </w:r>
    </w:p>
    <w:p>
      <w:pPr>
        <w:pStyle w:val="ListParagraph"/>
        <w:numPr>
          <w:ilvl w:val="0"/>
          <w:numId w:val="1"/>
        </w:numPr>
        <w:spacing w:after="60"/>
      </w:pPr>
      <w:r>
        <w:rPr>
          <w:sz w:val="24"/>
          <w:szCs w:val="24"/>
        </w:rPr>
        <w:t xml:space="preserve">Possibly: the language detection utility, the curriculum metadata types, and the coaching instruction builder</w:t>
      </w:r>
    </w:p>
    <w:p>
      <w:pPr>
        <w:spacing w:after="120"/>
      </w:pPr>
      <w:r>
        <w:rPr>
          <w:sz w:val="24"/>
          <w:szCs w:val="24"/>
        </w:rPr>
        <w:t xml:space="preserve">All of these are type-level contracts. If they live in a shared lib, a change to the AIEngine response shape fails both packages immediately. If they live in two separate repos, you will discover the mismatch only when you try to plug TEE into Mobile — which is the most time-pressured moment of the entire project.</w:t>
      </w:r>
    </w:p>
    <w:p>
      <w:pPr>
        <w:spacing w:after="120"/>
      </w:pPr>
      <w:r>
        <w:rPr>
          <w:sz w:val="24"/>
          <w:szCs w:val="24"/>
        </w:rPr>
        <w:t xml:space="preserve">Monorepo structure that maps to your two projects:</w:t>
      </w:r>
    </w:p>
    <w:p>
      <w:pPr>
        <w:spacing w:after="60"/>
        <w:ind w:left="720"/>
      </w:pPr>
      <w:r>
        <w:rPr>
          <w:rFonts w:ascii="Courier New" w:cs="Courier New" w:eastAsia="Courier New" w:hAnsi="Courier New"/>
          <w:color w:val="1a1a1a"/>
          <w:sz w:val="20"/>
          <w:szCs w:val="20"/>
        </w:rPr>
        <w:t xml:space="preserve">tulc/</w:t>
      </w:r>
    </w:p>
    <w:p>
      <w:pPr>
        <w:spacing w:after="60"/>
        <w:ind w:left="720"/>
      </w:pPr>
      <w:r>
        <w:rPr>
          <w:rFonts w:ascii="Courier New" w:cs="Courier New" w:eastAsia="Courier New" w:hAnsi="Courier New"/>
          <w:color w:val="1a1a1a"/>
          <w:sz w:val="20"/>
          <w:szCs w:val="20"/>
        </w:rPr>
        <w:t xml:space="preserve">├── apps/</w:t>
      </w:r>
    </w:p>
    <w:p>
      <w:pPr>
        <w:spacing w:after="60"/>
        <w:ind w:left="720"/>
      </w:pPr>
      <w:r>
        <w:rPr>
          <w:rFonts w:ascii="Courier New" w:cs="Courier New" w:eastAsia="Courier New" w:hAnsi="Courier New"/>
          <w:color w:val="1a1a1a"/>
          <w:sz w:val="20"/>
          <w:szCs w:val="20"/>
        </w:rPr>
        <w:t xml:space="preserve">│   ├── mobile/          # TULC-Mobile: Expo / React Native</w:t>
      </w:r>
    </w:p>
    <w:p>
      <w:pPr>
        <w:spacing w:after="60"/>
        <w:ind w:left="720"/>
      </w:pPr>
      <w:r>
        <w:rPr>
          <w:rFonts w:ascii="Courier New" w:cs="Courier New" w:eastAsia="Courier New" w:hAnsi="Courier New"/>
          <w:color w:val="1a1a1a"/>
          <w:sz w:val="20"/>
          <w:szCs w:val="20"/>
        </w:rPr>
        <w:t xml:space="preserve">│   └── tee/             # TULC Edge Engine: test harness + benchmarking UI</w:t>
      </w:r>
    </w:p>
    <w:p>
      <w:pPr>
        <w:spacing w:after="60"/>
        <w:ind w:left="720"/>
      </w:pPr>
      <w:r>
        <w:rPr>
          <w:rFonts w:ascii="Courier New" w:cs="Courier New" w:eastAsia="Courier New" w:hAnsi="Courier New"/>
          <w:color w:val="1a1a1a"/>
          <w:sz w:val="20"/>
          <w:szCs w:val="20"/>
        </w:rPr>
        <w:t xml:space="preserve">├── packages/</w:t>
      </w:r>
    </w:p>
    <w:p>
      <w:pPr>
        <w:spacing w:after="60"/>
        <w:ind w:left="720"/>
      </w:pPr>
      <w:r>
        <w:rPr>
          <w:rFonts w:ascii="Courier New" w:cs="Courier New" w:eastAsia="Courier New" w:hAnsi="Courier New"/>
          <w:color w:val="1a1a1a"/>
          <w:sz w:val="20"/>
          <w:szCs w:val="20"/>
        </w:rPr>
        <w:t xml:space="preserve">│   ├── ai-engine/       # AIEngine interface + CloudAIEngine adapter</w:t>
      </w:r>
    </w:p>
    <w:p>
      <w:pPr>
        <w:spacing w:after="60"/>
        <w:ind w:left="720"/>
      </w:pPr>
      <w:r>
        <w:rPr>
          <w:rFonts w:ascii="Courier New" w:cs="Courier New" w:eastAsia="Courier New" w:hAnsi="Courier New"/>
          <w:color w:val="1a1a1a"/>
          <w:sz w:val="20"/>
          <w:szCs w:val="20"/>
        </w:rPr>
        <w:t xml:space="preserve">│   ├── rag-core/        # RAG retrieval logic (shared, on-device target)</w:t>
      </w:r>
    </w:p>
    <w:p>
      <w:pPr>
        <w:spacing w:after="60"/>
        <w:ind w:left="720"/>
      </w:pPr>
      <w:r>
        <w:rPr>
          <w:rFonts w:ascii="Courier New" w:cs="Courier New" w:eastAsia="Courier New" w:hAnsi="Courier New"/>
          <w:color w:val="1a1a1a"/>
          <w:sz w:val="20"/>
          <w:szCs w:val="20"/>
        </w:rPr>
        <w:t xml:space="preserve">│   ├── session/         # Student session state schema and manager</w:t>
      </w:r>
    </w:p>
    <w:p>
      <w:pPr>
        <w:spacing w:after="60"/>
        <w:ind w:left="720"/>
      </w:pPr>
      <w:r>
        <w:rPr>
          <w:rFonts w:ascii="Courier New" w:cs="Courier New" w:eastAsia="Courier New" w:hAnsi="Courier New"/>
          <w:color w:val="1a1a1a"/>
          <w:sz w:val="20"/>
          <w:szCs w:val="20"/>
        </w:rPr>
        <w:t xml:space="preserve">│   ├── coach-engine/    # Coaching logic (quiz, reteach, teach-back, etc.)</w:t>
      </w:r>
    </w:p>
    <w:p>
      <w:pPr>
        <w:spacing w:after="60"/>
        <w:ind w:left="720"/>
      </w:pPr>
      <w:r>
        <w:rPr>
          <w:rFonts w:ascii="Courier New" w:cs="Courier New" w:eastAsia="Courier New" w:hAnsi="Courier New"/>
          <w:color w:val="1a1a1a"/>
          <w:sz w:val="20"/>
          <w:szCs w:val="20"/>
        </w:rPr>
        <w:t xml:space="preserve">│   └── curriculum/      # Curriculum metadata types and curriculum loader</w:t>
      </w:r>
    </w:p>
    <w:p>
      <w:pPr>
        <w:spacing w:after="60"/>
        <w:ind w:left="720"/>
      </w:pPr>
      <w:r>
        <w:rPr>
          <w:rFonts w:ascii="Courier New" w:cs="Courier New" w:eastAsia="Courier New" w:hAnsi="Courier New"/>
          <w:color w:val="1a1a1a"/>
          <w:sz w:val="20"/>
          <w:szCs w:val="20"/>
        </w:rPr>
        <w:t xml:space="preserve">├── pnpm-workspace.yaml</w:t>
      </w:r>
    </w:p>
    <w:p>
      <w:pPr>
        <w:spacing w:after="60"/>
        <w:ind w:left="720"/>
      </w:pPr>
      <w:r>
        <w:rPr>
          <w:rFonts w:ascii="Courier New" w:cs="Courier New" w:eastAsia="Courier New" w:hAnsi="Courier New"/>
          <w:color w:val="1a1a1a"/>
          <w:sz w:val="20"/>
          <w:szCs w:val="20"/>
        </w:rPr>
        <w:t xml:space="preserve">└── tsconfig.base.json</w:t>
      </w:r>
    </w:p>
    <w:p>
      <w:pPr>
        <w:pBdr>
          <w:bottom w:val="single" w:color="AAAAAA" w:sz="6" w:space="1"/>
        </w:pBdr>
        <w:spacing w:after="120" w:before="120"/>
      </w:pPr>
    </w:p>
    <w:p>
      <w:pPr>
        <w:pStyle w:val="Heading1"/>
        <w:spacing w:after="120" w:before="360"/>
      </w:pPr>
      <w:r>
        <w:t xml:space="preserve">Q3. Organizing Shared Interfaces for Interchangeability</w:t>
      </w:r>
    </w:p>
    <w:p>
      <w:pPr>
        <w:spacing w:after="120"/>
      </w:pPr>
      <w:r>
        <w:rPr>
          <w:sz w:val="24"/>
          <w:szCs w:val="24"/>
        </w:rPr>
        <w:t xml:space="preserve">The AIEngine interface is the single most important architectural artifact in this project. It must be defined in the shared packages/ai-engine library and imported by both Mobile and TEE. It should never be copied.</w:t>
      </w:r>
    </w:p>
    <w:p>
      <w:pPr>
        <w:spacing w:after="120"/>
      </w:pPr>
      <w:r>
        <w:rPr>
          <w:sz w:val="24"/>
          <w:szCs w:val="24"/>
        </w:rPr>
        <w:t xml:space="preserve">Minimum interface shape:</w:t>
      </w:r>
    </w:p>
    <w:p>
      <w:pPr>
        <w:spacing w:after="60"/>
        <w:ind w:left="720"/>
      </w:pPr>
      <w:r>
        <w:rPr>
          <w:rFonts w:ascii="Courier New" w:cs="Courier New" w:eastAsia="Courier New" w:hAnsi="Courier New"/>
          <w:color w:val="1a1a1a"/>
          <w:sz w:val="20"/>
          <w:szCs w:val="20"/>
        </w:rPr>
        <w:t xml:space="preserve">// packages/ai-engine/src/index.ts</w:t>
      </w:r>
    </w:p>
    <w:p>
      <w:pPr>
        <w:spacing w:after="60"/>
        <w:ind w:left="720"/>
      </w:pPr>
      <w:r>
        <w:rPr>
          <w:rFonts w:ascii="Courier New" w:cs="Courier New" w:eastAsia="Courier New" w:hAnsi="Courier New"/>
          <w:color w:val="1a1a1a"/>
          <w:sz w:val="20"/>
          <w:szCs w:val="20"/>
        </w:rPr>
        <w:t xml:space="preserve"/>
      </w:r>
    </w:p>
    <w:p>
      <w:pPr>
        <w:spacing w:after="60"/>
        <w:ind w:left="720"/>
      </w:pPr>
      <w:r>
        <w:rPr>
          <w:rFonts w:ascii="Courier New" w:cs="Courier New" w:eastAsia="Courier New" w:hAnsi="Courier New"/>
          <w:color w:val="1a1a1a"/>
          <w:sz w:val="20"/>
          <w:szCs w:val="20"/>
        </w:rPr>
        <w:t xml:space="preserve">export interface AIEngineRequest {</w:t>
      </w:r>
    </w:p>
    <w:p>
      <w:pPr>
        <w:spacing w:after="60"/>
        <w:ind w:left="720"/>
      </w:pPr>
      <w:r>
        <w:rPr>
          <w:rFonts w:ascii="Courier New" w:cs="Courier New" w:eastAsia="Courier New" w:hAnsi="Courier New"/>
          <w:color w:val="1a1a1a"/>
          <w:sz w:val="20"/>
          <w:szCs w:val="20"/>
        </w:rPr>
        <w:t xml:space="preserve">  studentQuestion: string;</w:t>
      </w:r>
    </w:p>
    <w:p>
      <w:pPr>
        <w:spacing w:after="60"/>
        <w:ind w:left="720"/>
      </w:pPr>
      <w:r>
        <w:rPr>
          <w:rFonts w:ascii="Courier New" w:cs="Courier New" w:eastAsia="Courier New" w:hAnsi="Courier New"/>
          <w:color w:val="1a1a1a"/>
          <w:sz w:val="20"/>
          <w:szCs w:val="20"/>
        </w:rPr>
        <w:t xml:space="preserve">  detectedLanguage: "en" | "mr";</w:t>
      </w:r>
    </w:p>
    <w:p>
      <w:pPr>
        <w:spacing w:after="60"/>
        <w:ind w:left="720"/>
      </w:pPr>
      <w:r>
        <w:rPr>
          <w:rFonts w:ascii="Courier New" w:cs="Courier New" w:eastAsia="Courier New" w:hAnsi="Courier New"/>
          <w:color w:val="1a1a1a"/>
          <w:sz w:val="20"/>
          <w:szCs w:val="20"/>
        </w:rPr>
        <w:t xml:space="preserve">  retrievedContext: CurriculumChunk[];   // from rag-core</w:t>
      </w:r>
    </w:p>
    <w:p>
      <w:pPr>
        <w:spacing w:after="60"/>
        <w:ind w:left="720"/>
      </w:pPr>
      <w:r>
        <w:rPr>
          <w:rFonts w:ascii="Courier New" w:cs="Courier New" w:eastAsia="Courier New" w:hAnsi="Courier New"/>
          <w:color w:val="1a1a1a"/>
          <w:sz w:val="20"/>
          <w:szCs w:val="20"/>
        </w:rPr>
        <w:t xml:space="preserve">  coachingInstruction: CoachingInstruction; // from coach-engine</w:t>
      </w:r>
    </w:p>
    <w:p>
      <w:pPr>
        <w:spacing w:after="60"/>
        <w:ind w:left="720"/>
      </w:pPr>
      <w:r>
        <w:rPr>
          <w:rFonts w:ascii="Courier New" w:cs="Courier New" w:eastAsia="Courier New" w:hAnsi="Courier New"/>
          <w:color w:val="1a1a1a"/>
          <w:sz w:val="20"/>
          <w:szCs w:val="20"/>
        </w:rPr>
        <w:t xml:space="preserve">  sessionState: SessionSnapshot;          // from session</w:t>
      </w:r>
    </w:p>
    <w:p>
      <w:pPr>
        <w:spacing w:after="60"/>
        <w:ind w:left="720"/>
      </w:pPr>
      <w:r>
        <w:rPr>
          <w:rFonts w:ascii="Courier New" w:cs="Courier New" w:eastAsia="Courier New" w:hAnsi="Courier New"/>
          <w:color w:val="1a1a1a"/>
          <w:sz w:val="20"/>
          <w:szCs w:val="20"/>
        </w:rPr>
        <w:t xml:space="preserve">}</w:t>
      </w:r>
    </w:p>
    <w:p>
      <w:pPr>
        <w:spacing w:after="60"/>
        <w:ind w:left="720"/>
      </w:pPr>
      <w:r>
        <w:rPr>
          <w:rFonts w:ascii="Courier New" w:cs="Courier New" w:eastAsia="Courier New" w:hAnsi="Courier New"/>
          <w:color w:val="1a1a1a"/>
          <w:sz w:val="20"/>
          <w:szCs w:val="20"/>
        </w:rPr>
        <w:t xml:space="preserve"/>
      </w:r>
    </w:p>
    <w:p>
      <w:pPr>
        <w:spacing w:after="60"/>
        <w:ind w:left="720"/>
      </w:pPr>
      <w:r>
        <w:rPr>
          <w:rFonts w:ascii="Courier New" w:cs="Courier New" w:eastAsia="Courier New" w:hAnsi="Courier New"/>
          <w:color w:val="1a1a1a"/>
          <w:sz w:val="20"/>
          <w:szCs w:val="20"/>
        </w:rPr>
        <w:t xml:space="preserve">export interface AIEngineResponse {</w:t>
      </w:r>
    </w:p>
    <w:p>
      <w:pPr>
        <w:spacing w:after="60"/>
        <w:ind w:left="720"/>
      </w:pPr>
      <w:r>
        <w:rPr>
          <w:rFonts w:ascii="Courier New" w:cs="Courier New" w:eastAsia="Courier New" w:hAnsi="Courier New"/>
          <w:color w:val="1a1a1a"/>
          <w:sz w:val="20"/>
          <w:szCs w:val="20"/>
        </w:rPr>
        <w:t xml:space="preserve">  generatedText: string;</w:t>
      </w:r>
    </w:p>
    <w:p>
      <w:pPr>
        <w:spacing w:after="60"/>
        <w:ind w:left="720"/>
      </w:pPr>
      <w:r>
        <w:rPr>
          <w:rFonts w:ascii="Courier New" w:cs="Courier New" w:eastAsia="Courier New" w:hAnsi="Courier New"/>
          <w:color w:val="1a1a1a"/>
          <w:sz w:val="20"/>
          <w:szCs w:val="20"/>
        </w:rPr>
        <w:t xml:space="preserve">  responseLanguage: "en" | "mr";</w:t>
      </w:r>
    </w:p>
    <w:p>
      <w:pPr>
        <w:spacing w:after="60"/>
        <w:ind w:left="720"/>
      </w:pPr>
      <w:r>
        <w:rPr>
          <w:rFonts w:ascii="Courier New" w:cs="Courier New" w:eastAsia="Courier New" w:hAnsi="Courier New"/>
          <w:color w:val="1a1a1a"/>
          <w:sz w:val="20"/>
          <w:szCs w:val="20"/>
        </w:rPr>
        <w:t xml:space="preserve">  latencyMs: number;</w:t>
      </w:r>
    </w:p>
    <w:p>
      <w:pPr>
        <w:spacing w:after="60"/>
        <w:ind w:left="720"/>
      </w:pPr>
      <w:r>
        <w:rPr>
          <w:rFonts w:ascii="Courier New" w:cs="Courier New" w:eastAsia="Courier New" w:hAnsi="Courier New"/>
          <w:color w:val="1a1a1a"/>
          <w:sz w:val="20"/>
          <w:szCs w:val="20"/>
        </w:rPr>
        <w:t xml:space="preserve">  tokensGenerated?: number;</w:t>
      </w:r>
    </w:p>
    <w:p>
      <w:pPr>
        <w:spacing w:after="60"/>
        <w:ind w:left="720"/>
      </w:pPr>
      <w:r>
        <w:rPr>
          <w:rFonts w:ascii="Courier New" w:cs="Courier New" w:eastAsia="Courier New" w:hAnsi="Courier New"/>
          <w:color w:val="1a1a1a"/>
          <w:sz w:val="20"/>
          <w:szCs w:val="20"/>
        </w:rPr>
        <w:t xml:space="preserve">  modelId?: string;</w:t>
      </w:r>
    </w:p>
    <w:p>
      <w:pPr>
        <w:spacing w:after="60"/>
        <w:ind w:left="720"/>
      </w:pPr>
      <w:r>
        <w:rPr>
          <w:rFonts w:ascii="Courier New" w:cs="Courier New" w:eastAsia="Courier New" w:hAnsi="Courier New"/>
          <w:color w:val="1a1a1a"/>
          <w:sz w:val="20"/>
          <w:szCs w:val="20"/>
        </w:rPr>
        <w:t xml:space="preserve">}</w:t>
      </w:r>
    </w:p>
    <w:p>
      <w:pPr>
        <w:spacing w:after="60"/>
        <w:ind w:left="720"/>
      </w:pPr>
      <w:r>
        <w:rPr>
          <w:rFonts w:ascii="Courier New" w:cs="Courier New" w:eastAsia="Courier New" w:hAnsi="Courier New"/>
          <w:color w:val="1a1a1a"/>
          <w:sz w:val="20"/>
          <w:szCs w:val="20"/>
        </w:rPr>
        <w:t xml:space="preserve"/>
      </w:r>
    </w:p>
    <w:p>
      <w:pPr>
        <w:spacing w:after="60"/>
        <w:ind w:left="720"/>
      </w:pPr>
      <w:r>
        <w:rPr>
          <w:rFonts w:ascii="Courier New" w:cs="Courier New" w:eastAsia="Courier New" w:hAnsi="Courier New"/>
          <w:color w:val="1a1a1a"/>
          <w:sz w:val="20"/>
          <w:szCs w:val="20"/>
        </w:rPr>
        <w:t xml:space="preserve">export interface AIEngine {</w:t>
      </w:r>
    </w:p>
    <w:p>
      <w:pPr>
        <w:spacing w:after="60"/>
        <w:ind w:left="720"/>
      </w:pPr>
      <w:r>
        <w:rPr>
          <w:rFonts w:ascii="Courier New" w:cs="Courier New" w:eastAsia="Courier New" w:hAnsi="Courier New"/>
          <w:color w:val="1a1a1a"/>
          <w:sz w:val="20"/>
          <w:szCs w:val="20"/>
        </w:rPr>
        <w:t xml:space="preserve">  generate(request: AIEngineRequest): Promise&lt;AIEngineResponse&gt;;</w:t>
      </w:r>
    </w:p>
    <w:p>
      <w:pPr>
        <w:spacing w:after="60"/>
        <w:ind w:left="720"/>
      </w:pPr>
      <w:r>
        <w:rPr>
          <w:rFonts w:ascii="Courier New" w:cs="Courier New" w:eastAsia="Courier New" w:hAnsi="Courier New"/>
          <w:color w:val="1a1a1a"/>
          <w:sz w:val="20"/>
          <w:szCs w:val="20"/>
        </w:rPr>
        <w:t xml:space="preserve">  isAvailable(): Promise&lt;boolean&gt;;</w:t>
      </w:r>
    </w:p>
    <w:p>
      <w:pPr>
        <w:spacing w:after="60"/>
        <w:ind w:left="720"/>
      </w:pPr>
      <w:r>
        <w:rPr>
          <w:rFonts w:ascii="Courier New" w:cs="Courier New" w:eastAsia="Courier New" w:hAnsi="Courier New"/>
          <w:color w:val="1a1a1a"/>
          <w:sz w:val="20"/>
          <w:szCs w:val="20"/>
        </w:rPr>
        <w:t xml:space="preserve">}</w:t>
      </w:r>
    </w:p>
    <w:p>
      <w:pPr>
        <w:spacing w:after="120"/>
      </w:pPr>
      <w:r>
        <w:rPr>
          <w:sz w:val="24"/>
          <w:szCs w:val="24"/>
        </w:rPr>
        <w:t xml:space="preserve">Concrete implementations:</w:t>
      </w:r>
    </w:p>
    <w:p>
      <w:pPr>
        <w:pStyle w:val="ListParagraph"/>
        <w:numPr>
          <w:ilvl w:val="0"/>
          <w:numId w:val="1"/>
        </w:numPr>
        <w:spacing w:after="60"/>
      </w:pPr>
      <w:r>
        <w:rPr>
          <w:sz w:val="24"/>
          <w:szCs w:val="24"/>
        </w:rPr>
        <w:t xml:space="preserve">CloudAIEngine — wraps your cloud LLM API, lives in packages/ai-engine or apps/mobile</w:t>
      </w:r>
    </w:p>
    <w:p>
      <w:pPr>
        <w:pStyle w:val="ListParagraph"/>
        <w:numPr>
          <w:ilvl w:val="0"/>
          <w:numId w:val="1"/>
        </w:numPr>
        <w:spacing w:after="60"/>
      </w:pPr>
      <w:r>
        <w:rPr>
          <w:sz w:val="24"/>
          <w:szCs w:val="24"/>
        </w:rPr>
        <w:t xml:space="preserve">LocalAIEngine — wraps TEE's on-device SLM runner, developed in apps/tee, later promoted to packages/ai-engine when stable</w:t>
      </w:r>
    </w:p>
    <w:p>
      <w:pPr>
        <w:spacing w:after="120"/>
      </w:pPr>
      <w:r>
        <w:rPr>
          <w:sz w:val="24"/>
          <w:szCs w:val="24"/>
        </w:rPr>
        <w:t xml:space="preserve">Critical rule: TULC-Mobile must never import CloudAIEngine directly. It must import AIEngine (the interface) and receive a concrete instance via dependency injection or a factory function. This is the one structural decision that guarantees a zero-rewrite swap.</w:t>
      </w:r>
    </w:p>
    <w:p>
      <w:pPr>
        <w:pBdr>
          <w:bottom w:val="single" w:color="AAAAAA" w:sz="6" w:space="1"/>
        </w:pBdr>
        <w:spacing w:after="120" w:before="120"/>
      </w:pPr>
    </w:p>
    <w:p>
      <w:pPr>
        <w:pStyle w:val="Heading1"/>
        <w:spacing w:after="120" w:before="360"/>
      </w:pPr>
      <w:r>
        <w:t xml:space="preserve">Q4. Building TULC-Mobile Without Locking Out On-Device Inference</w:t>
      </w:r>
    </w:p>
    <w:p>
      <w:pPr>
        <w:spacing w:after="120"/>
      </w:pPr>
      <w:r>
        <w:rPr>
          <w:sz w:val="24"/>
          <w:szCs w:val="24"/>
        </w:rPr>
        <w:t xml:space="preserve">The three most common ways teams accidentally make on-device inference painful to integrate:</w:t>
      </w:r>
    </w:p>
    <w:p>
      <w:pPr>
        <w:pStyle w:val="Heading3"/>
        <w:spacing w:after="60" w:before="160"/>
      </w:pPr>
      <w:r>
        <w:t xml:space="preserve">Mistake 1: Direct LLM API calls scattered through UI components</w:t>
      </w:r>
    </w:p>
    <w:p>
      <w:pPr>
        <w:spacing w:after="120"/>
      </w:pPr>
      <w:r>
        <w:rPr>
          <w:sz w:val="24"/>
          <w:szCs w:val="24"/>
        </w:rPr>
        <w:t xml:space="preserve">Fix: All AI calls go through a single AIEngineService class that holds a reference to the current AIEngine implementation. UI components call the service; they never know whether the engine is cloud or local.</w:t>
      </w:r>
    </w:p>
    <w:p>
      <w:pPr>
        <w:pStyle w:val="Heading3"/>
        <w:spacing w:after="60" w:before="160"/>
      </w:pPr>
      <w:r>
        <w:t xml:space="preserve">Mistake 2: Assuming streaming is always available</w:t>
      </w:r>
    </w:p>
    <w:p>
      <w:pPr>
        <w:spacing w:after="120"/>
      </w:pPr>
      <w:r>
        <w:rPr>
          <w:sz w:val="24"/>
          <w:szCs w:val="24"/>
        </w:rPr>
        <w:t xml:space="preserve">Fix: Design the coaching UX to work with both streaming and non-streaming responses from day one. Cloud LLMs stream easily. On-device SLMs may or may not support streaming depending on the runtime and quantization. If your chat UI requires streaming, you will need to add a buffered-emit shim for local models — build that abstraction into AIEngineService now.</w:t>
      </w:r>
    </w:p>
    <w:p>
      <w:pPr>
        <w:pStyle w:val="Heading3"/>
        <w:spacing w:after="60" w:before="160"/>
      </w:pPr>
      <w:r>
        <w:t xml:space="preserve">Mistake 3: RAG running server-side or in a cloud function</w:t>
      </w:r>
    </w:p>
    <w:p>
      <w:pPr>
        <w:spacing w:after="120"/>
      </w:pPr>
      <w:r>
        <w:rPr>
          <w:sz w:val="24"/>
          <w:szCs w:val="24"/>
        </w:rPr>
        <w:t xml:space="preserve">Fix: RAG must run on-device from the beginning, even if the index is small and the retriever is simple. If you build RAG as a cloud microservice during the MVP phase, you will have to rewrite the retrieval path when you go offline. Keep RAG in packages/rag-core as a pure TypeScript module that runs in both React Native and Node environments.</w:t>
      </w:r>
    </w:p>
    <w:p>
      <w:pPr>
        <w:pStyle w:val="Heading3"/>
        <w:spacing w:after="60" w:before="160"/>
      </w:pPr>
      <w:r>
        <w:t xml:space="preserve">Mistake 4: Language detection as a cloud call</w:t>
      </w:r>
    </w:p>
    <w:p>
      <w:pPr>
        <w:spacing w:after="120"/>
      </w:pPr>
      <w:r>
        <w:rPr>
          <w:sz w:val="24"/>
          <w:szCs w:val="24"/>
        </w:rPr>
        <w:t xml:space="preserve">Fix: Language detection for short student inputs (Marathi vs English) is a solved, lightweight problem. Use a small on-device library (e.g., franc-min or a custom character-script detector for Devanagari Unicode ranges) from day one. Never route language detection through the cloud LLM.</w:t>
      </w:r>
    </w:p>
    <w:p>
      <w:pPr>
        <w:pBdr>
          <w:bottom w:val="single" w:color="AAAAAA" w:sz="6" w:space="1"/>
        </w:pBdr>
        <w:spacing w:after="120" w:before="120"/>
      </w:pPr>
    </w:p>
    <w:p>
      <w:pPr>
        <w:pStyle w:val="Heading1"/>
        <w:spacing w:after="120" w:before="360"/>
      </w:pPr>
      <w:r>
        <w:t xml:space="preserve">Q5. Architectural Decisions to Make Now (Even With Cloud LLM)</w:t>
      </w:r>
    </w:p>
    <w:p>
      <w:pPr>
        <w:spacing w:after="120"/>
      </w:pPr>
      <w:r>
        <w:rPr>
          <w:sz w:val="24"/>
          <w:szCs w:val="24"/>
        </w:rPr>
        <w:t xml:space="preserve">The following must be finalized before you write the first line of mobile UI:</w:t>
      </w:r>
    </w:p>
    <w:p>
      <w:pPr>
        <w:pStyle w:val="ListParagraph"/>
        <w:numPr>
          <w:ilvl w:val="0"/>
          <w:numId w:val="1"/>
        </w:numPr>
        <w:spacing w:after="60"/>
      </w:pPr>
      <w:r>
        <w:rPr>
          <w:sz w:val="24"/>
          <w:szCs w:val="24"/>
        </w:rPr>
        <w:t xml:space="preserve">AIEngine interface contract — exact request/response shape as above. Do not leave this as "we'll figure it out when we integrate TEE."</w:t>
      </w:r>
    </w:p>
    <w:p>
      <w:pPr>
        <w:pStyle w:val="ListParagraph"/>
        <w:numPr>
          <w:ilvl w:val="0"/>
          <w:numId w:val="1"/>
        </w:numPr>
        <w:spacing w:after="60"/>
      </w:pPr>
      <w:r>
        <w:rPr>
          <w:sz w:val="24"/>
          <w:szCs w:val="24"/>
        </w:rPr>
        <w:t xml:space="preserve">RAG retrieval contract — what a CurriculumChunk looks like (text, source, subject, chapter, page/section reference, language). This determines how the on-device vector index is structured.</w:t>
      </w:r>
    </w:p>
    <w:p>
      <w:pPr>
        <w:pStyle w:val="ListParagraph"/>
        <w:numPr>
          <w:ilvl w:val="0"/>
          <w:numId w:val="1"/>
        </w:numPr>
        <w:spacing w:after="60"/>
      </w:pPr>
      <w:r>
        <w:rPr>
          <w:sz w:val="24"/>
          <w:szCs w:val="24"/>
        </w:rPr>
        <w:t xml:space="preserve">Session state schema — what the app persists between sessions (weak concepts, interaction count, preferred explanation style, last topic). Decide the storage mechanism (SQLite via expo-sqlite is the right default for on-device persistence).</w:t>
      </w:r>
    </w:p>
    <w:p>
      <w:pPr>
        <w:pStyle w:val="ListParagraph"/>
        <w:numPr>
          <w:ilvl w:val="0"/>
          <w:numId w:val="1"/>
        </w:numPr>
        <w:spacing w:after="60"/>
      </w:pPr>
      <w:r>
        <w:rPr>
          <w:sz w:val="24"/>
          <w:szCs w:val="24"/>
        </w:rPr>
        <w:t xml:space="preserve">Coaching instruction type — the structured object that the CoachEngine builds and passes to the AIEngine (e.g., { mode: "explain" | "quiz" | "reteach" | "teach-back", topic, previousAttempts, weakConcepts }). This is what makes TULC a coach rather than a chatbot.</w:t>
      </w:r>
    </w:p>
    <w:p>
      <w:pPr>
        <w:pStyle w:val="ListParagraph"/>
        <w:numPr>
          <w:ilvl w:val="0"/>
          <w:numId w:val="1"/>
        </w:numPr>
        <w:spacing w:after="60"/>
      </w:pPr>
      <w:r>
        <w:rPr>
          <w:sz w:val="24"/>
          <w:szCs w:val="24"/>
        </w:rPr>
        <w:t xml:space="preserve">Language detection placement — in packages/rag-core or a dedicated packages/lang-detect; never in UI code.</w:t>
      </w:r>
    </w:p>
    <w:p>
      <w:pPr>
        <w:pStyle w:val="ListParagraph"/>
        <w:numPr>
          <w:ilvl w:val="0"/>
          <w:numId w:val="1"/>
        </w:numPr>
        <w:spacing w:after="60"/>
      </w:pPr>
      <w:r>
        <w:rPr>
          <w:sz w:val="24"/>
          <w:szCs w:val="24"/>
        </w:rPr>
        <w:t xml:space="preserve">Development Build decision — accept now that Expo Go will be retired when the first native module is needed. Structure your CI and development workflow to support Development Builds from week one, even if you don't use native SLM inference yet.</w:t>
      </w:r>
    </w:p>
    <w:p>
      <w:pPr>
        <w:pBdr>
          <w:bottom w:val="single" w:color="AAAAAA" w:sz="6" w:space="1"/>
        </w:pBdr>
        <w:spacing w:after="120" w:before="120"/>
      </w:pPr>
    </w:p>
    <w:p>
      <w:pPr>
        <w:pStyle w:val="Heading1"/>
        <w:spacing w:after="120" w:before="360"/>
      </w:pPr>
      <w:r>
        <w:t xml:space="preserve">Q6. Where Does RAG Live?</w:t>
      </w:r>
    </w:p>
    <w:p>
      <w:pPr>
        <w:pStyle w:val="Heading2"/>
        <w:spacing w:after="80" w:before="240"/>
      </w:pPr>
      <w:r>
        <w:t xml:space="preserve">Recommendation: packages/rag-core — a shared, on-device-capable module</w:t>
      </w:r>
    </w:p>
    <w:p>
      <w:pPr>
        <w:spacing w:after="120"/>
      </w:pPr>
      <w:r>
        <w:rPr>
          <w:sz w:val="24"/>
          <w:szCs w:val="24"/>
        </w:rPr>
        <w:t xml:space="preserve">The trade-off analysis:</w:t>
      </w:r>
    </w:p>
    <w:p>
      <w:pPr>
        <w:spacing w:after="60"/>
      </w:pPr>
      <w:r>
        <w:rPr>
          <w:b/>
          <w:bCs/>
          <w:sz w:val="24"/>
          <w:szCs w:val="24"/>
        </w:rPr>
        <w:t xml:space="preserve">Option A — RAG inside TULC-Mobile only:</w:t>
      </w:r>
    </w:p>
    <w:p>
      <w:pPr>
        <w:pStyle w:val="ListParagraph"/>
        <w:numPr>
          <w:ilvl w:val="0"/>
          <w:numId w:val="1"/>
        </w:numPr>
        <w:spacing w:after="60"/>
      </w:pPr>
      <w:r>
        <w:rPr>
          <w:sz w:val="24"/>
          <w:szCs w:val="24"/>
        </w:rPr>
        <w:t xml:space="preserve">Pro: simple to start, no cross-package dependency</w:t>
      </w:r>
    </w:p>
    <w:p>
      <w:pPr>
        <w:pStyle w:val="ListParagraph"/>
        <w:numPr>
          <w:ilvl w:val="0"/>
          <w:numId w:val="1"/>
        </w:numPr>
        <w:spacing w:after="60"/>
      </w:pPr>
      <w:r>
        <w:rPr>
          <w:sz w:val="24"/>
          <w:szCs w:val="24"/>
        </w:rPr>
        <w:t xml:space="preserve">Con: TEE cannot reuse or benchmark the same retrieval logic. If TEE develops its own RAG, you will have two diverging implementations and no guarantee that TEE benchmarks reflect production retrieval quality.</w:t>
      </w:r>
    </w:p>
    <w:p>
      <w:pPr>
        <w:spacing w:after="60"/>
      </w:pPr>
      <w:r>
        <w:rPr>
          <w:b/>
          <w:bCs/>
          <w:sz w:val="24"/>
          <w:szCs w:val="24"/>
        </w:rPr>
        <w:t xml:space="preserve">Option B — RAG inside TEE:</w:t>
      </w:r>
    </w:p>
    <w:p>
      <w:pPr>
        <w:pStyle w:val="ListParagraph"/>
        <w:numPr>
          <w:ilvl w:val="0"/>
          <w:numId w:val="1"/>
        </w:numPr>
        <w:spacing w:after="60"/>
      </w:pPr>
      <w:r>
        <w:rPr>
          <w:sz w:val="24"/>
          <w:szCs w:val="24"/>
        </w:rPr>
        <w:t xml:space="preserve">Pro: TEE team controls retrieval experimentation</w:t>
      </w:r>
    </w:p>
    <w:p>
      <w:pPr>
        <w:pStyle w:val="ListParagraph"/>
        <w:numPr>
          <w:ilvl w:val="0"/>
          <w:numId w:val="1"/>
        </w:numPr>
        <w:spacing w:after="60"/>
      </w:pPr>
      <w:r>
        <w:rPr>
          <w:sz w:val="24"/>
          <w:szCs w:val="24"/>
        </w:rPr>
        <w:t xml:space="preserve">Con: Mobile has to import from TEE, creating an inverted dependency. Mobile should not depend on the experimental harness.</w:t>
      </w:r>
    </w:p>
    <w:p>
      <w:pPr>
        <w:spacing w:after="60"/>
      </w:pPr>
      <w:r>
        <w:rPr>
          <w:b/>
          <w:bCs/>
          <w:sz w:val="24"/>
          <w:szCs w:val="24"/>
        </w:rPr>
        <w:t xml:space="preserve">Option C — RAG in packages/rag-core (recommended):</w:t>
      </w:r>
    </w:p>
    <w:p>
      <w:pPr>
        <w:pStyle w:val="ListParagraph"/>
        <w:numPr>
          <w:ilvl w:val="0"/>
          <w:numId w:val="1"/>
        </w:numPr>
        <w:spacing w:after="60"/>
      </w:pPr>
      <w:r>
        <w:rPr>
          <w:sz w:val="24"/>
          <w:szCs w:val="24"/>
        </w:rPr>
        <w:t xml:space="preserve">Pro: both Mobile and TEE import the same retrieval logic; benchmarks in TEE reflect exactly what production retrieval looks like; changes to retrieval improve both simultaneously</w:t>
      </w:r>
    </w:p>
    <w:p>
      <w:pPr>
        <w:pStyle w:val="ListParagraph"/>
        <w:numPr>
          <w:ilvl w:val="0"/>
          <w:numId w:val="1"/>
        </w:numPr>
        <w:spacing w:after="60"/>
      </w:pPr>
      <w:r>
        <w:rPr>
          <w:sz w:val="24"/>
          <w:szCs w:val="24"/>
        </w:rPr>
        <w:t xml:space="preserve">Pro: rag-core can be developed as a pure TypeScript module with no React Native dependencies, making it testable in Node without a device</w:t>
      </w:r>
    </w:p>
    <w:p>
      <w:pPr>
        <w:pStyle w:val="ListParagraph"/>
        <w:numPr>
          <w:ilvl w:val="0"/>
          <w:numId w:val="1"/>
        </w:numPr>
        <w:spacing w:after="60"/>
      </w:pPr>
      <w:r>
        <w:rPr>
          <w:sz w:val="24"/>
          <w:szCs w:val="24"/>
        </w:rPr>
        <w:t xml:space="preserve">Con: slightly more upfront setup for the shared package</w:t>
      </w:r>
    </w:p>
    <w:p>
      <w:pPr>
        <w:spacing w:after="120"/>
      </w:pPr>
      <w:r>
        <w:rPr>
          <w:sz w:val="24"/>
          <w:szCs w:val="24"/>
        </w:rPr>
        <w:t xml:space="preserve">The rag-core package should expose: buildIndex(documents), retrieve(query, k, language) → CurriculumChunk[], and optionally embedQuery(text) → number[] for custom embedding pipelines. The index format should be a serializable structure that can be bundled with the app or downloaded on first launch.</w:t>
      </w:r>
    </w:p>
    <w:p>
      <w:pPr>
        <w:pBdr>
          <w:bottom w:val="single" w:color="AAAAAA" w:sz="6" w:space="1"/>
        </w:pBdr>
        <w:spacing w:after="120" w:before="120"/>
      </w:pPr>
    </w:p>
    <w:p>
      <w:pPr>
        <w:pStyle w:val="Heading1"/>
        <w:spacing w:after="120" w:before="360"/>
      </w:pPr>
      <w:r>
        <w:t xml:space="preserve">Q7. Expo Go to On-Device Native SLM — The Development Path</w:t>
      </w:r>
    </w:p>
    <w:p>
      <w:pPr>
        <w:pStyle w:val="Heading2"/>
        <w:spacing w:after="80" w:before="240"/>
      </w:pPr>
      <w:r>
        <w:t xml:space="preserve">Phase 1: Expo Go (first 4-8 weeks)</w:t>
      </w:r>
    </w:p>
    <w:p>
      <w:pPr>
        <w:spacing w:after="120"/>
      </w:pPr>
      <w:r>
        <w:rPr>
          <w:sz w:val="24"/>
          <w:szCs w:val="24"/>
        </w:rPr>
        <w:t xml:space="preserve">Use Expo Go for initial UI development, RAG integration, cloud LLM integration, and coaching logic. All of this is pure JavaScript and requires no native modules. This is the correct use of Expo Go.</w:t>
      </w:r>
    </w:p>
    <w:p>
      <w:pPr>
        <w:pStyle w:val="Heading2"/>
        <w:spacing w:after="80" w:before="240"/>
      </w:pPr>
      <w:r>
        <w:t xml:space="preserve">Phase 2: Expo Development Build (required before native SLM)</w:t>
      </w:r>
    </w:p>
    <w:p>
      <w:pPr>
        <w:spacing w:after="120"/>
      </w:pPr>
      <w:r>
        <w:rPr>
          <w:sz w:val="24"/>
          <w:szCs w:val="24"/>
        </w:rPr>
        <w:t xml:space="preserve">The moment you need any of the following, you must move to a Development Build:</w:t>
      </w:r>
    </w:p>
    <w:p>
      <w:pPr>
        <w:pStyle w:val="ListParagraph"/>
        <w:numPr>
          <w:ilvl w:val="0"/>
          <w:numId w:val="1"/>
        </w:numPr>
        <w:spacing w:after="60"/>
      </w:pPr>
      <w:r>
        <w:rPr>
          <w:sz w:val="24"/>
          <w:szCs w:val="24"/>
        </w:rPr>
        <w:t xml:space="preserve">expo-sqlite for on-device RAG index storage</w:t>
      </w:r>
    </w:p>
    <w:p>
      <w:pPr>
        <w:pStyle w:val="ListParagraph"/>
        <w:numPr>
          <w:ilvl w:val="0"/>
          <w:numId w:val="1"/>
        </w:numPr>
        <w:spacing w:after="60"/>
      </w:pPr>
      <w:r>
        <w:rPr>
          <w:sz w:val="24"/>
          <w:szCs w:val="24"/>
        </w:rPr>
        <w:t xml:space="preserve">expo-background-fetch or any background processing</w:t>
      </w:r>
    </w:p>
    <w:p>
      <w:pPr>
        <w:pStyle w:val="ListParagraph"/>
        <w:numPr>
          <w:ilvl w:val="0"/>
          <w:numId w:val="1"/>
        </w:numPr>
        <w:spacing w:after="60"/>
      </w:pPr>
      <w:r>
        <w:rPr>
          <w:sz w:val="24"/>
          <w:szCs w:val="24"/>
        </w:rPr>
        <w:t xml:space="preserve">Any SLM runtime native module (llama.rn, MediaPipe, ONNX Runtime React Native)</w:t>
      </w:r>
    </w:p>
    <w:p>
      <w:pPr>
        <w:pStyle w:val="ListParagraph"/>
        <w:numPr>
          <w:ilvl w:val="0"/>
          <w:numId w:val="1"/>
        </w:numPr>
        <w:spacing w:after="60"/>
      </w:pPr>
      <w:r>
        <w:rPr>
          <w:sz w:val="24"/>
          <w:szCs w:val="24"/>
        </w:rPr>
        <w:t xml:space="preserve">react-native-fs or expo-file-system for model file management</w:t>
      </w:r>
    </w:p>
    <w:p>
      <w:pPr>
        <w:spacing w:after="120"/>
      </w:pPr>
      <w:r>
        <w:rPr>
          <w:sz w:val="24"/>
          <w:szCs w:val="24"/>
        </w:rPr>
        <w:t xml:space="preserve">Architectural choices that FORCE a later rewrite if wrong:</w:t>
      </w:r>
    </w:p>
    <w:p>
      <w:pPr>
        <w:pStyle w:val="ListParagraph"/>
        <w:numPr>
          <w:ilvl w:val="0"/>
          <w:numId w:val="1"/>
        </w:numPr>
        <w:spacing w:after="60"/>
      </w:pPr>
      <w:r>
        <w:rPr>
          <w:sz w:val="24"/>
          <w:szCs w:val="24"/>
        </w:rPr>
        <w:t xml:space="preserve">Using AsyncStorage for the RAG index — it is not designed for structured data at this scale. Use expo-sqlite from the start.</w:t>
      </w:r>
    </w:p>
    <w:p>
      <w:pPr>
        <w:pStyle w:val="ListParagraph"/>
        <w:numPr>
          <w:ilvl w:val="0"/>
          <w:numId w:val="1"/>
        </w:numPr>
        <w:spacing w:after="60"/>
      </w:pPr>
      <w:r>
        <w:rPr>
          <w:sz w:val="24"/>
          <w:szCs w:val="24"/>
        </w:rPr>
        <w:t xml:space="preserve">Building the chat UI around a WebSocket or SSE stream from a cloud endpoint — local SLMs do not expose streams the same way. Abstract streaming behind an AIEngineService.emit() observable pattern.</w:t>
      </w:r>
    </w:p>
    <w:p>
      <w:pPr>
        <w:pStyle w:val="ListParagraph"/>
        <w:numPr>
          <w:ilvl w:val="0"/>
          <w:numId w:val="1"/>
        </w:numPr>
        <w:spacing w:after="60"/>
      </w:pPr>
      <w:r>
        <w:rPr>
          <w:sz w:val="24"/>
          <w:szCs w:val="24"/>
        </w:rPr>
        <w:t xml:space="preserve">Using a managed Expo workflow (EAS Build is fine, but do not use Expo Go past phase 1 for anything that needs persistence or native modules).</w:t>
      </w:r>
    </w:p>
    <w:p>
      <w:pPr>
        <w:pStyle w:val="Heading2"/>
        <w:spacing w:after="80" w:before="240"/>
      </w:pPr>
      <w:r>
        <w:t xml:space="preserve">Phase 3: EAS Build + Native SLM Module</w:t>
      </w:r>
    </w:p>
    <w:p>
      <w:pPr>
        <w:spacing w:after="120"/>
      </w:pPr>
      <w:r>
        <w:rPr>
          <w:sz w:val="24"/>
          <w:szCs w:val="24"/>
        </w:rPr>
        <w:t xml:space="preserve">When TEE confirms a viable SLM, you will create a React Native native module (or use an existing one like llama.rn) that wraps the on-device inference runtime. This module is then used as the LocalAIEngine implementation. Because TULC-Mobile only depends on the AIEngine interface, the swap is a one-line change in the factory function that creates the engine instance.</w:t>
      </w:r>
    </w:p>
    <w:p>
      <w:pPr>
        <w:spacing w:after="120"/>
      </w:pPr>
      <w:r>
        <w:rPr>
          <w:sz w:val="24"/>
          <w:szCs w:val="24"/>
        </w:rPr>
        <w:t xml:space="preserve">Important: Budget for the native module development effort. If the chosen SLM runtime does not have an existing React Native wrapper, writing one is a significant engineering task (C++ bridge, JNI for Android, Kotlin/Java plumbing). Factor this into your timeline.</w:t>
      </w:r>
    </w:p>
    <w:p>
      <w:pPr>
        <w:pBdr>
          <w:bottom w:val="single" w:color="AAAAAA" w:sz="6" w:space="1"/>
        </w:pBdr>
        <w:spacing w:after="120" w:before="120"/>
      </w:pPr>
    </w:p>
    <w:p>
      <w:pPr>
        <w:pStyle w:val="Heading1"/>
        <w:spacing w:after="120" w:before="360"/>
      </w:pPr>
      <w:r>
        <w:t xml:space="preserve">Q8. TEE Tooling — TypeScript/Node or Python?</w:t>
      </w:r>
    </w:p>
    <w:p>
      <w:pPr>
        <w:pStyle w:val="Heading2"/>
        <w:spacing w:after="80" w:before="240"/>
      </w:pPr>
      <w:r>
        <w:t xml:space="preserve">Recommendation: TypeScript/Node for the harness and contract; Python only for specific model evaluation steps</w:t>
      </w:r>
    </w:p>
    <w:p>
      <w:pPr>
        <w:spacing w:after="120"/>
      </w:pPr>
      <w:r>
        <w:rPr>
          <w:sz w:val="24"/>
          <w:szCs w:val="24"/>
        </w:rPr>
        <w:t xml:space="preserve">Your instinct to prefer TypeScript is correct for this project. Here is the precise breakdown:</w:t>
      </w:r>
    </w:p>
    <w:p>
      <w:pPr>
        <w:spacing w:after="60"/>
      </w:pPr>
      <w:r>
        <w:rPr>
          <w:b/>
          <w:bCs/>
          <w:sz w:val="24"/>
          <w:szCs w:val="24"/>
        </w:rPr>
        <w:t xml:space="preserve">Stay in TypeScript/Node for:</w:t>
      </w:r>
    </w:p>
    <w:p>
      <w:pPr>
        <w:pStyle w:val="ListParagraph"/>
        <w:numPr>
          <w:ilvl w:val="0"/>
          <w:numId w:val="1"/>
        </w:numPr>
        <w:spacing w:after="60"/>
      </w:pPr>
      <w:r>
        <w:rPr>
          <w:sz w:val="24"/>
          <w:szCs w:val="24"/>
        </w:rPr>
        <w:t xml:space="preserve">The TEE test harness UI and CLI runner</w:t>
      </w:r>
    </w:p>
    <w:p>
      <w:pPr>
        <w:pStyle w:val="ListParagraph"/>
        <w:numPr>
          <w:ilvl w:val="0"/>
          <w:numId w:val="1"/>
        </w:numPr>
        <w:spacing w:after="60"/>
      </w:pPr>
      <w:r>
        <w:rPr>
          <w:sz w:val="24"/>
          <w:szCs w:val="24"/>
        </w:rPr>
        <w:t xml:space="preserve">The AIEngine interface and the LocalAIEngine adapter</w:t>
      </w:r>
    </w:p>
    <w:p>
      <w:pPr>
        <w:pStyle w:val="ListParagraph"/>
        <w:numPr>
          <w:ilvl w:val="0"/>
          <w:numId w:val="1"/>
        </w:numPr>
        <w:spacing w:after="60"/>
      </w:pPr>
      <w:r>
        <w:rPr>
          <w:sz w:val="24"/>
          <w:szCs w:val="24"/>
        </w:rPr>
        <w:t xml:space="preserve">Benchmark result recording, storage, and reporting</w:t>
      </w:r>
    </w:p>
    <w:p>
      <w:pPr>
        <w:pStyle w:val="ListParagraph"/>
        <w:numPr>
          <w:ilvl w:val="0"/>
          <w:numId w:val="1"/>
        </w:numPr>
        <w:spacing w:after="60"/>
      </w:pPr>
      <w:r>
        <w:rPr>
          <w:sz w:val="24"/>
          <w:szCs w:val="24"/>
        </w:rPr>
        <w:t xml:space="preserve">Integration with packages/rag-core (retrieval must behave identically in TEE as in production Mobile)</w:t>
      </w:r>
    </w:p>
    <w:p>
      <w:pPr>
        <w:pStyle w:val="ListParagraph"/>
        <w:numPr>
          <w:ilvl w:val="0"/>
          <w:numId w:val="1"/>
        </w:numPr>
        <w:spacing w:after="60"/>
      </w:pPr>
      <w:r>
        <w:rPr>
          <w:sz w:val="24"/>
          <w:szCs w:val="24"/>
        </w:rPr>
        <w:t xml:space="preserve">The model-switching registry</w:t>
      </w:r>
    </w:p>
    <w:p>
      <w:pPr>
        <w:spacing w:after="60"/>
      </w:pPr>
      <w:r>
        <w:rPr>
          <w:b/>
          <w:bCs/>
          <w:sz w:val="24"/>
          <w:szCs w:val="24"/>
        </w:rPr>
        <w:t xml:space="preserve">Python is justified for:</w:t>
      </w:r>
    </w:p>
    <w:p>
      <w:pPr>
        <w:pStyle w:val="ListParagraph"/>
        <w:numPr>
          <w:ilvl w:val="0"/>
          <w:numId w:val="1"/>
        </w:numPr>
        <w:spacing w:after="60"/>
      </w:pPr>
      <w:r>
        <w:rPr>
          <w:sz w:val="24"/>
          <w:szCs w:val="24"/>
        </w:rPr>
        <w:t xml:space="preserve">Initial model download and quantization (llama.cpp quantize, bitsandbytes, GPTQ tooling) — these tools do not have Node equivalents</w:t>
      </w:r>
    </w:p>
    <w:p>
      <w:pPr>
        <w:pStyle w:val="ListParagraph"/>
        <w:numPr>
          <w:ilvl w:val="0"/>
          <w:numId w:val="1"/>
        </w:numPr>
        <w:spacing w:after="60"/>
      </w:pPr>
      <w:r>
        <w:rPr>
          <w:sz w:val="24"/>
          <w:szCs w:val="24"/>
        </w:rPr>
        <w:t xml:space="preserve">Automated correctness evaluation using an evaluator LLM with rubrics (Python eval harnesses like LangChain eval or custom scripts are more mature)</w:t>
      </w:r>
    </w:p>
    <w:p>
      <w:pPr>
        <w:pStyle w:val="ListParagraph"/>
        <w:numPr>
          <w:ilvl w:val="0"/>
          <w:numId w:val="1"/>
        </w:numPr>
        <w:spacing w:after="60"/>
      </w:pPr>
      <w:r>
        <w:rPr>
          <w:sz w:val="24"/>
          <w:szCs w:val="24"/>
        </w:rPr>
        <w:t xml:space="preserve">ONNX model export from HuggingFace checkpoints (optimum CLI) if you need to convert models to ONNX Runtime format for Android</w:t>
      </w:r>
    </w:p>
    <w:p>
      <w:pPr>
        <w:spacing w:after="120"/>
      </w:pPr>
      <w:r>
        <w:rPr>
          <w:sz w:val="24"/>
          <w:szCs w:val="24"/>
        </w:rPr>
        <w:t xml:space="preserve">If Python is used, it should be in a scripts/ directory within apps/tee, clearly separated from the TypeScript runtime. The TypeScript harness calls Python scripts via child_process for specific steps; it does not become a Python project.</w:t>
      </w:r>
    </w:p>
    <w:p>
      <w:pPr>
        <w:spacing w:after="120"/>
      </w:pPr>
      <w:r>
        <w:rPr>
          <w:sz w:val="24"/>
          <w:szCs w:val="24"/>
        </w:rPr>
        <w:t xml:space="preserve">The concrete technical reason to avoid Python for the main harness: your production runtime on Android is ONNX Runtime React Native, llama.rn, or MediaPipe — all of which are JavaScript/C++ bridges. A Python harness that benchmarks PyTorch models is measuring a different runtime than what will run on-device. The TypeScript harness using the actual Android runtime (via ADB or a Node-compatible wrapper) gives you numbers that will actually match production.</w:t>
      </w:r>
    </w:p>
    <w:p>
      <w:pPr>
        <w:pBdr>
          <w:bottom w:val="single" w:color="AAAAAA" w:sz="6" w:space="1"/>
        </w:pBdr>
        <w:spacing w:after="120" w:before="120"/>
      </w:pPr>
    </w:p>
    <w:p>
      <w:pPr>
        <w:pStyle w:val="Heading1"/>
        <w:spacing w:after="120" w:before="360"/>
      </w:pPr>
      <w:r>
        <w:t xml:space="preserve">Q9. Model Switching in TEE</w:t>
      </w:r>
    </w:p>
    <w:p>
      <w:pPr>
        <w:pStyle w:val="Heading2"/>
        <w:spacing w:after="80" w:before="240"/>
      </w:pPr>
      <w:r>
        <w:t xml:space="preserve">Recommendation: A ModelRegistry with adapter-per-runtime pattern</w:t>
      </w:r>
    </w:p>
    <w:p>
      <w:pPr>
        <w:spacing w:after="120"/>
      </w:pPr>
      <w:r>
        <w:rPr>
          <w:sz w:val="24"/>
          <w:szCs w:val="24"/>
        </w:rPr>
        <w:t xml:space="preserve">The harness should have a single ModelRunner interface and one adapter per SLM runtime. Switching models is then a configuration change, not a code change.</w:t>
      </w:r>
    </w:p>
    <w:p>
      <w:pPr>
        <w:spacing w:after="60"/>
        <w:ind w:left="720"/>
      </w:pPr>
      <w:r>
        <w:rPr>
          <w:rFonts w:ascii="Courier New" w:cs="Courier New" w:eastAsia="Courier New" w:hAnsi="Courier New"/>
          <w:color w:val="1a1a1a"/>
          <w:sz w:val="20"/>
          <w:szCs w:val="20"/>
        </w:rPr>
        <w:t xml:space="preserve">// apps/tee/src/model-registry/types.ts</w:t>
      </w:r>
    </w:p>
    <w:p>
      <w:pPr>
        <w:spacing w:after="60"/>
        <w:ind w:left="720"/>
      </w:pPr>
      <w:r>
        <w:rPr>
          <w:rFonts w:ascii="Courier New" w:cs="Courier New" w:eastAsia="Courier New" w:hAnsi="Courier New"/>
          <w:color w:val="1a1a1a"/>
          <w:sz w:val="20"/>
          <w:szCs w:val="20"/>
        </w:rPr>
        <w:t xml:space="preserve"/>
      </w:r>
    </w:p>
    <w:p>
      <w:pPr>
        <w:spacing w:after="60"/>
        <w:ind w:left="720"/>
      </w:pPr>
      <w:r>
        <w:rPr>
          <w:rFonts w:ascii="Courier New" w:cs="Courier New" w:eastAsia="Courier New" w:hAnsi="Courier New"/>
          <w:color w:val="1a1a1a"/>
          <w:sz w:val="20"/>
          <w:szCs w:val="20"/>
        </w:rPr>
        <w:t xml:space="preserve">export interface ModelConfig {</w:t>
      </w:r>
    </w:p>
    <w:p>
      <w:pPr>
        <w:spacing w:after="60"/>
        <w:ind w:left="720"/>
      </w:pPr>
      <w:r>
        <w:rPr>
          <w:rFonts w:ascii="Courier New" w:cs="Courier New" w:eastAsia="Courier New" w:hAnsi="Courier New"/>
          <w:color w:val="1a1a1a"/>
          <w:sz w:val="20"/>
          <w:szCs w:val="20"/>
        </w:rPr>
        <w:t xml:space="preserve">  id: string;              // e.g. "gemma-2b-q4_k_m"</w:t>
      </w:r>
    </w:p>
    <w:p>
      <w:pPr>
        <w:spacing w:after="60"/>
        <w:ind w:left="720"/>
      </w:pPr>
      <w:r>
        <w:rPr>
          <w:rFonts w:ascii="Courier New" w:cs="Courier New" w:eastAsia="Courier New" w:hAnsi="Courier New"/>
          <w:color w:val="1a1a1a"/>
          <w:sz w:val="20"/>
          <w:szCs w:val="20"/>
        </w:rPr>
        <w:t xml:space="preserve">  family: string;          // "gemma" | "qwen" | "phi" | "llama"</w:t>
      </w:r>
    </w:p>
    <w:p>
      <w:pPr>
        <w:spacing w:after="60"/>
        <w:ind w:left="720"/>
      </w:pPr>
      <w:r>
        <w:rPr>
          <w:rFonts w:ascii="Courier New" w:cs="Courier New" w:eastAsia="Courier New" w:hAnsi="Courier New"/>
          <w:color w:val="1a1a1a"/>
          <w:sz w:val="20"/>
          <w:szCs w:val="20"/>
        </w:rPr>
        <w:t xml:space="preserve">  quantization: string;    // "q4_k_m" | "q5_0" | "f16" | "int8"</w:t>
      </w:r>
    </w:p>
    <w:p>
      <w:pPr>
        <w:spacing w:after="60"/>
        <w:ind w:left="720"/>
      </w:pPr>
      <w:r>
        <w:rPr>
          <w:rFonts w:ascii="Courier New" w:cs="Courier New" w:eastAsia="Courier New" w:hAnsi="Courier New"/>
          <w:color w:val="1a1a1a"/>
          <w:sz w:val="20"/>
          <w:szCs w:val="20"/>
        </w:rPr>
        <w:t xml:space="preserve">  runtime: "llama-rn" | "onnx-rn" | "mediapipe" | "node-llama-cpp";</w:t>
      </w:r>
    </w:p>
    <w:p>
      <w:pPr>
        <w:spacing w:after="60"/>
        <w:ind w:left="720"/>
      </w:pPr>
      <w:r>
        <w:rPr>
          <w:rFonts w:ascii="Courier New" w:cs="Courier New" w:eastAsia="Courier New" w:hAnsi="Courier New"/>
          <w:color w:val="1a1a1a"/>
          <w:sz w:val="20"/>
          <w:szCs w:val="20"/>
        </w:rPr>
        <w:t xml:space="preserve">  modelPath: string;       // local file path to weights</w:t>
      </w:r>
    </w:p>
    <w:p>
      <w:pPr>
        <w:spacing w:after="60"/>
        <w:ind w:left="720"/>
      </w:pPr>
      <w:r>
        <w:rPr>
          <w:rFonts w:ascii="Courier New" w:cs="Courier New" w:eastAsia="Courier New" w:hAnsi="Courier New"/>
          <w:color w:val="1a1a1a"/>
          <w:sz w:val="20"/>
          <w:szCs w:val="20"/>
        </w:rPr>
        <w:t xml:space="preserve">  contextLength: number;</w:t>
      </w:r>
    </w:p>
    <w:p>
      <w:pPr>
        <w:spacing w:after="60"/>
        <w:ind w:left="720"/>
      </w:pPr>
      <w:r>
        <w:rPr>
          <w:rFonts w:ascii="Courier New" w:cs="Courier New" w:eastAsia="Courier New" w:hAnsi="Courier New"/>
          <w:color w:val="1a1a1a"/>
          <w:sz w:val="20"/>
          <w:szCs w:val="20"/>
        </w:rPr>
        <w:t xml:space="preserve">  parameterCount: string;  // "2B" | "3.8B" | "7B"</w:t>
      </w:r>
    </w:p>
    <w:p>
      <w:pPr>
        <w:spacing w:after="60"/>
        <w:ind w:left="720"/>
      </w:pPr>
      <w:r>
        <w:rPr>
          <w:rFonts w:ascii="Courier New" w:cs="Courier New" w:eastAsia="Courier New" w:hAnsi="Courier New"/>
          <w:color w:val="1a1a1a"/>
          <w:sz w:val="20"/>
          <w:szCs w:val="20"/>
        </w:rPr>
        <w:t xml:space="preserve">}</w:t>
      </w:r>
    </w:p>
    <w:p>
      <w:pPr>
        <w:spacing w:after="60"/>
        <w:ind w:left="720"/>
      </w:pPr>
      <w:r>
        <w:rPr>
          <w:rFonts w:ascii="Courier New" w:cs="Courier New" w:eastAsia="Courier New" w:hAnsi="Courier New"/>
          <w:color w:val="1a1a1a"/>
          <w:sz w:val="20"/>
          <w:szCs w:val="20"/>
        </w:rPr>
        <w:t xml:space="preserve"/>
      </w:r>
    </w:p>
    <w:p>
      <w:pPr>
        <w:spacing w:after="60"/>
        <w:ind w:left="720"/>
      </w:pPr>
      <w:r>
        <w:rPr>
          <w:rFonts w:ascii="Courier New" w:cs="Courier New" w:eastAsia="Courier New" w:hAnsi="Courier New"/>
          <w:color w:val="1a1a1a"/>
          <w:sz w:val="20"/>
          <w:szCs w:val="20"/>
        </w:rPr>
        <w:t xml:space="preserve">export interface ModelRunner {</w:t>
      </w:r>
    </w:p>
    <w:p>
      <w:pPr>
        <w:spacing w:after="60"/>
        <w:ind w:left="720"/>
      </w:pPr>
      <w:r>
        <w:rPr>
          <w:rFonts w:ascii="Courier New" w:cs="Courier New" w:eastAsia="Courier New" w:hAnsi="Courier New"/>
          <w:color w:val="1a1a1a"/>
          <w:sz w:val="20"/>
          <w:szCs w:val="20"/>
        </w:rPr>
        <w:t xml:space="preserve">  load(config: ModelConfig): Promise&lt;void&gt;;</w:t>
      </w:r>
    </w:p>
    <w:p>
      <w:pPr>
        <w:spacing w:after="60"/>
        <w:ind w:left="720"/>
      </w:pPr>
      <w:r>
        <w:rPr>
          <w:rFonts w:ascii="Courier New" w:cs="Courier New" w:eastAsia="Courier New" w:hAnsi="Courier New"/>
          <w:color w:val="1a1a1a"/>
          <w:sz w:val="20"/>
          <w:szCs w:val="20"/>
        </w:rPr>
        <w:t xml:space="preserve">  generate(request: AIEngineRequest): Promise&lt;AIEngineResponse &amp; BenchmarkData&gt;;</w:t>
      </w:r>
    </w:p>
    <w:p>
      <w:pPr>
        <w:spacing w:after="60"/>
        <w:ind w:left="720"/>
      </w:pPr>
      <w:r>
        <w:rPr>
          <w:rFonts w:ascii="Courier New" w:cs="Courier New" w:eastAsia="Courier New" w:hAnsi="Courier New"/>
          <w:color w:val="1a1a1a"/>
          <w:sz w:val="20"/>
          <w:szCs w:val="20"/>
        </w:rPr>
        <w:t xml:space="preserve">  unload(): Promise&lt;void&gt;;</w:t>
      </w:r>
    </w:p>
    <w:p>
      <w:pPr>
        <w:spacing w:after="60"/>
        <w:ind w:left="720"/>
      </w:pPr>
      <w:r>
        <w:rPr>
          <w:rFonts w:ascii="Courier New" w:cs="Courier New" w:eastAsia="Courier New" w:hAnsi="Courier New"/>
          <w:color w:val="1a1a1a"/>
          <w:sz w:val="20"/>
          <w:szCs w:val="20"/>
        </w:rPr>
        <w:t xml:space="preserve">}</w:t>
      </w:r>
    </w:p>
    <w:p>
      <w:pPr>
        <w:spacing w:after="120"/>
      </w:pPr>
      <w:r>
        <w:rPr>
          <w:sz w:val="24"/>
          <w:szCs w:val="24"/>
        </w:rPr>
        <w:t xml:space="preserve">Benchmark data captured per inference run:</w:t>
      </w:r>
    </w:p>
    <w:p>
      <w:pPr>
        <w:pStyle w:val="ListParagraph"/>
        <w:numPr>
          <w:ilvl w:val="0"/>
          <w:numId w:val="1"/>
        </w:numPr>
        <w:spacing w:after="60"/>
      </w:pPr>
      <w:r>
        <w:rPr>
          <w:sz w:val="24"/>
          <w:szCs w:val="24"/>
        </w:rPr>
        <w:t xml:space="preserve">First-token latency (ms)</w:t>
      </w:r>
    </w:p>
    <w:p>
      <w:pPr>
        <w:pStyle w:val="ListParagraph"/>
        <w:numPr>
          <w:ilvl w:val="0"/>
          <w:numId w:val="1"/>
        </w:numPr>
        <w:spacing w:after="60"/>
      </w:pPr>
      <w:r>
        <w:rPr>
          <w:sz w:val="24"/>
          <w:szCs w:val="24"/>
        </w:rPr>
        <w:t xml:space="preserve">Total generation time (ms)</w:t>
      </w:r>
    </w:p>
    <w:p>
      <w:pPr>
        <w:pStyle w:val="ListParagraph"/>
        <w:numPr>
          <w:ilvl w:val="0"/>
          <w:numId w:val="1"/>
        </w:numPr>
        <w:spacing w:after="60"/>
      </w:pPr>
      <w:r>
        <w:rPr>
          <w:sz w:val="24"/>
          <w:szCs w:val="24"/>
        </w:rPr>
        <w:t xml:space="preserve">Tokens per second</w:t>
      </w:r>
    </w:p>
    <w:p>
      <w:pPr>
        <w:pStyle w:val="ListParagraph"/>
        <w:numPr>
          <w:ilvl w:val="0"/>
          <w:numId w:val="1"/>
        </w:numPr>
        <w:spacing w:after="60"/>
      </w:pPr>
      <w:r>
        <w:rPr>
          <w:sz w:val="24"/>
          <w:szCs w:val="24"/>
        </w:rPr>
        <w:t xml:space="preserve">Peak RAM used (MB)</w:t>
      </w:r>
    </w:p>
    <w:p>
      <w:pPr>
        <w:pStyle w:val="ListParagraph"/>
        <w:numPr>
          <w:ilvl w:val="0"/>
          <w:numId w:val="1"/>
        </w:numPr>
        <w:spacing w:after="60"/>
      </w:pPr>
      <w:r>
        <w:rPr>
          <w:sz w:val="24"/>
          <w:szCs w:val="24"/>
        </w:rPr>
        <w:t xml:space="preserve">Model load time (ms)</w:t>
      </w:r>
    </w:p>
    <w:p>
      <w:pPr>
        <w:pStyle w:val="ListParagraph"/>
        <w:numPr>
          <w:ilvl w:val="0"/>
          <w:numId w:val="1"/>
        </w:numPr>
        <w:spacing w:after="60"/>
      </w:pPr>
      <w:r>
        <w:rPr>
          <w:sz w:val="24"/>
          <w:szCs w:val="24"/>
        </w:rPr>
        <w:t xml:space="preserve">Correctness score (evaluator rubric, 0-1)</w:t>
      </w:r>
    </w:p>
    <w:p>
      <w:pPr>
        <w:pStyle w:val="ListParagraph"/>
        <w:numPr>
          <w:ilvl w:val="0"/>
          <w:numId w:val="1"/>
        </w:numPr>
        <w:spacing w:after="60"/>
      </w:pPr>
      <w:r>
        <w:rPr>
          <w:sz w:val="24"/>
          <w:szCs w:val="24"/>
        </w:rPr>
        <w:t xml:space="preserve">Curriculum fidelity flag (did response stay within retrieved context?)</w:t>
      </w:r>
    </w:p>
    <w:p>
      <w:pPr>
        <w:pStyle w:val="ListParagraph"/>
        <w:numPr>
          <w:ilvl w:val="0"/>
          <w:numId w:val="1"/>
        </w:numPr>
        <w:spacing w:after="60"/>
      </w:pPr>
      <w:r>
        <w:rPr>
          <w:sz w:val="24"/>
          <w:szCs w:val="24"/>
        </w:rPr>
        <w:t xml:space="preserve">Language accuracy (did response language match detectedLanguage?)</w:t>
      </w:r>
    </w:p>
    <w:p>
      <w:pPr>
        <w:pStyle w:val="ListParagraph"/>
        <w:numPr>
          <w:ilvl w:val="0"/>
          <w:numId w:val="1"/>
        </w:numPr>
        <w:spacing w:after="60"/>
      </w:pPr>
      <w:r>
        <w:rPr>
          <w:sz w:val="24"/>
          <w:szCs w:val="24"/>
        </w:rPr>
        <w:t xml:space="preserve">English quality score and Marathi quality score (separate rubrics)</w:t>
      </w:r>
    </w:p>
    <w:p>
      <w:pPr>
        <w:pStyle w:val="ListParagraph"/>
        <w:numPr>
          <w:ilvl w:val="0"/>
          <w:numId w:val="1"/>
        </w:numPr>
        <w:spacing w:after="60"/>
      </w:pPr>
      <w:r>
        <w:rPr>
          <w:sz w:val="24"/>
          <w:szCs w:val="24"/>
        </w:rPr>
        <w:t xml:space="preserve">Thermal/battery note (manual observation field for on-device runs)</w:t>
      </w:r>
    </w:p>
    <w:p>
      <w:pPr>
        <w:spacing w:after="120"/>
      </w:pPr>
      <w:r>
        <w:rPr>
          <w:sz w:val="24"/>
          <w:szCs w:val="24"/>
        </w:rPr>
        <w:t xml:space="preserve">The registry is a JSON or YAML file listing ModelConfig entries. Adding a new SLM candidate requires only a new entry in that file and the appropriate runtime adapter if it is a new runtime type. The test harness reads the registry and can run all candidates against a fixed evaluation set in sequence.</w:t>
      </w:r>
    </w:p>
    <w:p>
      <w:pPr>
        <w:pBdr>
          <w:bottom w:val="single" w:color="AAAAAA" w:sz="6" w:space="1"/>
        </w:pBdr>
        <w:spacing w:after="120" w:before="120"/>
      </w:pPr>
    </w:p>
    <w:p>
      <w:pPr>
        <w:pStyle w:val="Heading1"/>
        <w:spacing w:after="120" w:before="360"/>
      </w:pPr>
      <w:r>
        <w:t xml:space="preserve">Q10. Integration Path from TEE to Production Android</w:t>
      </w:r>
    </w:p>
    <w:p>
      <w:pPr>
        <w:spacing w:after="120"/>
      </w:pPr>
      <w:r>
        <w:rPr>
          <w:sz w:val="24"/>
          <w:szCs w:val="24"/>
        </w:rPr>
        <w:t xml:space="preserve">When a model is confirmed viable in TEE, the integration path is:</w:t>
      </w:r>
    </w:p>
    <w:p>
      <w:pPr>
        <w:pStyle w:val="Heading3"/>
        <w:spacing w:after="60" w:before="160"/>
      </w:pPr>
      <w:r>
        <w:t xml:space="preserve">Step 1: Verify the runtime adapter works in React Native</w:t>
      </w:r>
    </w:p>
    <w:p>
      <w:pPr>
        <w:spacing w:after="120"/>
      </w:pPr>
      <w:r>
        <w:rPr>
          <w:sz w:val="24"/>
          <w:szCs w:val="24"/>
        </w:rPr>
        <w:t xml:space="preserve">TEE may run models in a Node-compatible runtime (node-llama-cpp) for speed of experimentation. Before declaring a model production-ready, run it through the actual React Native runtime (llama.rn or ONNX Runtime React Native) on a physical Android device. These are the numbers that matter for the production app.</w:t>
      </w:r>
    </w:p>
    <w:p>
      <w:pPr>
        <w:pStyle w:val="Heading3"/>
        <w:spacing w:after="60" w:before="160"/>
      </w:pPr>
      <w:r>
        <w:t xml:space="preserve">Step 2: Package LocalAIEngine into packages/ai-engine</w:t>
      </w:r>
    </w:p>
    <w:p>
      <w:pPr>
        <w:spacing w:after="120"/>
      </w:pPr>
      <w:r>
        <w:rPr>
          <w:sz w:val="24"/>
          <w:szCs w:val="24"/>
        </w:rPr>
        <w:t xml:space="preserve">The LocalAIEngine class developed in apps/tee is moved (or symlinked via the monorepo) into packages/ai-engine. TULC-Mobile imports it the same way it imports CloudAIEngine — no change to the coaching logic, RAG, session management, or UI.</w:t>
      </w:r>
    </w:p>
    <w:p>
      <w:pPr>
        <w:pStyle w:val="Heading3"/>
        <w:spacing w:after="60" w:before="160"/>
      </w:pPr>
      <w:r>
        <w:t xml:space="preserve">Step 3: Model distribution</w:t>
      </w:r>
    </w:p>
    <w:p>
      <w:pPr>
        <w:spacing w:after="120"/>
      </w:pPr>
      <w:r>
        <w:rPr>
          <w:sz w:val="24"/>
          <w:szCs w:val="24"/>
        </w:rPr>
        <w:t xml:space="preserve">The model weights cannot ship in the APK (see Q11 on size limits). Implement a first-launch model download flow: the app ships with a small bootstrap, detects if the model is present in local storage, and if not, downloads it from a CDN (your hosting; not Google Play). Implement integrity verification (SHA-256 check) before using any downloaded model file.</w:t>
      </w:r>
    </w:p>
    <w:p>
      <w:pPr>
        <w:pStyle w:val="Heading3"/>
        <w:spacing w:after="60" w:before="160"/>
      </w:pPr>
      <w:r>
        <w:t xml:space="preserve">Step 4: Fallback strategy</w:t>
      </w:r>
    </w:p>
    <w:p>
      <w:pPr>
        <w:spacing w:after="120"/>
      </w:pPr>
      <w:r>
        <w:rPr>
          <w:sz w:val="24"/>
          <w:szCs w:val="24"/>
        </w:rPr>
        <w:t xml:space="preserve">During the transition period, maintain the CloudAIEngine as a fallback for when the device is online and the local model is not yet downloaded or fails to load. The AIEngineService selects the engine based on: local model available? → LocalAIEngine; else → CloudAIEngine if online; else → graceful offline error state.</w:t>
      </w:r>
    </w:p>
    <w:p>
      <w:pPr>
        <w:pStyle w:val="Heading3"/>
        <w:spacing w:after="60" w:before="160"/>
      </w:pPr>
      <w:r>
        <w:t xml:space="preserve">Step 5: EAS Production Build</w:t>
      </w:r>
    </w:p>
    <w:p>
      <w:pPr>
        <w:spacing w:after="120"/>
      </w:pPr>
      <w:r>
        <w:rPr>
          <w:sz w:val="24"/>
          <w:szCs w:val="24"/>
        </w:rPr>
        <w:t xml:space="preserve">Submit through EAS Build with the native module included. The Play Store APK/AAB does not include the model weights; those are downloaded on first launch from your CDN.</w:t>
      </w:r>
    </w:p>
    <w:p>
      <w:pPr>
        <w:pBdr>
          <w:bottom w:val="single" w:color="AAAAAA" w:sz="6" w:space="1"/>
        </w:pBdr>
        <w:spacing w:after="120" w:before="120"/>
      </w:pPr>
    </w:p>
    <w:p>
      <w:pPr>
        <w:pStyle w:val="Heading1"/>
        <w:spacing w:after="120" w:before="360"/>
      </w:pPr>
      <w:r>
        <w:t xml:space="preserve">Q11. Android Limitations That Should Influence the Architecture Now</w:t>
      </w:r>
    </w:p>
    <w:p>
      <w:pPr>
        <w:pStyle w:val="Heading2"/>
        <w:spacing w:after="80" w:before="240"/>
      </w:pPr>
      <w:r>
        <w:t xml:space="preserve">RAM</w:t>
      </w:r>
    </w:p>
    <w:p>
      <w:pPr>
        <w:spacing w:after="120"/>
      </w:pPr>
      <w:r>
        <w:rPr>
          <w:sz w:val="24"/>
          <w:szCs w:val="24"/>
        </w:rPr>
        <w:t xml:space="preserve">The Std 8 target audience likely uses budget Android devices with 3-4 GB RAM. With the OS and app overhead, you have roughly 1.5-2.5 GB available for the model at runtime. This constrains you to:</w:t>
      </w:r>
    </w:p>
    <w:p>
      <w:pPr>
        <w:pStyle w:val="ListParagraph"/>
        <w:numPr>
          <w:ilvl w:val="0"/>
          <w:numId w:val="1"/>
        </w:numPr>
        <w:spacing w:after="60"/>
      </w:pPr>
      <w:r>
        <w:rPr>
          <w:sz w:val="24"/>
          <w:szCs w:val="24"/>
        </w:rPr>
        <w:t xml:space="preserve">Models ≤ 3B parameters at 4-bit quantization (~1.5-2 GB loaded)</w:t>
      </w:r>
    </w:p>
    <w:p>
      <w:pPr>
        <w:pStyle w:val="ListParagraph"/>
        <w:numPr>
          <w:ilvl w:val="0"/>
          <w:numId w:val="1"/>
        </w:numPr>
        <w:spacing w:after="60"/>
      </w:pPr>
      <w:r>
        <w:rPr>
          <w:sz w:val="24"/>
          <w:szCs w:val="24"/>
        </w:rPr>
        <w:t xml:space="preserve">Gemma 2B Q4, Qwen 1.5B Q4, or Phi-2 Q4 are realistic candidates</w:t>
      </w:r>
    </w:p>
    <w:p>
      <w:pPr>
        <w:pStyle w:val="ListParagraph"/>
        <w:numPr>
          <w:ilvl w:val="0"/>
          <w:numId w:val="1"/>
        </w:numPr>
        <w:spacing w:after="60"/>
      </w:pPr>
      <w:r>
        <w:rPr>
          <w:sz w:val="24"/>
          <w:szCs w:val="24"/>
        </w:rPr>
        <w:t xml:space="preserve">Llama 3 8B is too large for budget devices — do not plan around it</w:t>
      </w:r>
    </w:p>
    <w:p>
      <w:pPr>
        <w:spacing w:after="120"/>
      </w:pPr>
      <w:r>
        <w:rPr>
          <w:sz w:val="24"/>
          <w:szCs w:val="24"/>
        </w:rPr>
        <w:t xml:space="preserve">TEE must benchmark on a representative low-end device (3-4 GB RAM, Snapdragon 4xx or MediaTek Helio G-series), not only on a flagship.</w:t>
      </w:r>
    </w:p>
    <w:p>
      <w:pPr>
        <w:pStyle w:val="Heading2"/>
        <w:spacing w:after="80" w:before="240"/>
      </w:pPr>
      <w:r>
        <w:t xml:space="preserve">App Packaging Size</w:t>
      </w:r>
    </w:p>
    <w:p>
      <w:pPr>
        <w:spacing w:after="120"/>
      </w:pPr>
      <w:r>
        <w:rPr>
          <w:sz w:val="24"/>
          <w:szCs w:val="24"/>
        </w:rPr>
        <w:t xml:space="preserve">Google Play enforces a 150 MB APK limit (larger apps must use AAB + Play Feature Delivery or a download-on-demand approach). A quantized SLM is 1-4 GB. You cannot bundle the model in the APK. Design the model distribution architecture now: the app bootstraps, checks local storage for the model file, and downloads if absent. Use expo-file-system or react-native-fs for model file management.</w:t>
      </w:r>
    </w:p>
    <w:p>
      <w:pPr>
        <w:pStyle w:val="Heading2"/>
        <w:spacing w:after="80" w:before="240"/>
      </w:pPr>
      <w:r>
        <w:t xml:space="preserve">Play Store Policies</w:t>
      </w:r>
    </w:p>
    <w:p>
      <w:pPr>
        <w:spacing w:after="120"/>
      </w:pPr>
      <w:r>
        <w:rPr>
          <w:sz w:val="24"/>
          <w:szCs w:val="24"/>
        </w:rPr>
        <w:t xml:space="preserve">Google Play has policies around apps that generate content. Review the Generative AI policy before launch. The key requirements are: disclosure that AI-generated content may contain errors, no harmful content generation, and no deceptive AI personas. A transparent educational coach framing satisfies these requirements, but the policy must be reviewed and addressed in the app store listing.</w:t>
      </w:r>
    </w:p>
    <w:p>
      <w:pPr>
        <w:pStyle w:val="Heading2"/>
        <w:spacing w:after="80" w:before="240"/>
      </w:pPr>
      <w:r>
        <w:t xml:space="preserve">NPU/GPU Access</w:t>
      </w:r>
    </w:p>
    <w:p>
      <w:pPr>
        <w:spacing w:after="120"/>
      </w:pPr>
      <w:r>
        <w:rPr>
          <w:sz w:val="24"/>
          <w:szCs w:val="24"/>
        </w:rPr>
        <w:t xml:space="preserve">Modern budget Android devices have NPUs (Neural Processing Units) that can dramatically accelerate quantized SLM inference. Access paths:</w:t>
      </w:r>
    </w:p>
    <w:p>
      <w:pPr>
        <w:pStyle w:val="ListParagraph"/>
        <w:numPr>
          <w:ilvl w:val="0"/>
          <w:numId w:val="1"/>
        </w:numPr>
        <w:spacing w:after="60"/>
      </w:pPr>
      <w:r>
        <w:rPr>
          <w:sz w:val="24"/>
          <w:szCs w:val="24"/>
        </w:rPr>
        <w:t xml:space="preserve">NNAPI (Android Neural Networks API) — available since Android 8.1, provides hardware-accelerated inference, supported by ONNX Runtime Android</w:t>
      </w:r>
    </w:p>
    <w:p>
      <w:pPr>
        <w:pStyle w:val="ListParagraph"/>
        <w:numPr>
          <w:ilvl w:val="0"/>
          <w:numId w:val="1"/>
        </w:numPr>
        <w:spacing w:after="60"/>
      </w:pPr>
      <w:r>
        <w:rPr>
          <w:sz w:val="24"/>
          <w:szCs w:val="24"/>
        </w:rPr>
        <w:t xml:space="preserve">GPU via OpenCL or Vulkan — supported by llama.cpp/llama.rn for GPU offloading</w:t>
      </w:r>
    </w:p>
    <w:p>
      <w:pPr>
        <w:pStyle w:val="ListParagraph"/>
        <w:numPr>
          <w:ilvl w:val="0"/>
          <w:numId w:val="1"/>
        </w:numPr>
        <w:spacing w:after="60"/>
      </w:pPr>
      <w:r>
        <w:rPr>
          <w:sz w:val="24"/>
          <w:szCs w:val="24"/>
        </w:rPr>
        <w:t xml:space="preserve">Vendor NPUs (Qualcomm Hexagon, MediaTek APU) — require vendor-specific SDKs, not accessible through generic runtime</w:t>
      </w:r>
    </w:p>
    <w:p>
      <w:pPr>
        <w:spacing w:after="120"/>
      </w:pPr>
      <w:r>
        <w:rPr>
          <w:sz w:val="24"/>
          <w:szCs w:val="24"/>
        </w:rPr>
        <w:t xml:space="preserve">ONNX Runtime React Native with NNAPI backend is the most portable path to hardware acceleration on budget Android devices. TEE should benchmark with NNAPI enabled and disabled to measure the speedup on the target device class.</w:t>
      </w:r>
    </w:p>
    <w:p>
      <w:pPr>
        <w:pStyle w:val="Heading2"/>
        <w:spacing w:after="80" w:before="240"/>
      </w:pPr>
      <w:r>
        <w:t xml:space="preserve">Background Execution</w:t>
      </w:r>
    </w:p>
    <w:p>
      <w:pPr>
        <w:spacing w:after="120"/>
      </w:pPr>
      <w:r>
        <w:rPr>
          <w:sz w:val="24"/>
          <w:szCs w:val="24"/>
        </w:rPr>
        <w:t xml:space="preserve">Android aggressively kills background processes. Do not rely on background processing for model loading or inference. Load the model on foreground app launch (with a visible loading state) and keep it in memory for the session duration. Unload on app backgrounding if memory pressure is signaled.</w:t>
      </w:r>
    </w:p>
    <w:p>
      <w:pPr>
        <w:pStyle w:val="Heading2"/>
        <w:spacing w:after="80" w:before="240"/>
      </w:pPr>
      <w:r>
        <w:t xml:space="preserve">Local Storage</w:t>
      </w:r>
    </w:p>
    <w:p>
      <w:pPr>
        <w:spacing w:after="120"/>
      </w:pPr>
      <w:r>
        <w:rPr>
          <w:sz w:val="24"/>
          <w:szCs w:val="24"/>
        </w:rPr>
        <w:t xml:space="preserve">Use expo-sqlite for the RAG index, session state, and weak-concept tracking. Use the app's documents directory (via expo-file-system) for model weight storage. The model weights directory is outside the SQLite database — do not try to store binary model weights in SQLite.</w:t>
      </w:r>
    </w:p>
    <w:p>
      <w:pPr>
        <w:pStyle w:val="Heading2"/>
        <w:spacing w:after="80" w:before="240"/>
      </w:pPr>
      <w:r>
        <w:t xml:space="preserve">Expo Constraints</w:t>
      </w:r>
    </w:p>
    <w:p>
      <w:pPr>
        <w:spacing w:after="120"/>
      </w:pPr>
      <w:r>
        <w:rPr>
          <w:sz w:val="24"/>
          <w:szCs w:val="24"/>
        </w:rPr>
        <w:t xml:space="preserve">Expo Go cannot run custom native modules. For anything that requires native Android code (SLM runtimes, low-level file access for large model files, NNAPI), you must use an Expo Development Build via EAS Build. Accept this now — do not let the team make architectural decisions that assume Expo Go is the final deployment target.</w:t>
      </w:r>
    </w:p>
    <w:p>
      <w:pPr>
        <w:pBdr>
          <w:bottom w:val="single" w:color="AAAAAA" w:sz="6" w:space="1"/>
        </w:pBdr>
        <w:spacing w:after="120" w:before="120"/>
      </w:pPr>
    </w:p>
    <w:p>
      <w:pPr>
        <w:pStyle w:val="Heading1"/>
        <w:spacing w:after="120" w:before="360"/>
      </w:pPr>
      <w:r>
        <w:t xml:space="preserve">Q12. Confirming the Two-Project Plan and Proposed Structure</w:t>
      </w:r>
    </w:p>
    <w:p>
      <w:pPr>
        <w:spacing w:after="120"/>
      </w:pPr>
      <w:r>
        <w:rPr>
          <w:sz w:val="24"/>
          <w:szCs w:val="24"/>
        </w:rPr>
        <w:t xml:space="preserve">The two-project plan is correct in spirit. The refinement is: the two projects live inside one monorepo, and they share a set of contract packages that neither project owns exclusively.</w:t>
      </w:r>
    </w:p>
    <w:p>
      <w:pPr>
        <w:spacing w:after="120"/>
      </w:pPr>
      <w:r>
        <w:rPr>
          <w:sz w:val="24"/>
          <w:szCs w:val="24"/>
        </w:rPr>
        <w:t xml:space="preserve">Confirmed structure:</w:t>
      </w:r>
    </w:p>
    <w:p>
      <w:pPr>
        <w:spacing w:after="60"/>
        <w:ind w:left="720"/>
      </w:pPr>
      <w:r>
        <w:rPr>
          <w:rFonts w:ascii="Courier New" w:cs="Courier New" w:eastAsia="Courier New" w:hAnsi="Courier New"/>
          <w:color w:val="1a1a1a"/>
          <w:sz w:val="20"/>
          <w:szCs w:val="20"/>
        </w:rPr>
        <w:t xml:space="preserve">tulc/                              ← single git repository</w:t>
      </w:r>
    </w:p>
    <w:p>
      <w:pPr>
        <w:spacing w:after="60"/>
        <w:ind w:left="720"/>
      </w:pPr>
      <w:r>
        <w:rPr>
          <w:rFonts w:ascii="Courier New" w:cs="Courier New" w:eastAsia="Courier New" w:hAnsi="Courier New"/>
          <w:color w:val="1a1a1a"/>
          <w:sz w:val="20"/>
          <w:szCs w:val="20"/>
        </w:rPr>
        <w:t xml:space="preserve">├── apps/</w:t>
      </w:r>
    </w:p>
    <w:p>
      <w:pPr>
        <w:spacing w:after="60"/>
        <w:ind w:left="720"/>
      </w:pPr>
      <w:r>
        <w:rPr>
          <w:rFonts w:ascii="Courier New" w:cs="Courier New" w:eastAsia="Courier New" w:hAnsi="Courier New"/>
          <w:color w:val="1a1a1a"/>
          <w:sz w:val="20"/>
          <w:szCs w:val="20"/>
        </w:rPr>
        <w:t xml:space="preserve">│   ├── mobile/                    ← TULC-Mobile (Expo / React Native)</w:t>
      </w:r>
    </w:p>
    <w:p>
      <w:pPr>
        <w:spacing w:after="60"/>
        <w:ind w:left="720"/>
      </w:pPr>
      <w:r>
        <w:rPr>
          <w:rFonts w:ascii="Courier New" w:cs="Courier New" w:eastAsia="Courier New" w:hAnsi="Courier New"/>
          <w:color w:val="1a1a1a"/>
          <w:sz w:val="20"/>
          <w:szCs w:val="20"/>
        </w:rPr>
        <w:t xml:space="preserve">│   │   ├── app/                   ← Expo Router screens</w:t>
      </w:r>
    </w:p>
    <w:p>
      <w:pPr>
        <w:spacing w:after="60"/>
        <w:ind w:left="720"/>
      </w:pPr>
      <w:r>
        <w:rPr>
          <w:rFonts w:ascii="Courier New" w:cs="Courier New" w:eastAsia="Courier New" w:hAnsi="Courier New"/>
          <w:color w:val="1a1a1a"/>
          <w:sz w:val="20"/>
          <w:szCs w:val="20"/>
        </w:rPr>
        <w:t xml:space="preserve">│   │   ├── components/</w:t>
      </w:r>
    </w:p>
    <w:p>
      <w:pPr>
        <w:spacing w:after="60"/>
        <w:ind w:left="720"/>
      </w:pPr>
      <w:r>
        <w:rPr>
          <w:rFonts w:ascii="Courier New" w:cs="Courier New" w:eastAsia="Courier New" w:hAnsi="Courier New"/>
          <w:color w:val="1a1a1a"/>
          <w:sz w:val="20"/>
          <w:szCs w:val="20"/>
        </w:rPr>
        <w:t xml:space="preserve">│   │   ├── services/              ← AIEngineService, SessionService</w:t>
      </w:r>
    </w:p>
    <w:p>
      <w:pPr>
        <w:spacing w:after="60"/>
        <w:ind w:left="720"/>
      </w:pPr>
      <w:r>
        <w:rPr>
          <w:rFonts w:ascii="Courier New" w:cs="Courier New" w:eastAsia="Courier New" w:hAnsi="Courier New"/>
          <w:color w:val="1a1a1a"/>
          <w:sz w:val="20"/>
          <w:szCs w:val="20"/>
        </w:rPr>
        <w:t xml:space="preserve">│   │   ├── package.json</w:t>
      </w:r>
    </w:p>
    <w:p>
      <w:pPr>
        <w:spacing w:after="60"/>
        <w:ind w:left="720"/>
      </w:pPr>
      <w:r>
        <w:rPr>
          <w:rFonts w:ascii="Courier New" w:cs="Courier New" w:eastAsia="Courier New" w:hAnsi="Courier New"/>
          <w:color w:val="1a1a1a"/>
          <w:sz w:val="20"/>
          <w:szCs w:val="20"/>
        </w:rPr>
        <w:t xml:space="preserve">│   │   └── app.json</w:t>
      </w:r>
    </w:p>
    <w:p>
      <w:pPr>
        <w:spacing w:after="60"/>
        <w:ind w:left="720"/>
      </w:pPr>
      <w:r>
        <w:rPr>
          <w:rFonts w:ascii="Courier New" w:cs="Courier New" w:eastAsia="Courier New" w:hAnsi="Courier New"/>
          <w:color w:val="1a1a1a"/>
          <w:sz w:val="20"/>
          <w:szCs w:val="20"/>
        </w:rPr>
        <w:t xml:space="preserve">│   └── tee/                       ← TULC Edge Engine</w:t>
      </w:r>
    </w:p>
    <w:p>
      <w:pPr>
        <w:spacing w:after="60"/>
        <w:ind w:left="720"/>
      </w:pPr>
      <w:r>
        <w:rPr>
          <w:rFonts w:ascii="Courier New" w:cs="Courier New" w:eastAsia="Courier New" w:hAnsi="Courier New"/>
          <w:color w:val="1a1a1a"/>
          <w:sz w:val="20"/>
          <w:szCs w:val="20"/>
        </w:rPr>
        <w:t xml:space="preserve">│       ├── src/</w:t>
      </w:r>
    </w:p>
    <w:p>
      <w:pPr>
        <w:spacing w:after="60"/>
        <w:ind w:left="720"/>
      </w:pPr>
      <w:r>
        <w:rPr>
          <w:rFonts w:ascii="Courier New" w:cs="Courier New" w:eastAsia="Courier New" w:hAnsi="Courier New"/>
          <w:color w:val="1a1a1a"/>
          <w:sz w:val="20"/>
          <w:szCs w:val="20"/>
        </w:rPr>
        <w:t xml:space="preserve">│       │   ├── harness/           ← CLI + benchmark runner</w:t>
      </w:r>
    </w:p>
    <w:p>
      <w:pPr>
        <w:spacing w:after="60"/>
        <w:ind w:left="720"/>
      </w:pPr>
      <w:r>
        <w:rPr>
          <w:rFonts w:ascii="Courier New" w:cs="Courier New" w:eastAsia="Courier New" w:hAnsi="Courier New"/>
          <w:color w:val="1a1a1a"/>
          <w:sz w:val="20"/>
          <w:szCs w:val="20"/>
        </w:rPr>
        <w:t xml:space="preserve">│       │   ├── model-registry/    ← ModelConfig, ModelRunner adapters</w:t>
      </w:r>
    </w:p>
    <w:p>
      <w:pPr>
        <w:spacing w:after="60"/>
        <w:ind w:left="720"/>
      </w:pPr>
      <w:r>
        <w:rPr>
          <w:rFonts w:ascii="Courier New" w:cs="Courier New" w:eastAsia="Courier New" w:hAnsi="Courier New"/>
          <w:color w:val="1a1a1a"/>
          <w:sz w:val="20"/>
          <w:szCs w:val="20"/>
        </w:rPr>
        <w:t xml:space="preserve">│       │   ├── adapters/          ← LlamaRnAdapter, OnnxRnAdapter, etc.</w:t>
      </w:r>
    </w:p>
    <w:p>
      <w:pPr>
        <w:spacing w:after="60"/>
        <w:ind w:left="720"/>
      </w:pPr>
      <w:r>
        <w:rPr>
          <w:rFonts w:ascii="Courier New" w:cs="Courier New" w:eastAsia="Courier New" w:hAnsi="Courier New"/>
          <w:color w:val="1a1a1a"/>
          <w:sz w:val="20"/>
          <w:szCs w:val="20"/>
        </w:rPr>
        <w:t xml:space="preserve">│       │   └── ui/                ← optional minimal benchmark dashboard</w:t>
      </w:r>
    </w:p>
    <w:p>
      <w:pPr>
        <w:spacing w:after="60"/>
        <w:ind w:left="720"/>
      </w:pPr>
      <w:r>
        <w:rPr>
          <w:rFonts w:ascii="Courier New" w:cs="Courier New" w:eastAsia="Courier New" w:hAnsi="Courier New"/>
          <w:color w:val="1a1a1a"/>
          <w:sz w:val="20"/>
          <w:szCs w:val="20"/>
        </w:rPr>
        <w:t xml:space="preserve">│       ├── scripts/               ← Python scripts for quantization/eval</w:t>
      </w:r>
    </w:p>
    <w:p>
      <w:pPr>
        <w:spacing w:after="60"/>
        <w:ind w:left="720"/>
      </w:pPr>
      <w:r>
        <w:rPr>
          <w:rFonts w:ascii="Courier New" w:cs="Courier New" w:eastAsia="Courier New" w:hAnsi="Courier New"/>
          <w:color w:val="1a1a1a"/>
          <w:sz w:val="20"/>
          <w:szCs w:val="20"/>
        </w:rPr>
        <w:t xml:space="preserve">│       └── package.json</w:t>
      </w:r>
    </w:p>
    <w:p>
      <w:pPr>
        <w:spacing w:after="60"/>
        <w:ind w:left="720"/>
      </w:pPr>
      <w:r>
        <w:rPr>
          <w:rFonts w:ascii="Courier New" w:cs="Courier New" w:eastAsia="Courier New" w:hAnsi="Courier New"/>
          <w:color w:val="1a1a1a"/>
          <w:sz w:val="20"/>
          <w:szCs w:val="20"/>
        </w:rPr>
        <w:t xml:space="preserve">├── packages/</w:t>
      </w:r>
    </w:p>
    <w:p>
      <w:pPr>
        <w:spacing w:after="60"/>
        <w:ind w:left="720"/>
      </w:pPr>
      <w:r>
        <w:rPr>
          <w:rFonts w:ascii="Courier New" w:cs="Courier New" w:eastAsia="Courier New" w:hAnsi="Courier New"/>
          <w:color w:val="1a1a1a"/>
          <w:sz w:val="20"/>
          <w:szCs w:val="20"/>
        </w:rPr>
        <w:t xml:space="preserve">│   ├── ai-engine/                 ← AIEngine interface + CloudAIEngine</w:t>
      </w:r>
    </w:p>
    <w:p>
      <w:pPr>
        <w:spacing w:after="60"/>
        <w:ind w:left="720"/>
      </w:pPr>
      <w:r>
        <w:rPr>
          <w:rFonts w:ascii="Courier New" w:cs="Courier New" w:eastAsia="Courier New" w:hAnsi="Courier New"/>
          <w:color w:val="1a1a1a"/>
          <w:sz w:val="20"/>
          <w:szCs w:val="20"/>
        </w:rPr>
        <w:t xml:space="preserve">│   │   └── src/</w:t>
      </w:r>
    </w:p>
    <w:p>
      <w:pPr>
        <w:spacing w:after="60"/>
        <w:ind w:left="720"/>
      </w:pPr>
      <w:r>
        <w:rPr>
          <w:rFonts w:ascii="Courier New" w:cs="Courier New" w:eastAsia="Courier New" w:hAnsi="Courier New"/>
          <w:color w:val="1a1a1a"/>
          <w:sz w:val="20"/>
          <w:szCs w:val="20"/>
        </w:rPr>
        <w:t xml:space="preserve">│   │       ├── types.ts           ← AIEngine, AIEngineRequest, AIEngineResponse</w:t>
      </w:r>
    </w:p>
    <w:p>
      <w:pPr>
        <w:spacing w:after="60"/>
        <w:ind w:left="720"/>
      </w:pPr>
      <w:r>
        <w:rPr>
          <w:rFonts w:ascii="Courier New" w:cs="Courier New" w:eastAsia="Courier New" w:hAnsi="Courier New"/>
          <w:color w:val="1a1a1a"/>
          <w:sz w:val="20"/>
          <w:szCs w:val="20"/>
        </w:rPr>
        <w:t xml:space="preserve">│   │       ├── cloud-engine.ts    ← CloudAIEngine (wraps cloud LLM API)</w:t>
      </w:r>
    </w:p>
    <w:p>
      <w:pPr>
        <w:spacing w:after="60"/>
        <w:ind w:left="720"/>
      </w:pPr>
      <w:r>
        <w:rPr>
          <w:rFonts w:ascii="Courier New" w:cs="Courier New" w:eastAsia="Courier New" w:hAnsi="Courier New"/>
          <w:color w:val="1a1a1a"/>
          <w:sz w:val="20"/>
          <w:szCs w:val="20"/>
        </w:rPr>
        <w:t xml:space="preserve">│   │       └── index.ts</w:t>
      </w:r>
    </w:p>
    <w:p>
      <w:pPr>
        <w:spacing w:after="60"/>
        <w:ind w:left="720"/>
      </w:pPr>
      <w:r>
        <w:rPr>
          <w:rFonts w:ascii="Courier New" w:cs="Courier New" w:eastAsia="Courier New" w:hAnsi="Courier New"/>
          <w:color w:val="1a1a1a"/>
          <w:sz w:val="20"/>
          <w:szCs w:val="20"/>
        </w:rPr>
        <w:t xml:space="preserve">│   ├── rag-core/                  ← RAG: indexing, retrieval, chunking</w:t>
      </w:r>
    </w:p>
    <w:p>
      <w:pPr>
        <w:spacing w:after="60"/>
        <w:ind w:left="720"/>
      </w:pPr>
      <w:r>
        <w:rPr>
          <w:rFonts w:ascii="Courier New" w:cs="Courier New" w:eastAsia="Courier New" w:hAnsi="Courier New"/>
          <w:color w:val="1a1a1a"/>
          <w:sz w:val="20"/>
          <w:szCs w:val="20"/>
        </w:rPr>
        <w:t xml:space="preserve">│   │   └── src/</w:t>
      </w:r>
    </w:p>
    <w:p>
      <w:pPr>
        <w:spacing w:after="60"/>
        <w:ind w:left="720"/>
      </w:pPr>
      <w:r>
        <w:rPr>
          <w:rFonts w:ascii="Courier New" w:cs="Courier New" w:eastAsia="Courier New" w:hAnsi="Courier New"/>
          <w:color w:val="1a1a1a"/>
          <w:sz w:val="20"/>
          <w:szCs w:val="20"/>
        </w:rPr>
        <w:t xml:space="preserve">│   │       ├── types.ts           ← CurriculumChunk, RetrievalResult</w:t>
      </w:r>
    </w:p>
    <w:p>
      <w:pPr>
        <w:spacing w:after="60"/>
        <w:ind w:left="720"/>
      </w:pPr>
      <w:r>
        <w:rPr>
          <w:rFonts w:ascii="Courier New" w:cs="Courier New" w:eastAsia="Courier New" w:hAnsi="Courier New"/>
          <w:color w:val="1a1a1a"/>
          <w:sz w:val="20"/>
          <w:szCs w:val="20"/>
        </w:rPr>
        <w:t xml:space="preserve">│   │       ├── indexer.ts         ← buildIndex()</w:t>
      </w:r>
    </w:p>
    <w:p>
      <w:pPr>
        <w:spacing w:after="60"/>
        <w:ind w:left="720"/>
      </w:pPr>
      <w:r>
        <w:rPr>
          <w:rFonts w:ascii="Courier New" w:cs="Courier New" w:eastAsia="Courier New" w:hAnsi="Courier New"/>
          <w:color w:val="1a1a1a"/>
          <w:sz w:val="20"/>
          <w:szCs w:val="20"/>
        </w:rPr>
        <w:t xml:space="preserve">│   │       ├── retriever.ts       ← retrieve()</w:t>
      </w:r>
    </w:p>
    <w:p>
      <w:pPr>
        <w:spacing w:after="60"/>
        <w:ind w:left="720"/>
      </w:pPr>
      <w:r>
        <w:rPr>
          <w:rFonts w:ascii="Courier New" w:cs="Courier New" w:eastAsia="Courier New" w:hAnsi="Courier New"/>
          <w:color w:val="1a1a1a"/>
          <w:sz w:val="20"/>
          <w:szCs w:val="20"/>
        </w:rPr>
        <w:t xml:space="preserve">│   │       └── index.ts</w:t>
      </w:r>
    </w:p>
    <w:p>
      <w:pPr>
        <w:spacing w:after="60"/>
        <w:ind w:left="720"/>
      </w:pPr>
      <w:r>
        <w:rPr>
          <w:rFonts w:ascii="Courier New" w:cs="Courier New" w:eastAsia="Courier New" w:hAnsi="Courier New"/>
          <w:color w:val="1a1a1a"/>
          <w:sz w:val="20"/>
          <w:szCs w:val="20"/>
        </w:rPr>
        <w:t xml:space="preserve">│   ├── coach-engine/              ← Coaching logic (quiz, reteach, etc.)</w:t>
      </w:r>
    </w:p>
    <w:p>
      <w:pPr>
        <w:spacing w:after="60"/>
        <w:ind w:left="720"/>
      </w:pPr>
      <w:r>
        <w:rPr>
          <w:rFonts w:ascii="Courier New" w:cs="Courier New" w:eastAsia="Courier New" w:hAnsi="Courier New"/>
          <w:color w:val="1a1a1a"/>
          <w:sz w:val="20"/>
          <w:szCs w:val="20"/>
        </w:rPr>
        <w:t xml:space="preserve">│   │   └── src/</w:t>
      </w:r>
    </w:p>
    <w:p>
      <w:pPr>
        <w:spacing w:after="60"/>
        <w:ind w:left="720"/>
      </w:pPr>
      <w:r>
        <w:rPr>
          <w:rFonts w:ascii="Courier New" w:cs="Courier New" w:eastAsia="Courier New" w:hAnsi="Courier New"/>
          <w:color w:val="1a1a1a"/>
          <w:sz w:val="20"/>
          <w:szCs w:val="20"/>
        </w:rPr>
        <w:t xml:space="preserve">│   │       ├── types.ts           ← CoachingInstruction, CoachingMode</w:t>
      </w:r>
    </w:p>
    <w:p>
      <w:pPr>
        <w:spacing w:after="60"/>
        <w:ind w:left="720"/>
      </w:pPr>
      <w:r>
        <w:rPr>
          <w:rFonts w:ascii="Courier New" w:cs="Courier New" w:eastAsia="Courier New" w:hAnsi="Courier New"/>
          <w:color w:val="1a1a1a"/>
          <w:sz w:val="20"/>
          <w:szCs w:val="20"/>
        </w:rPr>
        <w:t xml:space="preserve">│   │       ├── coach.ts           ← buildCoachingInstruction()</w:t>
      </w:r>
    </w:p>
    <w:p>
      <w:pPr>
        <w:spacing w:after="60"/>
        <w:ind w:left="720"/>
      </w:pPr>
      <w:r>
        <w:rPr>
          <w:rFonts w:ascii="Courier New" w:cs="Courier New" w:eastAsia="Courier New" w:hAnsi="Courier New"/>
          <w:color w:val="1a1a1a"/>
          <w:sz w:val="20"/>
          <w:szCs w:val="20"/>
        </w:rPr>
        <w:t xml:space="preserve">│   │       └── index.ts</w:t>
      </w:r>
    </w:p>
    <w:p>
      <w:pPr>
        <w:spacing w:after="60"/>
        <w:ind w:left="720"/>
      </w:pPr>
      <w:r>
        <w:rPr>
          <w:rFonts w:ascii="Courier New" w:cs="Courier New" w:eastAsia="Courier New" w:hAnsi="Courier New"/>
          <w:color w:val="1a1a1a"/>
          <w:sz w:val="20"/>
          <w:szCs w:val="20"/>
        </w:rPr>
        <w:t xml:space="preserve">│   └── session/                   ← Student session state</w:t>
      </w:r>
    </w:p>
    <w:p>
      <w:pPr>
        <w:spacing w:after="60"/>
        <w:ind w:left="720"/>
      </w:pPr>
      <w:r>
        <w:rPr>
          <w:rFonts w:ascii="Courier New" w:cs="Courier New" w:eastAsia="Courier New" w:hAnsi="Courier New"/>
          <w:color w:val="1a1a1a"/>
          <w:sz w:val="20"/>
          <w:szCs w:val="20"/>
        </w:rPr>
        <w:t xml:space="preserve">│       └── src/</w:t>
      </w:r>
    </w:p>
    <w:p>
      <w:pPr>
        <w:spacing w:after="60"/>
        <w:ind w:left="720"/>
      </w:pPr>
      <w:r>
        <w:rPr>
          <w:rFonts w:ascii="Courier New" w:cs="Courier New" w:eastAsia="Courier New" w:hAnsi="Courier New"/>
          <w:color w:val="1a1a1a"/>
          <w:sz w:val="20"/>
          <w:szCs w:val="20"/>
        </w:rPr>
        <w:t xml:space="preserve">│           ├── types.ts           ← SessionState, WeakConcept, etc.</w:t>
      </w:r>
    </w:p>
    <w:p>
      <w:pPr>
        <w:spacing w:after="60"/>
        <w:ind w:left="720"/>
      </w:pPr>
      <w:r>
        <w:rPr>
          <w:rFonts w:ascii="Courier New" w:cs="Courier New" w:eastAsia="Courier New" w:hAnsi="Courier New"/>
          <w:color w:val="1a1a1a"/>
          <w:sz w:val="20"/>
          <w:szCs w:val="20"/>
        </w:rPr>
        <w:t xml:space="preserve">│           ├── session-manager.ts</w:t>
      </w:r>
    </w:p>
    <w:p>
      <w:pPr>
        <w:spacing w:after="60"/>
        <w:ind w:left="720"/>
      </w:pPr>
      <w:r>
        <w:rPr>
          <w:rFonts w:ascii="Courier New" w:cs="Courier New" w:eastAsia="Courier New" w:hAnsi="Courier New"/>
          <w:color w:val="1a1a1a"/>
          <w:sz w:val="20"/>
          <w:szCs w:val="20"/>
        </w:rPr>
        <w:t xml:space="preserve">│           └── index.ts</w:t>
      </w:r>
    </w:p>
    <w:p>
      <w:pPr>
        <w:spacing w:after="60"/>
        <w:ind w:left="720"/>
      </w:pPr>
      <w:r>
        <w:rPr>
          <w:rFonts w:ascii="Courier New" w:cs="Courier New" w:eastAsia="Courier New" w:hAnsi="Courier New"/>
          <w:color w:val="1a1a1a"/>
          <w:sz w:val="20"/>
          <w:szCs w:val="20"/>
        </w:rPr>
        <w:t xml:space="preserve">├── pnpm-workspace.yaml</w:t>
      </w:r>
    </w:p>
    <w:p>
      <w:pPr>
        <w:spacing w:after="60"/>
        <w:ind w:left="720"/>
      </w:pPr>
      <w:r>
        <w:rPr>
          <w:rFonts w:ascii="Courier New" w:cs="Courier New" w:eastAsia="Courier New" w:hAnsi="Courier New"/>
          <w:color w:val="1a1a1a"/>
          <w:sz w:val="20"/>
          <w:szCs w:val="20"/>
        </w:rPr>
        <w:t xml:space="preserve">├── tsconfig.base.json</w:t>
      </w:r>
    </w:p>
    <w:p>
      <w:pPr>
        <w:spacing w:after="60"/>
        <w:ind w:left="720"/>
      </w:pPr>
      <w:r>
        <w:rPr>
          <w:rFonts w:ascii="Courier New" w:cs="Courier New" w:eastAsia="Courier New" w:hAnsi="Courier New"/>
          <w:color w:val="1a1a1a"/>
          <w:sz w:val="20"/>
          <w:szCs w:val="20"/>
        </w:rPr>
        <w:t xml:space="preserve">└── package.json</w:t>
      </w:r>
    </w:p>
    <w:p>
      <w:pPr>
        <w:pBdr>
          <w:bottom w:val="single" w:color="AAAAAA" w:sz="6" w:space="1"/>
        </w:pBdr>
        <w:spacing w:after="120" w:before="120"/>
      </w:pPr>
    </w:p>
    <w:p>
      <w:pPr>
        <w:pStyle w:val="Heading1"/>
        <w:spacing w:after="120" w:before="360"/>
      </w:pPr>
      <w:r>
        <w:t xml:space="preserve">RECOMMENDED DEVELOPMENT STRUCTURE</w:t>
      </w:r>
    </w:p>
    <w:p>
      <w:pPr>
        <w:spacing w:after="120"/>
      </w:pPr>
      <w:r>
        <w:rPr>
          <w:b/>
          <w:bCs/>
          <w:sz w:val="24"/>
          <w:szCs w:val="24"/>
        </w:rPr>
        <w:t xml:space="preserve">Single pnpm monorepo with two app packages (mobile, tee) and four shared contract packages (ai-engine, rag-core, coach-engine, session)</w:t>
      </w:r>
    </w:p>
    <w:p>
      <w:pPr>
        <w:pStyle w:val="Heading2"/>
        <w:spacing w:after="80" w:before="240"/>
      </w:pPr>
      <w:r>
        <w:t xml:space="preserve">WHY</w:t>
      </w:r>
    </w:p>
    <w:p>
      <w:pPr>
        <w:spacing w:after="120"/>
      </w:pPr>
      <w:r>
        <w:rPr>
          <w:sz w:val="24"/>
          <w:szCs w:val="24"/>
        </w:rPr>
        <w:t xml:space="preserve">The AIEngine interface, the RAG retrieval contract, and the coaching instruction type are shared artifacts. If they live in one project and are imported by another, you have a dependency that must be versioned and published or duplicated and kept in sync. Both options create maintenance overhead that compounds every time the interface evolves. A monorepo eliminates this: the shared packages are the canonical source of truth, and both apps import from them directly. TypeScript project references enforce consistency at compile time. The two-project separation is preserved — Mobile and TEE are genuinely independent packages with their own dependencies and build pipelines — but they share a structural spine that makes the eventual integration a swap, not a rewrite.</w:t>
      </w:r>
    </w:p>
    <w:p>
      <w:pPr>
        <w:pStyle w:val="Heading2"/>
        <w:spacing w:after="80" w:before="240"/>
      </w:pPr>
      <w:r>
        <w:t xml:space="preserve">START DAY ONE WITH</w:t>
      </w:r>
    </w:p>
    <w:p>
      <w:pPr>
        <w:pStyle w:val="ListParagraph"/>
        <w:numPr>
          <w:ilvl w:val="0"/>
          <w:numId w:val="1"/>
        </w:numPr>
        <w:spacing w:after="60"/>
      </w:pPr>
      <w:r>
        <w:rPr>
          <w:sz w:val="24"/>
          <w:szCs w:val="24"/>
        </w:rPr>
        <w:t xml:space="preserve">Create the monorepo with the folder structure above</w:t>
      </w:r>
    </w:p>
    <w:p>
      <w:pPr>
        <w:pStyle w:val="ListParagraph"/>
        <w:numPr>
          <w:ilvl w:val="0"/>
          <w:numId w:val="1"/>
        </w:numPr>
        <w:spacing w:after="60"/>
      </w:pPr>
      <w:r>
        <w:rPr>
          <w:sz w:val="24"/>
          <w:szCs w:val="24"/>
        </w:rPr>
        <w:t xml:space="preserve">Define packages/ai-engine/src/types.ts with the AIEngine interface (exact shape as in Q3 above)</w:t>
      </w:r>
    </w:p>
    <w:p>
      <w:pPr>
        <w:pStyle w:val="ListParagraph"/>
        <w:numPr>
          <w:ilvl w:val="0"/>
          <w:numId w:val="1"/>
        </w:numPr>
        <w:spacing w:after="60"/>
      </w:pPr>
      <w:r>
        <w:rPr>
          <w:sz w:val="24"/>
          <w:szCs w:val="24"/>
        </w:rPr>
        <w:t xml:space="preserve">Define packages/rag-core/src/types.ts with CurriculumChunk and RetrievalResult</w:t>
      </w:r>
    </w:p>
    <w:p>
      <w:pPr>
        <w:pStyle w:val="ListParagraph"/>
        <w:numPr>
          <w:ilvl w:val="0"/>
          <w:numId w:val="1"/>
        </w:numPr>
        <w:spacing w:after="60"/>
      </w:pPr>
      <w:r>
        <w:rPr>
          <w:sz w:val="24"/>
          <w:szCs w:val="24"/>
        </w:rPr>
        <w:t xml:space="preserve">Define packages/session/src/types.ts with SessionState and WeakConcept</w:t>
      </w:r>
    </w:p>
    <w:p>
      <w:pPr>
        <w:pStyle w:val="ListParagraph"/>
        <w:numPr>
          <w:ilvl w:val="0"/>
          <w:numId w:val="1"/>
        </w:numPr>
        <w:spacing w:after="60"/>
      </w:pPr>
      <w:r>
        <w:rPr>
          <w:sz w:val="24"/>
          <w:szCs w:val="24"/>
        </w:rPr>
        <w:t xml:space="preserve">Define packages/coach-engine/src/types.ts with CoachingInstruction and CoachingMode</w:t>
      </w:r>
    </w:p>
    <w:p>
      <w:pPr>
        <w:pStyle w:val="ListParagraph"/>
        <w:numPr>
          <w:ilvl w:val="0"/>
          <w:numId w:val="1"/>
        </w:numPr>
        <w:spacing w:after="60"/>
      </w:pPr>
      <w:r>
        <w:rPr>
          <w:sz w:val="24"/>
          <w:szCs w:val="24"/>
        </w:rPr>
        <w:t xml:space="preserve">Implement CloudAIEngine in packages/ai-engine using your cloud LLM API key</w:t>
      </w:r>
    </w:p>
    <w:p>
      <w:pPr>
        <w:pStyle w:val="ListParagraph"/>
        <w:numPr>
          <w:ilvl w:val="0"/>
          <w:numId w:val="1"/>
        </w:numPr>
        <w:spacing w:after="60"/>
      </w:pPr>
      <w:r>
        <w:rPr>
          <w:sz w:val="24"/>
          <w:szCs w:val="24"/>
        </w:rPr>
        <w:t xml:space="preserve">Begin TULC-Mobile in apps/mobile importing AIEngine and CloudAIEngine from the package</w:t>
      </w:r>
    </w:p>
    <w:p>
      <w:pPr>
        <w:pStyle w:val="ListParagraph"/>
        <w:numPr>
          <w:ilvl w:val="0"/>
          <w:numId w:val="1"/>
        </w:numPr>
        <w:spacing w:after="60"/>
      </w:pPr>
      <w:r>
        <w:rPr>
          <w:sz w:val="24"/>
          <w:szCs w:val="24"/>
        </w:rPr>
        <w:t xml:space="preserve">Begin TULC Edge Engine in apps/tee importing AIEngine interface and rag-core from the packages</w:t>
      </w:r>
    </w:p>
    <w:p>
      <w:pPr>
        <w:pStyle w:val="ListParagraph"/>
        <w:numPr>
          <w:ilvl w:val="0"/>
          <w:numId w:val="1"/>
        </w:numPr>
        <w:spacing w:after="60"/>
      </w:pPr>
      <w:r>
        <w:rPr>
          <w:sz w:val="24"/>
          <w:szCs w:val="24"/>
        </w:rPr>
        <w:t xml:space="preserve">Ensure TULC-Mobile never imports CloudAIEngine directly — use a factory function</w:t>
      </w:r>
    </w:p>
    <w:p>
      <w:pPr>
        <w:pStyle w:val="ListParagraph"/>
        <w:numPr>
          <w:ilvl w:val="0"/>
          <w:numId w:val="1"/>
        </w:numPr>
        <w:spacing w:after="60"/>
      </w:pPr>
      <w:r>
        <w:rPr>
          <w:sz w:val="24"/>
          <w:szCs w:val="24"/>
        </w:rPr>
        <w:t xml:space="preserve">Accept Expo Development Build as the target — do not architect around Expo Go</w:t>
      </w:r>
    </w:p>
    <w:p>
      <w:pPr>
        <w:pStyle w:val="ListParagraph"/>
        <w:numPr>
          <w:ilvl w:val="0"/>
          <w:numId w:val="1"/>
        </w:numPr>
        <w:spacing w:after="60"/>
      </w:pPr>
      <w:r>
        <w:rPr>
          <w:sz w:val="24"/>
          <w:szCs w:val="24"/>
        </w:rPr>
        <w:t xml:space="preserve">Use expo-sqlite for session state and RAG index storage from day one</w:t>
      </w:r>
    </w:p>
    <w:p>
      <w:pPr>
        <w:pStyle w:val="ListParagraph"/>
        <w:numPr>
          <w:ilvl w:val="0"/>
          <w:numId w:val="1"/>
        </w:numPr>
        <w:spacing w:after="60"/>
      </w:pPr>
      <w:r>
        <w:rPr>
          <w:sz w:val="24"/>
          <w:szCs w:val="24"/>
        </w:rPr>
        <w:t xml:space="preserve">Use character-script detection (Devanagari Unicode range) for language detection — no cloud call</w:t>
      </w:r>
    </w:p>
    <w:p>
      <w:pPr>
        <w:pStyle w:val="Heading2"/>
        <w:spacing w:after="80" w:before="240"/>
      </w:pPr>
      <w:r>
        <w:t xml:space="preserve">DEFER UNTIL LATER</w:t>
      </w:r>
    </w:p>
    <w:p>
      <w:pPr>
        <w:pStyle w:val="ListParagraph"/>
        <w:numPr>
          <w:ilvl w:val="0"/>
          <w:numId w:val="1"/>
        </w:numPr>
        <w:spacing w:after="60"/>
      </w:pPr>
      <w:r>
        <w:rPr>
          <w:sz w:val="24"/>
          <w:szCs w:val="24"/>
        </w:rPr>
        <w:t xml:space="preserve">Choosing the specific SLM (Gemma vs Qwen vs Phi) — TEE will determine this; Mobile must not be coupled to the choice</w:t>
      </w:r>
    </w:p>
    <w:p>
      <w:pPr>
        <w:pStyle w:val="ListParagraph"/>
        <w:numPr>
          <w:ilvl w:val="0"/>
          <w:numId w:val="1"/>
        </w:numPr>
        <w:spacing w:after="60"/>
      </w:pPr>
      <w:r>
        <w:rPr>
          <w:sz w:val="24"/>
          <w:szCs w:val="24"/>
        </w:rPr>
        <w:t xml:space="preserve">On-device vector embeddings — start with keyword/BM25 retrieval for RAG; upgrade the retriever in rag-core when embedding quality becomes the bottleneck</w:t>
      </w:r>
    </w:p>
    <w:p>
      <w:pPr>
        <w:pStyle w:val="ListParagraph"/>
        <w:numPr>
          <w:ilvl w:val="0"/>
          <w:numId w:val="1"/>
        </w:numPr>
        <w:spacing w:after="60"/>
      </w:pPr>
      <w:r>
        <w:rPr>
          <w:sz w:val="24"/>
          <w:szCs w:val="24"/>
        </w:rPr>
        <w:t xml:space="preserve">Model distribution CDN and first-launch download flow — build this when TEE confirms a viable model</w:t>
      </w:r>
    </w:p>
    <w:p>
      <w:pPr>
        <w:pStyle w:val="ListParagraph"/>
        <w:numPr>
          <w:ilvl w:val="0"/>
          <w:numId w:val="1"/>
        </w:numPr>
        <w:spacing w:after="60"/>
      </w:pPr>
      <w:r>
        <w:rPr>
          <w:sz w:val="24"/>
          <w:szCs w:val="24"/>
        </w:rPr>
        <w:t xml:space="preserve">Native module development (llama.rn wrapper, ONNX Runtime RN) — use node-llama-cpp in TEE for early experimentation; write the RN native module only when a model is confirmed</w:t>
      </w:r>
    </w:p>
    <w:p>
      <w:pPr>
        <w:pStyle w:val="ListParagraph"/>
        <w:numPr>
          <w:ilvl w:val="0"/>
          <w:numId w:val="1"/>
        </w:numPr>
        <w:spacing w:after="60"/>
      </w:pPr>
      <w:r>
        <w:rPr>
          <w:sz w:val="24"/>
          <w:szCs w:val="24"/>
        </w:rPr>
        <w:t xml:space="preserve">Personalized learning path logic — coaching logic starts with topic-by-topic reteach; personalization is a later addition to coach-engine</w:t>
      </w:r>
    </w:p>
    <w:p>
      <w:pPr>
        <w:pStyle w:val="ListParagraph"/>
        <w:numPr>
          <w:ilvl w:val="0"/>
          <w:numId w:val="1"/>
        </w:numPr>
        <w:spacing w:after="60"/>
      </w:pPr>
      <w:r>
        <w:rPr>
          <w:sz w:val="24"/>
          <w:szCs w:val="24"/>
        </w:rPr>
        <w:t xml:space="preserve">Marathi language quality evaluation rubric — design this once you have real student interaction data to evaluate against</w:t>
      </w:r>
    </w:p>
    <w:p>
      <w:pPr>
        <w:pStyle w:val="ListParagraph"/>
        <w:numPr>
          <w:ilvl w:val="0"/>
          <w:numId w:val="1"/>
        </w:numPr>
        <w:spacing w:after="60"/>
      </w:pPr>
      <w:r>
        <w:rPr>
          <w:sz w:val="24"/>
          <w:szCs w:val="24"/>
        </w:rPr>
        <w:t xml:space="preserve">Play Store submission and AI content policy compliance — address in the production release sprint, not MVP</w:t>
      </w:r>
    </w:p>
    <w:p>
      <w:pPr>
        <w:pStyle w:val="ListParagraph"/>
        <w:numPr>
          <w:ilvl w:val="0"/>
          <w:numId w:val="1"/>
        </w:numPr>
        <w:spacing w:after="60"/>
      </w:pPr>
      <w:r>
        <w:rPr>
          <w:sz w:val="24"/>
          <w:szCs w:val="24"/>
        </w:rPr>
        <w:t xml:space="preserve">Battery and thermal benchmarking — this requires physical devices running full sessions; defer to phase 3 when the model is selected</w:t>
      </w:r>
    </w:p>
    <w:p>
      <w:pPr>
        <w:pStyle w:val="ListParagraph"/>
        <w:numPr>
          <w:ilvl w:val="0"/>
          <w:numId w:val="1"/>
        </w:numPr>
        <w:spacing w:after="60"/>
      </w:pPr>
      <w:r>
        <w:rPr>
          <w:sz w:val="24"/>
          <w:szCs w:val="24"/>
        </w:rPr>
        <w:t xml:space="preserve">Python quantization scripts — defer until TEE has identified which model families are worth converting</w:t>
      </w:r>
    </w:p>
    <w:p>
      <w:pPr>
        <w:pBdr>
          <w:bottom w:val="single" w:color="AAAAAA" w:sz="6" w:space="1"/>
        </w:pBdr>
        <w:spacing w:after="120" w:before="120"/>
      </w:pPr>
    </w:p>
    <w:p>
      <w:pPr>
        <w:pStyle w:val="Heading1"/>
        <w:spacing w:after="120" w:before="360"/>
      </w:pPr>
      <w:r>
        <w:t xml:space="preserve">Next Steps</w:t>
      </w:r>
    </w:p>
    <w:p>
      <w:pPr>
        <w:spacing w:after="120"/>
      </w:pPr>
      <w:r>
        <w:rPr>
          <w:sz w:val="24"/>
          <w:szCs w:val="24"/>
        </w:rPr>
        <w:t xml:space="preserve">Based on this analysis, the recommended order for the next two implementation documents is:</w:t>
      </w:r>
    </w:p>
    <w:p>
      <w:pPr>
        <w:spacing w:after="120"/>
      </w:pPr>
      <w:r>
        <w:rPr>
          <w:b/>
          <w:bCs/>
          <w:sz w:val="24"/>
          <w:szCs w:val="24"/>
        </w:rPr>
        <w:t xml:space="preserve">Document 1 — Replit Prompt for TULC-Mobile:</w:t>
      </w:r>
      <w:r>
        <w:rPr>
          <w:sz w:val="24"/>
          <w:szCs w:val="24"/>
        </w:rPr>
        <w:t xml:space="preserve"> Focus on: Expo Development Build setup, the four shared packages (ai-engine, rag-core, coach-engine, session) as the first implementation milestone, CloudAIEngine implementation, language detection, and the student-facing coaching UI. The Replit agent should start with the monorepo structure and shared packages before building any UI.</w:t>
      </w:r>
    </w:p>
    <w:p>
      <w:pPr>
        <w:spacing w:after="240"/>
      </w:pPr>
      <w:r>
        <w:rPr>
          <w:b/>
          <w:bCs/>
          <w:sz w:val="24"/>
          <w:szCs w:val="24"/>
        </w:rPr>
        <w:t xml:space="preserve">Document 2 — Claude Prompt for TULC Edge Engine:</w:t>
      </w:r>
      <w:r>
        <w:rPr>
          <w:sz w:val="24"/>
          <w:szCs w:val="24"/>
        </w:rPr>
        <w:t xml:space="preserve"> Focus on: the ModelRegistry and ModelRunner interface, node-llama-cpp as the first runtime adapter, the benchmark data schema, the evaluation harness against a fixed set of Std 8 curriculum questions in English and Marathi, and the first benchmark run comparing Gemma 2B Q4 vs Phi-3 Mini Q4 vs Qwen 1.5B Q4. Claude should import packages/ai-engine types from the monorepo.</w:t>
      </w:r>
    </w:p>
    <w:p>
      <w:pPr>
        <w:spacing w:after="120"/>
      </w:pPr>
      <w:r>
        <w:rPr>
          <w:sz w:val="24"/>
          <w:szCs w:val="24"/>
        </w:rPr>
        <w:t xml:space="preserve">The shared packages (ai-engine, rag-core, coach-engine, session) are the first deliverable of the entire project — they are the handshake between the two implementation efforts. Both implementation documents should reference and import from these packages; neither document should define the AIEngine interface independently.</w:t>
      </w:r>
    </w:p>
    <w:p>
      <w:pPr>
        <w:pBdr>
          <w:bottom w:val="single" w:color="AAAAAA" w:sz="6" w:space="1"/>
        </w:pBdr>
        <w:spacing w:after="120" w:before="120"/>
      </w:pPr>
    </w:p>
    <w:p>
      <w:pPr>
        <w:spacing w:before="240"/>
        <w:jc w:val="center"/>
      </w:pPr>
      <w:r>
        <w:rPr>
          <w:i/>
          <w:iCs/>
          <w:color w:val="888888"/>
          <w:sz w:val="22"/>
          <w:szCs w:val="22"/>
        </w:rPr>
        <w:t xml:space="preserve">End of Architectural Response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2026-08-09T23:56:14.089Z</dcterms:created>
  <dcterms:modified xsi:type="dcterms:W3CDTF">2026-08-09T23:56:14.090Z</dcterms:modified>
</cp:coreProperties>
</file>

<file path=docProps/custom.xml><?xml version="1.0" encoding="utf-8"?>
<Properties xmlns="http://schemas.openxmlformats.org/officeDocument/2006/custom-properties" xmlns:vt="http://schemas.openxmlformats.org/officeDocument/2006/docPropsVTypes"/>
</file>