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TULC MVP Vision &amp; Architecture v1.0</w:t>
      </w:r>
    </w:p>
    <w:p>
      <w:pPr>
        <w:jc w:val="center"/>
      </w:pPr>
      <w:r>
        <w:rPr>
          <w:rFonts w:ascii="Arial" w:hAnsi="Arial"/>
          <w:i/>
          <w:sz w:val="20"/>
        </w:rPr>
        <w:t>Pre-feasibility architecture for The Ultimate Learning Coach</w:t>
      </w:r>
    </w:p>
    <w:p>
      <w:r>
        <w:t>Status: MVP-stage working architecture. This document intentionally avoids locking model, runtime, scaling, or production decisions that depend on technical feasibility results.</w:t>
      </w:r>
    </w:p>
    <w:p>
      <w:pPr>
        <w:pStyle w:val="Heading1"/>
      </w:pPr>
      <w:r>
        <w:t>1. Purpose</w:t>
      </w:r>
    </w:p>
    <w:p>
      <w:r>
        <w:t>This document defines the minimum architectural truth needed to build and test the first TULC MVP without creating premature enterprise architecture. It incorporates the approved Replit recommendation of a single pnpm monorepo with two app packages and shared TypeScript contract packages. Its purpose is to keep TULC-Mobile and the TULC Edge Engine aligned while preserving the freedom to change SLMs, runtimes, retrieval methods, and deployment choices.</w:t>
      </w:r>
    </w:p>
    <w:p>
      <w:pPr>
        <w:pStyle w:val="Heading1"/>
      </w:pPr>
      <w:r>
        <w:t>2. Product Vision</w:t>
      </w:r>
    </w:p>
    <w:p>
      <w:r>
        <w:t>TULC - The Ultimate Learning Coach - is envisioned as a personalized, multilingual, multimodal learning coach that augments the school system. It is not intended to replace teachers or schools. It gives a student an always-available coaching layer that explains, questions, checks understanding, reteaches, and gradually adapts to the learner.</w:t>
      </w:r>
    </w:p>
    <w:p>
      <w:r>
        <w:t>The core educational idea is language-adaptive learning: the curriculum remains authoritative in its official medium, while the student interacts naturally in the language that helps them understand the current concept.</w:t>
      </w:r>
    </w:p>
    <w:p>
      <w:pPr>
        <w:pStyle w:val="Heading1"/>
      </w:pPr>
      <w:r>
        <w:t>3. MVP Definition</w:t>
      </w:r>
    </w:p>
    <w:p>
      <w:pPr>
        <w:pStyle w:val="ListBullet"/>
      </w:pPr>
      <w:r>
        <w:t>Board and grade: Maharashtra SSC, Standard 8.</w:t>
      </w:r>
    </w:p>
    <w:p>
      <w:pPr>
        <w:pStyle w:val="ListBullet"/>
      </w:pPr>
      <w:r>
        <w:t>Curriculum medium: English-medium SSC textbooks.</w:t>
      </w:r>
    </w:p>
    <w:p>
      <w:pPr>
        <w:pStyle w:val="ListBullet"/>
      </w:pPr>
      <w:r>
        <w:t>Initial authoritative knowledge source: official Std 8 English-medium textbook content already used in the existing RAG, subject to refinement.</w:t>
      </w:r>
    </w:p>
    <w:p>
      <w:pPr>
        <w:pStyle w:val="ListBullet"/>
      </w:pPr>
      <w:r>
        <w:t>Interaction languages: English and Marathi.</w:t>
      </w:r>
    </w:p>
    <w:p>
      <w:pPr>
        <w:pStyle w:val="ListBullet"/>
      </w:pPr>
      <w:r>
        <w:t>Language behavior: automatic detection on every interaction. No preferred-language setting is required.</w:t>
      </w:r>
    </w:p>
    <w:p>
      <w:pPr>
        <w:pStyle w:val="ListBullet"/>
      </w:pPr>
      <w:r>
        <w:t>Student may ask in English, then Marathi, then English again; TULC should respond in the current interaction language.</w:t>
      </w:r>
    </w:p>
    <w:p>
      <w:pPr>
        <w:pStyle w:val="ListBullet"/>
      </w:pPr>
      <w:r>
        <w:t>Target product form: Android mobile application.</w:t>
      </w:r>
    </w:p>
    <w:p>
      <w:pPr>
        <w:pStyle w:val="ListBullet"/>
      </w:pPr>
      <w:r>
        <w:t>Ultimate technical target: core learning interaction works offline using an on-device SLM and local RAG.</w:t>
      </w:r>
    </w:p>
    <w:p>
      <w:pPr>
        <w:pStyle w:val="ListBullet"/>
      </w:pPr>
      <w:r>
        <w:t>Initial development may use a cloud LLM only as a temporary implementation behind a replaceable AIEngine interface.</w:t>
      </w:r>
    </w:p>
    <w:p>
      <w:pPr>
        <w:pStyle w:val="Heading1"/>
      </w:pPr>
      <w:r>
        <w:t>4. Core Hypothesis to Prove</w:t>
      </w:r>
    </w:p>
    <w:p>
      <w:r>
        <w:t>Can a completely offline Android learning coach use a single English-medium SSC RAG plus a multilingual on-device SLM to provide useful, curriculum-faithful, age-appropriate coaching in English and Marathi with acceptable latency on realistic Android hardware?</w:t>
      </w:r>
    </w:p>
    <w:p>
      <w:r>
        <w:t>Until this hypothesis is proven, architecture should optimize for learning velocity rather than completeness.</w:t>
      </w:r>
    </w:p>
    <w:p>
      <w:pPr>
        <w:pStyle w:val="Heading1"/>
      </w:pPr>
      <w:r>
        <w:t>5. Architectural Principles</w:t>
      </w:r>
    </w:p>
    <w:p>
      <w:pPr>
        <w:pStyle w:val="ListNumber"/>
      </w:pPr>
      <w:r>
        <w:t>TULC is a coach, not a generic chatbot.</w:t>
      </w:r>
    </w:p>
    <w:p>
      <w:pPr>
        <w:pStyle w:val="ListNumber"/>
      </w:pPr>
      <w:r>
        <w:t>The official curriculum is the authoritative source of knowledge.</w:t>
      </w:r>
    </w:p>
    <w:p>
      <w:pPr>
        <w:pStyle w:val="ListNumber"/>
      </w:pPr>
      <w:r>
        <w:t>Interaction language is independent of knowledge-base language.</w:t>
      </w:r>
    </w:p>
    <w:p>
      <w:pPr>
        <w:pStyle w:val="ListNumber"/>
      </w:pPr>
      <w:r>
        <w:t>Cloud and local inference must be interchangeable behind one shared AIEngine contract.</w:t>
      </w:r>
    </w:p>
    <w:p>
      <w:pPr>
        <w:pStyle w:val="ListNumber"/>
      </w:pPr>
      <w:r>
        <w:t>RAG must be local-capable and shared by both Mobile and TEE.</w:t>
      </w:r>
    </w:p>
    <w:p>
      <w:pPr>
        <w:pStyle w:val="ListNumber"/>
      </w:pPr>
      <w:r>
        <w:t>Student state and coaching logic are TULC assets and should not be embedded inside a specific model.</w:t>
      </w:r>
    </w:p>
    <w:p>
      <w:pPr>
        <w:pStyle w:val="ListNumber"/>
      </w:pPr>
      <w:r>
        <w:t>Model choice, quantization, runtime and hardware acceleration remain experimental until TEE proves them.</w:t>
      </w:r>
    </w:p>
    <w:p>
      <w:pPr>
        <w:pStyle w:val="ListNumber"/>
      </w:pPr>
      <w:r>
        <w:t>The final offline system must be tested on physical Android hardware, not inferred from desktop benchmarks.</w:t>
      </w:r>
    </w:p>
    <w:p>
      <w:pPr>
        <w:pStyle w:val="Heading1"/>
      </w:pPr>
      <w:r>
        <w:t>6. Approved Monorepo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7F8"/>
          </w:tcPr>
          <w:p>
            <w:r>
              <w:rPr>
                <w:rFonts w:ascii="Courier New" w:hAnsi="Courier New"/>
                <w:sz w:val="18"/>
              </w:rPr>
              <w:t>tulc/</w:t>
              <w:br/>
              <w:t>├── apps/</w:t>
              <w:br/>
              <w:t>│   ├── mobile/              # Student-facing Expo / React Native app</w:t>
              <w:br/>
              <w:t>│   └── tee/                 # Edge-engine test harness and benchmarking</w:t>
              <w:br/>
              <w:t>├── packages/</w:t>
              <w:br/>
              <w:t>│   ├── ai-engine/           # AIEngine contract + cloud/local adapters</w:t>
              <w:br/>
              <w:t>│   ├── rag-core/            # Shared retrieval logic and curriculum types</w:t>
              <w:br/>
              <w:t>│   ├── coach-engine/        # Coaching modes and instruction builder</w:t>
              <w:br/>
              <w:t>│   └── session/             # Student/session state and persistence schema</w:t>
              <w:br/>
              <w:t>├── pnpm-workspace.yaml</w:t>
              <w:br/>
              <w:t>└── tsconfig.base.json</w:t>
            </w:r>
          </w:p>
        </w:tc>
      </w:tr>
    </w:tbl>
    <w:p>
      <w:pPr>
        <w:pStyle w:val="Heading1"/>
      </w:pPr>
      <w:r>
        <w:t>7. Logical Runtime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7F8"/>
          </w:tcPr>
          <w:p>
            <w:r>
              <w:rPr>
                <w:rFonts w:ascii="Courier New" w:hAnsi="Courier New"/>
                <w:sz w:val="18"/>
              </w:rPr>
              <w:t>Student interaction</w:t>
              <w:br/>
              <w:t xml:space="preserve">        ↓</w:t>
              <w:br/>
              <w:t>Language detection</w:t>
              <w:br/>
              <w:t xml:space="preserve">        ↓</w:t>
              <w:br/>
              <w:t>Coach Engine</w:t>
              <w:br/>
              <w:t xml:space="preserve">        ↓</w:t>
              <w:br/>
              <w:t>Local-capable RAG</w:t>
              <w:br/>
              <w:t xml:space="preserve">        ↓</w:t>
              <w:br/>
              <w:t>AIEngine interface</w:t>
              <w:br/>
              <w:t xml:space="preserve">   ┌───────────────┐</w:t>
              <w:br/>
              <w:t xml:space="preserve">   │               │</w:t>
              <w:br/>
              <w:t>CloudAIEngine   LocalAIEngine / TEE</w:t>
              <w:br/>
              <w:t xml:space="preserve">   │               │</w:t>
              <w:br/>
              <w:t>Cloud LLM       On-device SLM</w:t>
              <w:br/>
              <w:t xml:space="preserve">   └───────────────┘</w:t>
              <w:br/>
              <w:t xml:space="preserve">        ↓</w:t>
              <w:br/>
              <w:t>Response in current student language</w:t>
              <w:br/>
              <w:t xml:space="preserve">        ↓</w:t>
              <w:br/>
              <w:t>Session state update</w:t>
            </w:r>
          </w:p>
        </w:tc>
      </w:tr>
    </w:tbl>
    <w:p>
      <w:pPr>
        <w:pStyle w:val="Heading1"/>
      </w:pPr>
      <w:r>
        <w:t>8. What Must Be Decided Now</w:t>
      </w:r>
    </w:p>
    <w:p>
      <w:pPr>
        <w:pStyle w:val="ListBullet"/>
      </w:pPr>
      <w:r>
        <w:t>Shared AIEngine request/response contract.</w:t>
      </w:r>
    </w:p>
    <w:p>
      <w:pPr>
        <w:pStyle w:val="ListBullet"/>
      </w:pPr>
      <w:r>
        <w:t>Shared CurriculumChunk / retrieval contract.</w:t>
      </w:r>
    </w:p>
    <w:p>
      <w:pPr>
        <w:pStyle w:val="ListBullet"/>
      </w:pPr>
      <w:r>
        <w:t>Shared CoachingInstruction type.</w:t>
      </w:r>
    </w:p>
    <w:p>
      <w:pPr>
        <w:pStyle w:val="ListBullet"/>
      </w:pPr>
      <w:r>
        <w:t>Shared SessionState schema.</w:t>
      </w:r>
    </w:p>
    <w:p>
      <w:pPr>
        <w:pStyle w:val="ListBullet"/>
      </w:pPr>
      <w:r>
        <w:t>A single engine-selection factory/service so UI never directly calls a provider.</w:t>
      </w:r>
    </w:p>
    <w:p>
      <w:pPr>
        <w:pStyle w:val="ListBullet"/>
      </w:pPr>
      <w:r>
        <w:t>RAG architecture that can run locally later.</w:t>
      </w:r>
    </w:p>
    <w:p>
      <w:pPr>
        <w:pStyle w:val="ListBullet"/>
      </w:pPr>
      <w:r>
        <w:t>Local persistence mechanism appropriate for Android, with SQLite as the default unless implementation testing proves otherwise.</w:t>
      </w:r>
    </w:p>
    <w:p>
      <w:pPr>
        <w:pStyle w:val="ListBullet"/>
      </w:pPr>
      <w:r>
        <w:t>Development workflow that accepts an Expo Development Build once native SLM integration begins.</w:t>
      </w:r>
    </w:p>
    <w:p>
      <w:pPr>
        <w:pStyle w:val="Heading1"/>
      </w:pPr>
      <w:r>
        <w:t>9. What Must NOT Be Decided Yet</w:t>
      </w:r>
    </w:p>
    <w:p>
      <w:pPr>
        <w:pStyle w:val="ListBullet"/>
      </w:pPr>
      <w:r>
        <w:t>Specific production SLM family.</w:t>
      </w:r>
    </w:p>
    <w:p>
      <w:pPr>
        <w:pStyle w:val="ListBullet"/>
      </w:pPr>
      <w:r>
        <w:t>Specific production quantization.</w:t>
      </w:r>
    </w:p>
    <w:p>
      <w:pPr>
        <w:pStyle w:val="ListBullet"/>
      </w:pPr>
      <w:r>
        <w:t>Specific production on-device runtime.</w:t>
      </w:r>
    </w:p>
    <w:p>
      <w:pPr>
        <w:pStyle w:val="ListBullet"/>
      </w:pPr>
      <w:r>
        <w:t>NPU/GPU/vendor-specific optimization path.</w:t>
      </w:r>
    </w:p>
    <w:p>
      <w:pPr>
        <w:pStyle w:val="ListBullet"/>
      </w:pPr>
      <w:r>
        <w:t>Final model distribution mechanism.</w:t>
      </w:r>
    </w:p>
    <w:p>
      <w:pPr>
        <w:pStyle w:val="ListBullet"/>
      </w:pPr>
      <w:r>
        <w:t>Custom SLM or fine-tuning strategy.</w:t>
      </w:r>
    </w:p>
    <w:p>
      <w:pPr>
        <w:pStyle w:val="ListBullet"/>
      </w:pPr>
      <w:r>
        <w:t>Multi-board, multi-grade, teacher-dashboard, parent-dashboard or large-scale analytics architecture.</w:t>
      </w:r>
    </w:p>
    <w:p>
      <w:pPr>
        <w:pStyle w:val="ListBullet"/>
      </w:pPr>
      <w:r>
        <w:t>Production Play Store deployment design.</w:t>
      </w:r>
    </w:p>
    <w:p>
      <w:pPr>
        <w:pStyle w:val="ListBullet"/>
      </w:pPr>
      <w:r>
        <w:t>Long-term cloud fallback policy after full offline feasibility is proven.</w:t>
      </w:r>
    </w:p>
    <w:p>
      <w:pPr>
        <w:pStyle w:val="Heading1"/>
      </w:pPr>
      <w:r>
        <w:t>10. Definition of Success</w:t>
      </w:r>
    </w:p>
    <w:p>
      <w:r>
        <w:t>TULC-Mobile succeeds when the learning experience feels like a coach rather than a chatbot, regardless of whether the temporary engine is cloud-based.</w:t>
      </w:r>
    </w:p>
    <w:p>
      <w:r>
        <w:t>TEE succeeds when an on-device model/runtime combination produces acceptable English and Marathi coaching quality, curriculum fidelity and device performance.</w:t>
      </w:r>
    </w:p>
    <w:p>
      <w:r>
        <w:t>The integrated TULC Edge MVP succeeds when a real Android phone in airplane mode can complete a useful SSC Std 8 lesson using local retrieval and local inference.</w:t>
      </w:r>
    </w:p>
    <w:p>
      <w:pPr>
        <w:pStyle w:val="Heading1"/>
      </w:pPr>
      <w:r>
        <w:t>11. Architecture Change Rule</w:t>
      </w:r>
    </w:p>
    <w:p>
      <w:r>
        <w:t>Until the Edge MVP is proven, new architectural ideas should normally modify this document, the Coach Design document, or the TEE Experiment Plan. Do not create additional architecture documents unless a new decision cannot reasonably fit into one of those three.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