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8/7/2025 </w:t>
      </w:r>
      <w:r>
        <w:rPr>
          <w:b/>
        </w:rPr>
        <w:t xml:space="preserve">Adoptions: </w:t>
      </w:r>
      <w:r>
        <w:t>6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08/10/25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268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1"/>
      </w:pPr>
      <w:r>
        <w:t>Occupancy: 08/10/25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309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A0059063708</w:t>
            </w:r>
          </w:p>
        </w:tc>
        <w:tc>
          <w:tcPr>
            <w:tcW w:type="dxa" w:w="2880"/>
          </w:tcPr>
          <w:p>
            <w:r>
              <w:t xml:space="preserve">  Cat Isolation 231, Cage 4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A0059067638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</w:tbl>
    <w:p/>
    <w:p>
      <w:pPr>
        <w:pStyle w:val="Heading1"/>
      </w:pPr>
      <w:r>
        <w:t>Intake: 8/7/2025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42</w:t>
            </w:r>
          </w:p>
        </w:tc>
      </w:tr>
    </w:tbl>
    <w:p/>
    <w:p>
      <w:pPr>
        <w:pStyle w:val="Heading1"/>
      </w:pPr>
      <w:r>
        <w:t>RTOs &amp; Transfers: 8/7/2025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