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08/13/2025 </w:t>
      </w:r>
      <w:r>
        <w:rPr>
          <w:b/>
        </w:rPr>
        <w:t xml:space="preserve">Adoptions: </w:t>
      </w:r>
      <w:r>
        <w:t>17</w:t>
      </w:r>
      <w:r>
        <w:t xml:space="preserve"> &amp; </w:t>
      </w:r>
      <w:r>
        <w:rPr>
          <w:b/>
        </w:rPr>
        <w:t xml:space="preserve">ITFF: </w:t>
      </w:r>
      <w:r>
        <w:t>2</w:t>
      </w:r>
    </w:p>
    <w:p>
      <w:pPr>
        <w:pStyle w:val="Heading1"/>
      </w:pPr>
      <w:r>
        <w:t>Stage Count: 08/14/25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273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/>
    <w:p>
      <w:pPr>
        <w:pStyle w:val="Heading1"/>
      </w:pPr>
      <w:r>
        <w:t>Occupancy: 08/14/25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43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208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324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A0059086071</w:t>
            </w:r>
          </w:p>
        </w:tc>
        <w:tc>
          <w:tcPr>
            <w:tcW w:type="dxa" w:w="2880"/>
          </w:tcPr>
          <w:p>
            <w:r>
              <w:t xml:space="preserve">  Cat Treatment, 05 - B</w:t>
            </w:r>
          </w:p>
        </w:tc>
        <w:tc>
          <w:tcPr>
            <w:tcW w:type="dxa" w:w="2880"/>
          </w:tcPr>
          <w:p>
            <w:r>
              <w:t>2025-08-15</w:t>
            </w:r>
          </w:p>
        </w:tc>
      </w:tr>
      <w:tr>
        <w:tc>
          <w:tcPr>
            <w:tcW w:type="dxa" w:w="2880"/>
          </w:tcPr>
          <w:p>
            <w:r>
              <w:t>A0059095233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2025-08-16</w:t>
            </w:r>
          </w:p>
        </w:tc>
      </w:tr>
    </w:tbl>
    <w:p/>
    <w:p>
      <w:pPr>
        <w:pStyle w:val="Heading1"/>
      </w:pPr>
      <w:r>
        <w:t>Intake: 08/13/2025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p/>
    <w:p>
      <w:pPr>
        <w:pStyle w:val="Heading1"/>
      </w:pPr>
      <w:r>
        <w:t>RTOs &amp; Transfers: 08/13/2025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