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állásfoglalás</w:t>
      </w:r>
    </w:p>
    <w:p>
      <w:pPr>
        <w:pStyle w:val="Subtitle"/>
        <w:jc w:val="center"/>
      </w:pPr>
      <w:r>
        <w:t>– A Fiktív Alfa Kft. KKV-minősítése vonatkozásában –</w:t>
      </w:r>
    </w:p>
    <w:p>
      <w:r>
        <w:rPr>
          <w:b/>
          <w:sz w:val="24"/>
        </w:rPr>
        <w:t>Fiktív Alfa Kft.</w:t>
      </w:r>
    </w:p>
    <w:p>
      <w:pPr>
        <w:pStyle w:val="Caption"/>
      </w:pPr>
      <w:r>
        <w:t>2024, 2025. üzleti évek • Vizsgálat napja: 2026-10-10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rPr>
          <w:cantSplit/>
        </w:trPr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b/>
                <w:sz w:val="24"/>
              </w:rPr>
              <w:t>Tervezet · előzetes megállapítás</w:t>
            </w:r>
          </w:p>
        </w:tc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sz w:val="24"/>
              </w:rPr>
              <w:t>A dokumentált kapcsolati minősítés, az összesített gazdasági mutatók és a történeti szabály alkalmazása alapján Fiktív Alfa Kft. megállapított minősítése: Középvállalkozás. Ez szakértői jóváhagyásra váró következtetés.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Caption"/>
      </w:pPr>
      <w:r>
        <w:t>TERVEZET – szakértői jóváhagyás nélkül végleges állásfoglalásként nem használható.</w:t>
      </w:r>
    </w:p>
    <w:p>
      <w:pPr>
        <w:pStyle w:val="Heading1"/>
      </w:pPr>
      <w:r>
        <w:t>1. A megbízott feladata és a vizsgálat kerete</w:t>
      </w:r>
    </w:p>
    <w:p>
      <w:r>
        <w:t>A vizsgálat tárgya annak megállapítása, hogy Fiktív Alfa Kft. a rögzített jogi profil alapján a mikro-, kis- vagy középvállalkozási méretkategóriába tartozik-e, illetve fennáll-e a KKV-körből való kizárás. A vizsgálat célja: KKV-minősítés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/>
          <w:cantSplit/>
        </w:trPr>
        <w:tc>
          <w:tcPr>
            <w:tcW w:type="dxa" w:w="283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Vizsgálati adat</w:t>
            </w:r>
          </w:p>
        </w:tc>
        <w:tc>
          <w:tcPr>
            <w:tcW w:type="dxa" w:w="7030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Rögzített érték</w:t>
            </w:r>
          </w:p>
        </w:tc>
      </w:tr>
      <w:tr>
        <w:trPr>
          <w:cantSplit/>
        </w:trPr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Megbízó</w:t>
            </w:r>
          </w:p>
        </w:tc>
        <w:tc>
          <w:tcPr>
            <w:tcW w:type="dxa" w:w="703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bemutató megbízó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Vizsgált társaság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</w:t>
            </w:r>
          </w:p>
        </w:tc>
      </w:tr>
      <w:tr>
        <w:trPr>
          <w:cantSplit/>
        </w:trPr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Cégazonosító</w:t>
            </w:r>
          </w:p>
        </w:tc>
        <w:tc>
          <w:tcPr>
            <w:tcW w:type="dxa" w:w="703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Nincs rögzítve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Jogi profil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Magyar Kkv. törvény</w:t>
            </w:r>
          </w:p>
        </w:tc>
      </w:tr>
      <w:tr>
        <w:trPr>
          <w:cantSplit/>
        </w:trPr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Háló alkalmazása</w:t>
            </w:r>
          </w:p>
        </w:tc>
        <w:tc>
          <w:tcPr>
            <w:tcW w:type="dxa" w:w="703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Évenként az üzleti év zárónapja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Ügyverzió / szabályverzió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1. verzió / KKV-2026.1-szakertoi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Heading1"/>
      </w:pPr>
      <w:r>
        <w:t>2. Megállapítások – gazdasági mutatók és értékhatárok</w:t>
      </w:r>
    </w:p>
    <w:p>
      <w:r>
        <w:t>A méretbesorolás az éves létszám, az éves nettó árbevétel és a mérlegfőösszeg alapján történik. A létszámfeltételnek és legalább az egyik pénzügyi feltételnek együttesen kell teljesülnie. A létszámhatár szigorú (&lt;), a pénzügyi határérték megengedett (≤).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1304"/>
        <w:gridCol w:w="2835"/>
        <w:gridCol w:w="2835"/>
      </w:tblGrid>
      <w:tr>
        <w:trPr>
          <w:tblHeader/>
          <w:cantSplit/>
        </w:trPr>
        <w:tc>
          <w:tcPr>
            <w:tcW w:type="dxa" w:w="28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Kategória</w:t>
            </w:r>
          </w:p>
        </w:tc>
        <w:tc>
          <w:tcPr>
            <w:tcW w:type="dxa" w:w="130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</w:t>
            </w:r>
          </w:p>
        </w:tc>
        <w:tc>
          <w:tcPr>
            <w:tcW w:type="dxa" w:w="283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Árbevétel, EUR</w:t>
            </w:r>
          </w:p>
        </w:tc>
        <w:tc>
          <w:tcPr>
            <w:tcW w:type="dxa" w:w="283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Mérleg, EUR</w:t>
            </w:r>
          </w:p>
        </w:tc>
      </w:tr>
      <w:tr>
        <w:trPr>
          <w:cantSplit/>
        </w:trPr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Mikrovállalkozás</w:t>
            </w:r>
          </w:p>
        </w:tc>
        <w:tc>
          <w:tcPr>
            <w:tcW w:type="dxa" w:w="130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10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2 000 000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2 000 000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Kisvállalkozás</w:t>
            </w:r>
          </w:p>
        </w:tc>
        <w:tc>
          <w:tcPr>
            <w:tcW w:type="dxa" w:w="130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50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10 000 000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10 000 000</w:t>
            </w:r>
          </w:p>
        </w:tc>
      </w:tr>
      <w:tr>
        <w:trPr>
          <w:cantSplit/>
        </w:trPr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Középvállalkozás</w:t>
            </w:r>
          </w:p>
        </w:tc>
        <w:tc>
          <w:tcPr>
            <w:tcW w:type="dxa" w:w="130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250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50 000 000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43 000 000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417"/>
        <w:gridCol w:w="1417"/>
        <w:gridCol w:w="1191"/>
        <w:gridCol w:w="5216"/>
      </w:tblGrid>
      <w:tr>
        <w:trPr>
          <w:tblHeader/>
          <w:cantSplit/>
        </w:trPr>
        <w:tc>
          <w:tcPr>
            <w:tcW w:type="dxa" w:w="62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</w:t>
            </w:r>
          </w:p>
        </w:tc>
        <w:tc>
          <w:tcPr>
            <w:tcW w:type="dxa" w:w="1417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Érvényesség</w:t>
            </w:r>
          </w:p>
        </w:tc>
        <w:tc>
          <w:tcPr>
            <w:tcW w:type="dxa" w:w="1417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Jegyzés</w:t>
            </w:r>
          </w:p>
        </w:tc>
        <w:tc>
          <w:tcPr>
            <w:tcW w:type="dxa" w:w="11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HUF/EUR</w:t>
            </w:r>
          </w:p>
        </w:tc>
        <w:tc>
          <w:tcPr>
            <w:tcW w:type="dxa" w:w="5216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Forrás / státusz</w:t>
            </w:r>
          </w:p>
        </w:tc>
      </w:tr>
      <w:tr>
        <w:trPr>
          <w:cantSplit/>
        </w:trPr>
        <w:tc>
          <w:tcPr>
            <w:tcW w:type="dxa" w:w="62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</w:t>
            </w:r>
          </w:p>
        </w:tc>
        <w:tc>
          <w:tcPr>
            <w:tcW w:type="dxa" w:w="1417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2024-12-31</w:t>
            </w:r>
          </w:p>
        </w:tc>
        <w:tc>
          <w:tcPr>
            <w:tcW w:type="dxa" w:w="1417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2024-12-31</w:t>
            </w:r>
          </w:p>
        </w:tc>
        <w:tc>
          <w:tcPr>
            <w:tcW w:type="dxa" w:w="11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400</w:t>
            </w:r>
          </w:p>
        </w:tc>
        <w:tc>
          <w:tcPr>
            <w:tcW w:type="dxa" w:w="5216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bemutató árfolyam; nem MNB-adat · ellenőrzött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</w:t>
            </w:r>
          </w:p>
        </w:tc>
        <w:tc>
          <w:tcPr>
            <w:tcW w:type="dxa" w:w="141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2025-12-31</w:t>
            </w:r>
          </w:p>
        </w:tc>
        <w:tc>
          <w:tcPr>
            <w:tcW w:type="dxa" w:w="141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2025-12-31</w:t>
            </w:r>
          </w:p>
        </w:tc>
        <w:tc>
          <w:tcPr>
            <w:tcW w:type="dxa" w:w="1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400</w:t>
            </w:r>
          </w:p>
        </w:tc>
        <w:tc>
          <w:tcPr>
            <w:tcW w:type="dxa" w:w="521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bemutató árfolyam; nem MNB-adat · ellenőrzött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Caption"/>
      </w:pPr>
      <w:r>
        <w:t>Az éves HUF-határok a rögzített árfolyamokból következnek; ellenőrizetlen árfolyamnál az értékek előzetesek.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907"/>
        <w:gridCol w:w="2891"/>
        <w:gridCol w:w="2891"/>
      </w:tblGrid>
      <w:tr>
        <w:trPr>
          <w:tblHeader/>
          <w:cantSplit/>
        </w:trPr>
        <w:tc>
          <w:tcPr>
            <w:tcW w:type="dxa" w:w="317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 / kategória</w:t>
            </w:r>
          </w:p>
        </w:tc>
        <w:tc>
          <w:tcPr>
            <w:tcW w:type="dxa" w:w="907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</w:t>
            </w:r>
          </w:p>
        </w:tc>
        <w:tc>
          <w:tcPr>
            <w:tcW w:type="dxa" w:w="28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Árbevételhatár, ezer Ft</w:t>
            </w:r>
          </w:p>
        </w:tc>
        <w:tc>
          <w:tcPr>
            <w:tcW w:type="dxa" w:w="28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Mérleghatár, ezer Ft</w:t>
            </w:r>
          </w:p>
        </w:tc>
      </w:tr>
      <w:tr>
        <w:trPr>
          <w:cantSplit/>
        </w:trPr>
        <w:tc>
          <w:tcPr>
            <w:tcW w:type="dxa" w:w="317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 · Mikrovállalkozás</w:t>
            </w:r>
          </w:p>
        </w:tc>
        <w:tc>
          <w:tcPr>
            <w:tcW w:type="dxa" w:w="907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10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800 000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800 000</w:t>
            </w:r>
          </w:p>
        </w:tc>
      </w:tr>
      <w:tr>
        <w:trPr>
          <w:cantSplit/>
        </w:trPr>
        <w:tc>
          <w:tcPr>
            <w:tcW w:type="dxa" w:w="317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 · Kisvállalkozás</w:t>
            </w:r>
          </w:p>
        </w:tc>
        <w:tc>
          <w:tcPr>
            <w:tcW w:type="dxa" w:w="90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50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4 000 000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4 000 000</w:t>
            </w:r>
          </w:p>
        </w:tc>
      </w:tr>
      <w:tr>
        <w:trPr>
          <w:cantSplit/>
        </w:trPr>
        <w:tc>
          <w:tcPr>
            <w:tcW w:type="dxa" w:w="317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 · Középvállalkozás</w:t>
            </w:r>
          </w:p>
        </w:tc>
        <w:tc>
          <w:tcPr>
            <w:tcW w:type="dxa" w:w="907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250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20 000 000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17 200 000</w:t>
            </w:r>
          </w:p>
        </w:tc>
      </w:tr>
      <w:tr>
        <w:trPr>
          <w:cantSplit/>
        </w:trPr>
        <w:tc>
          <w:tcPr>
            <w:tcW w:type="dxa" w:w="317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 · Mikrovállalkozás</w:t>
            </w:r>
          </w:p>
        </w:tc>
        <w:tc>
          <w:tcPr>
            <w:tcW w:type="dxa" w:w="90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10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800 000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800 000</w:t>
            </w:r>
          </w:p>
        </w:tc>
      </w:tr>
      <w:tr>
        <w:trPr>
          <w:cantSplit/>
        </w:trPr>
        <w:tc>
          <w:tcPr>
            <w:tcW w:type="dxa" w:w="317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 · Kisvállalkozás</w:t>
            </w:r>
          </w:p>
        </w:tc>
        <w:tc>
          <w:tcPr>
            <w:tcW w:type="dxa" w:w="907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50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4 000 000</w:t>
            </w:r>
          </w:p>
        </w:tc>
        <w:tc>
          <w:tcPr>
            <w:tcW w:type="dxa" w:w="28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4 000 000</w:t>
            </w:r>
          </w:p>
        </w:tc>
      </w:tr>
      <w:tr>
        <w:trPr>
          <w:cantSplit/>
        </w:trPr>
        <w:tc>
          <w:tcPr>
            <w:tcW w:type="dxa" w:w="317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 · Középvállalkozás</w:t>
            </w:r>
          </w:p>
        </w:tc>
        <w:tc>
          <w:tcPr>
            <w:tcW w:type="dxa" w:w="90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&lt; 250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20 000 000</w:t>
            </w:r>
          </w:p>
        </w:tc>
        <w:tc>
          <w:tcPr>
            <w:tcW w:type="dxa" w:w="28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≤ 17 200 000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Heading1"/>
      </w:pPr>
      <w:r>
        <w:t>3. Vállalkozások közötti kapcsolatok és tulajdoni viszonyok</w:t>
      </w:r>
    </w:p>
    <w:p>
      <w:r>
        <w:t>A vizsgált társaság saját adatai 100%-kal szerepelnek. A kapcsolódó blokk teljes adatai, a releváns partner és annak kapcsolódó blokkja a megállapított aránnyal számítandó be. A partner partnerét nem adjuk automatikusan az összesítéshez; a konszolidált adatban már szereplő tételeket nem számítjuk kétszer.</w:t>
      </w:r>
    </w:p>
    <w:p>
      <w:r>
        <w:t>Többségi vállalkozási szavazat vagy igazolt meghatározó irányítás kapcsolódást alapozhat meg. Kapcsolódás hiányában a tőke és szavazat közül a magasabb, legalább 25%-os arány partnerkapcsolatot alapozhat meg, az alkalmazható kivételekkel. A természetes személyi tulajdon és a rokonság önmagában nem dönti el a két cég minősítését.</w:t>
      </w:r>
    </w:p>
    <w:p>
      <w:r>
        <w:t>2024: Kapcsolódóként, teljes beszámítással figyelembe vett vállalkozások: Fiktív Gamma Kft. (100%).</w:t>
      </w:r>
    </w:p>
    <w:p>
      <w:r>
        <w:t>2024: Arányosan figyelembe vett partner-adatblokkok: Fiktív Béta Kft. (30%).</w:t>
      </w:r>
    </w:p>
    <w:p>
      <w:r>
        <w:t>2025: Kapcsolódóként, teljes beszámítással figyelembe vett vállalkozások: Fiktív Gamma Kft. (100%).</w:t>
      </w:r>
    </w:p>
    <w:p>
      <w:r>
        <w:t>2025: Arányosan figyelembe vett partner-adatblokkok: Fiktív Béta Kft. (30%).</w:t>
      </w:r>
    </w:p>
    <w:p>
      <w:pPr>
        <w:pStyle w:val="Caption"/>
      </w:pPr>
      <w:r>
        <w:t>Az évenkénti arányokat és az igazoló indokokat a mellékletek tartalmazzák. A 0%-os tisztázandó tétel nem igazolt önállóság.</w:t>
      </w:r>
    </w:p>
    <w:p>
      <w:pPr>
        <w:pStyle w:val="Heading2"/>
      </w:pPr>
      <w:r>
        <w:t>Azonos / szomszédos piac és közös fellépés értékelése</w:t>
      </w:r>
    </w:p>
    <w:p>
      <w:r>
        <w:t>Fiktív tényállás: Alfa és Gamma ipari szolgáltatásokat nyújt ugyanazon földrajzi térségben. A közös üzleti döntések és az azonos vevői kör értékelését a minta szakértői indoka rögzíti; valós ügyben szerződések és nyilatkozatok szükségesek.</w:t>
      </w:r>
    </w:p>
    <w:p>
      <w:r>
        <w:t>Fiktív Alfa Kft. – Fiktív Gamma Kft.: közös fellépés: A mintában ugyanaz a személy hozza az üzleti döntéseket.. Azonos / szomszédos piac értékelése: Azonos ipari szolgáltatások, azonos földrajzi vevői kör – fiktív tényállás.. Forrás: Fiktív megbízói nyilatkozat. Megerősített vizsgálati évek: 2024, 2025.</w:t>
      </w:r>
    </w:p>
    <w:p>
      <w:r>
        <w:t>Természetes személyeken keresztüli kapcsolódásnál a közös fellépés és az azonos vagy szomszédos piac ügyre szabott vizsgálata szükséges. A rokonság, az azonos TEÁOR-kód vagy a puszta 100%-os érzékenységvizsgálat önmagában nem helyettesíti ezt az értékelést.</w:t>
      </w:r>
    </w:p>
    <w:p>
      <w:pPr>
        <w:pStyle w:val="Heading1"/>
      </w:pPr>
      <w:r>
        <w:t>4. Éves összeszámítás és méretbesorolás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91"/>
        <w:gridCol w:w="2381"/>
        <w:gridCol w:w="2381"/>
        <w:gridCol w:w="3288"/>
      </w:tblGrid>
      <w:tr>
        <w:trPr>
          <w:tblHeader/>
          <w:cantSplit/>
        </w:trPr>
        <w:tc>
          <w:tcPr>
            <w:tcW w:type="dxa" w:w="62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</w:t>
            </w:r>
          </w:p>
        </w:tc>
        <w:tc>
          <w:tcPr>
            <w:tcW w:type="dxa" w:w="11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Létszám, fő</w:t>
            </w:r>
          </w:p>
        </w:tc>
        <w:tc>
          <w:tcPr>
            <w:tcW w:type="dxa" w:w="238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Árbevétel, ezer Ft</w:t>
            </w:r>
          </w:p>
        </w:tc>
        <w:tc>
          <w:tcPr>
            <w:tcW w:type="dxa" w:w="238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Mérleg, ezer Ft</w:t>
            </w:r>
          </w:p>
        </w:tc>
        <w:tc>
          <w:tcPr>
            <w:tcW w:type="dxa" w:w="328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Éves méret</w:t>
            </w:r>
          </w:p>
        </w:tc>
      </w:tr>
      <w:tr>
        <w:trPr>
          <w:cantSplit/>
        </w:trPr>
        <w:tc>
          <w:tcPr>
            <w:tcW w:type="dxa" w:w="62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</w:t>
            </w:r>
          </w:p>
        </w:tc>
        <w:tc>
          <w:tcPr>
            <w:tcW w:type="dxa" w:w="11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64,5</w:t>
            </w:r>
          </w:p>
        </w:tc>
        <w:tc>
          <w:tcPr>
            <w:tcW w:type="dxa" w:w="238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1 850 000</w:t>
            </w:r>
          </w:p>
        </w:tc>
        <w:tc>
          <w:tcPr>
            <w:tcW w:type="dxa" w:w="238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1 220 000</w:t>
            </w:r>
          </w:p>
        </w:tc>
        <w:tc>
          <w:tcPr>
            <w:tcW w:type="dxa" w:w="328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Középvállalkozás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</w:t>
            </w:r>
          </w:p>
        </w:tc>
        <w:tc>
          <w:tcPr>
            <w:tcW w:type="dxa" w:w="1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69,5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1 850 000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1 220 000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Középvállalkozás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Heading2"/>
      </w:pPr>
      <w:r>
        <w:t>2024. üzleti év</w:t>
      </w:r>
    </w:p>
    <w:p>
      <w:r>
        <w:t>A középvállalkozási határ vizsgálata: A 64,5 fős összesített létszám a 250 fő alatti feltételt teljesíti. Az összesített árbevétel 1 850 000 ezer Ft, a 20 000 000 ezer Ft-os határt nem haladja meg; a mérlegfőösszeg 1 220 000 ezer Ft, a 17 200 000 ezer Ft-os határt nem haladja meg. A létszámfeltétel és legalább az egyik pénzügyi feltétel teljesül. A kisebb kategóriák vizsgálata: a mikro kategória nem alkalmazható, mert a létszámhatár nem teljesül; a kis kategória nem alkalmazható, mert a létszámhatár nem teljesül. Az éves méret: Középvállalkozás.</w:t>
      </w:r>
    </w:p>
    <w:p>
      <w:pPr>
        <w:pStyle w:val="Heading2"/>
      </w:pPr>
      <w:r>
        <w:t>2025. üzleti év</w:t>
      </w:r>
    </w:p>
    <w:p>
      <w:r>
        <w:t>A középvállalkozási határ vizsgálata: A 69,5 fős összesített létszám a 250 fő alatti feltételt teljesíti. Az összesített árbevétel 1 850 000 ezer Ft, a 20 000 000 ezer Ft-os határt nem haladja meg; a mérlegfőösszeg 1 220 000 ezer Ft, a 17 200 000 ezer Ft-os határt nem haladja meg. A létszámfeltétel és legalább az egyik pénzügyi feltétel teljesül. A kisebb kategóriák vizsgálata: a mikro kategória nem alkalmazható, mert a létszámhatár nem teljesül; a kis kategória nem alkalmazható, mert a létszámhatár nem teljesül. Az éves méret: Középvállalkozás.</w:t>
      </w:r>
    </w:p>
    <w:p>
      <w:pPr>
        <w:pStyle w:val="Caption"/>
      </w:pPr>
      <w:r>
        <w:t>A pénzügyi táblázatok ezer Ft egységűek. A besorolást mindig a kerekítés előtti értékekből végezzük; a hiányzó adat nem nulla.</w:t>
      </w:r>
    </w:p>
    <w:p>
      <w:pPr>
        <w:pStyle w:val="Heading1"/>
      </w:pPr>
      <w:r>
        <w:t>5. Kétéves szabály és történeti minősítés</w:t>
      </w:r>
    </w:p>
    <w:p>
      <w:r>
        <w:t>Az éves méretet és a történeti szabály szerinti hatályos kategóriát külön vizsgáljuk. A mérethatárok teljesülésének változását a rendszer két egymást követő időszak alapján követi, a dokumentált korábbi minősítés és az indokolt strukturális eseménydöntések figyelembevételével.</w:t>
      </w:r>
    </w:p>
    <w:p>
      <w:r>
        <w:t>Külön korábbi minősítés nincs rögzítve; a történeti állapotot a vizsgált évek megfigyelései alapján vezetjük le.</w:t>
      </w:r>
    </w:p>
    <w:p>
      <w:r>
        <w:t>2024: az éves méret Középvállalkozás; a történeti szabály szerinti állapot további előzmény szükséges. Eltérés megfigyelése folyamatban; az éves kategória nem azonos automatikusan a hatályos minősítéssel.</w:t>
      </w:r>
    </w:p>
    <w:p>
      <w:r>
        <w:t>2025: az éves méret Középvállalkozás; a történeti szabály szerinti állapot Középvállalkozás.</w:t>
      </w:r>
    </w:p>
    <w:p>
      <w:pPr>
        <w:pStyle w:val="Heading1"/>
      </w:pPr>
      <w:r>
        <w:t>6. Teljes összeszámítás – érzékenységvizsgálat</w:t>
      </w:r>
    </w:p>
    <w:p>
      <w:r>
        <w:t>A teljes összeszámítás érzékenységvizsgálat: minden, az adott hálóidőpontban aktív üzleti vállalkozást 100%-kal vesz figyelembe. Ez nem önálló jogi minősítés és nem bizonyítja az „egyetlen gazdasági egység” fennállását. Természetes személyeken keresztüli kapcsolódás esetén a közös fellépés és az azonos vagy szomszédos piac dokumentált tényállása külön szükséges.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91"/>
        <w:gridCol w:w="2381"/>
        <w:gridCol w:w="2381"/>
        <w:gridCol w:w="3288"/>
      </w:tblGrid>
      <w:tr>
        <w:trPr>
          <w:tblHeader/>
          <w:cantSplit/>
        </w:trPr>
        <w:tc>
          <w:tcPr>
            <w:tcW w:type="dxa" w:w="62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</w:t>
            </w:r>
          </w:p>
        </w:tc>
        <w:tc>
          <w:tcPr>
            <w:tcW w:type="dxa" w:w="119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Létszám, fő</w:t>
            </w:r>
          </w:p>
        </w:tc>
        <w:tc>
          <w:tcPr>
            <w:tcW w:type="dxa" w:w="238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Árbevétel, ezer Ft</w:t>
            </w:r>
          </w:p>
        </w:tc>
        <w:tc>
          <w:tcPr>
            <w:tcW w:type="dxa" w:w="2381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Mérleg, ezer Ft</w:t>
            </w:r>
          </w:p>
        </w:tc>
        <w:tc>
          <w:tcPr>
            <w:tcW w:type="dxa" w:w="328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Éves méret</w:t>
            </w:r>
          </w:p>
        </w:tc>
      </w:tr>
      <w:tr>
        <w:trPr>
          <w:cantSplit/>
        </w:trPr>
        <w:tc>
          <w:tcPr>
            <w:tcW w:type="dxa" w:w="62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</w:t>
            </w:r>
          </w:p>
        </w:tc>
        <w:tc>
          <w:tcPr>
            <w:tcW w:type="dxa" w:w="119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82</w:t>
            </w:r>
          </w:p>
        </w:tc>
        <w:tc>
          <w:tcPr>
            <w:tcW w:type="dxa" w:w="238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2 200 000</w:t>
            </w:r>
          </w:p>
        </w:tc>
        <w:tc>
          <w:tcPr>
            <w:tcW w:type="dxa" w:w="2381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1 500 000</w:t>
            </w:r>
          </w:p>
        </w:tc>
        <w:tc>
          <w:tcPr>
            <w:tcW w:type="dxa" w:w="328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Középvállalkozás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</w:t>
            </w:r>
          </w:p>
        </w:tc>
        <w:tc>
          <w:tcPr>
            <w:tcW w:type="dxa" w:w="1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87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2 200 000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1 500 000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Középvállalkozás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r>
        <w:t>2024: az alapforgatókönyv éves mérete Középvállalkozás; minden aktív üzleti vállalkozás 100%-os beszámításával Középvállalkozás. Az éves méretkategória nem változik.</w:t>
      </w:r>
    </w:p>
    <w:p>
      <w:r>
        <w:t>2025: az alapforgatókönyv éves mérete Középvállalkozás; minden aktív üzleti vállalkozás 100%-os beszámításával Középvállalkozás. Az éves méretkategória nem változik.</w:t>
      </w:r>
    </w:p>
    <w:p>
      <w:pPr>
        <w:pStyle w:val="Heading1"/>
      </w:pPr>
      <w:r>
        <w:t>7. Összefoglaló megállapítás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rPr>
          <w:cantSplit/>
        </w:trPr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b/>
                <w:sz w:val="24"/>
              </w:rPr>
              <w:t>Középvállalkozás</w:t>
            </w:r>
          </w:p>
        </w:tc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sz w:val="24"/>
              </w:rPr>
              <w:t>A dokumentált kapcsolati minősítés, az összesített gazdasági mutatók és a történeti szabály alkalmazása alapján Fiktív Alfa Kft. megállapított minősítése: Középvállalkozás. Ez szakértői jóváhagyásra váró következtetés.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r>
        <w:t>A kisvállalkozási minősítéshez kötött személyi mentesség nem állapítható meg; a konkrét kötelezettséghez kapcsoltügylet- és mentességvizsgálat szükséges.</w:t>
      </w:r>
    </w:p>
    <w:p>
      <w:pPr>
        <w:pStyle w:val="Heading1"/>
      </w:pPr>
      <w:r>
        <w:t>8. Források, feltételezések és nyitott kérdések</w:t>
      </w:r>
    </w:p>
    <w:p>
      <w:pPr>
        <w:pStyle w:val="Heading2"/>
      </w:pPr>
      <w:r>
        <w:t>Feltételezések és korlátozások</w:t>
      </w:r>
    </w:p>
    <w:p>
      <w:pPr>
        <w:pStyle w:val="ListBullet"/>
      </w:pPr>
      <w:r>
        <w:t>A minta kizárólag kitalált adatokat tartalmaz. A megbízói számadatok teljességét a mintában feltételezzük.</w:t>
      </w:r>
    </w:p>
    <w:p>
      <w:pPr>
        <w:pStyle w:val="ListBullet"/>
      </w:pPr>
      <w:r>
        <w:t>A megállapítások a megadott vizsgálati időpontra vonatkoznak; más irányítási jogosultság hiányát nem következtetjük a tulajdoni arányból.</w:t>
      </w:r>
    </w:p>
    <w:p>
      <w:pPr>
        <w:pStyle w:val="ListBullet"/>
      </w:pPr>
      <w:r>
        <w:t>A megállapítás a rögzített adatokra, forrásokra és vizsgálati időpontra vonatkozik. A tényállás vagy jogi időállapot változása a következtetések felülvizsgálatát igényelheti.</w:t>
      </w:r>
    </w:p>
    <w:p>
      <w:pPr>
        <w:pStyle w:val="Heading2"/>
      </w:pPr>
      <w:r>
        <w:t>Rögzített igazoló források</w:t>
      </w:r>
    </w:p>
    <w:p>
      <w:pPr>
        <w:pStyle w:val="ListBullet"/>
      </w:pPr>
      <w:r>
        <w:t>Fiktív bemutató beszámoló</w:t>
      </w:r>
    </w:p>
    <w:p>
      <w:pPr>
        <w:pStyle w:val="ListBullet"/>
      </w:pPr>
      <w:r>
        <w:t>Fiktív megbízói nyilatkozat</w:t>
      </w:r>
    </w:p>
    <w:p>
      <w:pPr>
        <w:pStyle w:val="ListBullet"/>
      </w:pPr>
      <w:r>
        <w:t>Fiktív nyilatkozat</w:t>
      </w:r>
    </w:p>
    <w:p>
      <w:pPr>
        <w:pStyle w:val="ListBullet"/>
      </w:pPr>
      <w:r>
        <w:t>Fiktív társasági szerződés</w:t>
      </w:r>
    </w:p>
    <w:p>
      <w:r>
        <w:t>Nincs nyitott számítási vagy adatellenőrzési kérdés. Ez nem helyettesíti a szakértői jóváhagyást.</w:t>
      </w:r>
    </w:p>
    <w:p>
      <w:pPr>
        <w:pStyle w:val="Heading1"/>
      </w:pPr>
      <w:r>
        <w:t>9. Jogi keret és szakértői jóváhagyás</w:t>
      </w:r>
    </w:p>
    <w:p>
      <w:r>
        <w:t>Ellenőrzött jogi időállapot: 2025-12-31. Forrás: Fiktív mintahivatkozás; a példa nem igazol jogforrás-ellenőrzést.. Történeti alkalmazhatóság: nem igényel külön indokot.</w:t>
      </w:r>
    </w:p>
    <w:p>
      <w:r>
        <w:t>Magyar profil: a 2004. évi XXXIV. törvény a kis- és középvállalkozásokról, fejlődésük támogatásáról. EU-profil: a 2003/361/EK ajánlás és a vizsgálat céljára alkalmazandó uniós rendelkezések. Az alkalmazandó időállapotot, kivételeket és a szabályok konkrét ügyre való alkalmazhatóságát a jóváhagyó szakértő ellenőrzi.</w:t>
      </w:r>
    </w:p>
    <w:p>
      <w:r>
        <w:t>Transzferár esetén az adott adóév társaságiadó- és nyilvántartási szabályai, a kapcsolt ügyletek és a mentességek külön vizsgálandók. A méretkategória önmagában nem állapít meg ügyletszintű nyilvántartási kötelezettséget.</w:t>
      </w:r>
    </w:p>
    <w:p>
      <w:pPr>
        <w:pStyle w:val="Heading2"/>
      </w:pPr>
      <w:r>
        <w:t>Alkalmazott jogszabályok és bírósági döntések</w:t>
      </w:r>
    </w:p>
    <w:p>
      <w:r>
        <w:rPr>
          <w:b/>
        </w:rPr>
        <w:t>C-110/13 – HaTeFo – kutatási kiindulópont</w:t>
      </w:r>
    </w:p>
    <w:p>
      <w:r>
        <w:t>Kutatási hivatkozás; még nincs ellenőrizve és az ügyre alkalmazva. Forrás: https://eur-lex.europa.eu/legal-content/HU/TXT/?uri=CELEX:62013CJ0110</w:t>
      </w:r>
    </w:p>
    <w:p>
      <w:pPr>
        <w:pStyle w:val="Caption"/>
      </w:pPr>
      <w:r>
        <w:t>Elérhetőség: https://eur-lex.europa.eu/legal-content/HU/TXT/?uri=CELEX:62013CJ0110</w:t>
      </w:r>
    </w:p>
    <w:p>
      <w:r>
        <w:t>Ügyre vonatkozó értékelés: Az eredeti döntés és a konkrét tényállási egyezések vizsgálata még szükséges.</w:t>
      </w:r>
    </w:p>
    <w:p>
      <w:r>
        <w:t>Szakértői jóváhagyás még nem történt. A dokumentum tervezet.</w:t>
      </w:r>
    </w:p>
    <w:p>
      <w:pPr>
        <w:keepLines/>
        <w:spacing w:line="240" w:lineRule="auto" w:before="120" w:after="0"/>
      </w:pPr>
      <w:r>
        <w:t>Kelt: Budapest, ________________</w:t>
        <w:br/>
        <w:br/>
        <w:t>_______________________________</w:t>
        <w:br/>
        <w:t>Mintaszakértő</w:t>
        <w:br/>
        <w:t>Minta szakértői iroda</w:t>
      </w:r>
    </w:p>
    <w:p>
      <w:pPr>
        <w:sectPr>
          <w:headerReference w:type="default" r:id="rId9"/>
          <w:footerReference w:type="default" r:id="rId10"/>
          <w:pgSz w:w="11906" w:h="16838"/>
          <w:pgMar w:top="992" w:right="992" w:bottom="992" w:left="992" w:header="454" w:footer="454" w:gutter="0"/>
          <w:cols w:space="720"/>
          <w:docGrid w:linePitch="360"/>
        </w:sectPr>
      </w:pPr>
    </w:p>
    <w:p>
      <w:pPr>
        <w:pStyle w:val="Heading1"/>
      </w:pPr>
      <w:r>
        <w:t>1. melléklet – részletes éves gazdasági mutatók</w:t>
      </w:r>
    </w:p>
    <w:p>
      <w:pPr>
        <w:pStyle w:val="Caption"/>
      </w:pPr>
      <w:r>
        <w:t>A táblázat a jogcím szerinti súlyozás után figyelembe vett értékeket tartalmazza, nem a súlyozás előtti egyedi beszámolót.</w:t>
      </w:r>
    </w:p>
    <w:p>
      <w:pPr>
        <w:pStyle w:val="Heading2"/>
      </w:pPr>
      <w:r>
        <w:t>2024. üzleti év · zárónap: 2024-12-31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2665"/>
        <w:gridCol w:w="1020"/>
        <w:gridCol w:w="1474"/>
        <w:gridCol w:w="2835"/>
        <w:gridCol w:w="2778"/>
      </w:tblGrid>
      <w:tr>
        <w:trPr>
          <w:tblHeader/>
          <w:cantSplit/>
        </w:trPr>
        <w:tc>
          <w:tcPr>
            <w:tcW w:type="dxa" w:w="402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Vállalkozás</w:t>
            </w:r>
          </w:p>
        </w:tc>
        <w:tc>
          <w:tcPr>
            <w:tcW w:type="dxa" w:w="266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Jogcím</w:t>
            </w:r>
          </w:p>
        </w:tc>
        <w:tc>
          <w:tcPr>
            <w:tcW w:type="dxa" w:w="1020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Arány</w:t>
            </w:r>
          </w:p>
        </w:tc>
        <w:tc>
          <w:tcPr>
            <w:tcW w:type="dxa" w:w="147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Létszám, fő</w:t>
            </w:r>
          </w:p>
        </w:tc>
        <w:tc>
          <w:tcPr>
            <w:tcW w:type="dxa" w:w="283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Árbevétel, ezer Ft</w:t>
            </w:r>
          </w:p>
        </w:tc>
        <w:tc>
          <w:tcPr>
            <w:tcW w:type="dxa" w:w="277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Mérleg, ezer Ft</w:t>
            </w:r>
          </w:p>
        </w:tc>
      </w:tr>
      <w:tr>
        <w:trPr>
          <w:cantSplit/>
        </w:trPr>
        <w:tc>
          <w:tcPr>
            <w:tcW w:type="dxa" w:w="402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</w:t>
            </w:r>
          </w:p>
        </w:tc>
        <w:tc>
          <w:tcPr>
            <w:tcW w:type="dxa" w:w="266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Saját vállalkozás</w:t>
            </w:r>
          </w:p>
        </w:tc>
        <w:tc>
          <w:tcPr>
            <w:tcW w:type="dxa" w:w="102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100%</w:t>
            </w:r>
          </w:p>
        </w:tc>
        <w:tc>
          <w:tcPr>
            <w:tcW w:type="dxa" w:w="147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45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1 400 000</w:t>
            </w:r>
          </w:p>
        </w:tc>
        <w:tc>
          <w:tcPr>
            <w:tcW w:type="dxa" w:w="277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900 000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Partnervállalkozás</w:t>
            </w:r>
          </w:p>
        </w:tc>
        <w:tc>
          <w:tcPr>
            <w:tcW w:type="dxa" w:w="102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30%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7,5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150 000</w:t>
            </w:r>
          </w:p>
        </w:tc>
        <w:tc>
          <w:tcPr>
            <w:tcW w:type="dxa" w:w="27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120 000</w:t>
            </w:r>
          </w:p>
        </w:tc>
      </w:tr>
      <w:tr>
        <w:trPr>
          <w:cantSplit/>
        </w:trPr>
        <w:tc>
          <w:tcPr>
            <w:tcW w:type="dxa" w:w="402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</w:t>
            </w:r>
          </w:p>
        </w:tc>
        <w:tc>
          <w:tcPr>
            <w:tcW w:type="dxa" w:w="266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Kapcsolódó vállalkozás</w:t>
            </w:r>
          </w:p>
        </w:tc>
        <w:tc>
          <w:tcPr>
            <w:tcW w:type="dxa" w:w="102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100%</w:t>
            </w:r>
          </w:p>
        </w:tc>
        <w:tc>
          <w:tcPr>
            <w:tcW w:type="dxa" w:w="147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12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300 000</w:t>
            </w:r>
          </w:p>
        </w:tc>
        <w:tc>
          <w:tcPr>
            <w:tcW w:type="dxa" w:w="277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200 000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sz w:val="19"/>
              </w:rPr>
              <w:t>Összesen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sz w:val="19"/>
              </w:rPr>
              <w:t>Teljes adatkör</w:t>
            </w:r>
          </w:p>
        </w:tc>
        <w:tc>
          <w:tcPr>
            <w:tcW w:type="dxa" w:w="1020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</w:r>
          </w:p>
        </w:tc>
        <w:tc>
          <w:tcPr>
            <w:tcW w:type="dxa" w:w="1474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64,5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1 850 000</w:t>
            </w:r>
          </w:p>
        </w:tc>
        <w:tc>
          <w:tcPr>
            <w:tcW w:type="dxa" w:w="2778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1 220 000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Caption"/>
      </w:pPr>
      <w:r>
        <w:t>„–”: nincs külön beszámított összeg; a hiányzó, kizárt vagy konszolidációban már szereplő tételt a jogcím és az indokolás alapján kell értelmezni.</w:t>
      </w:r>
    </w:p>
    <w:p>
      <w:pPr>
        <w:pStyle w:val="Heading2"/>
      </w:pPr>
      <w:r>
        <w:t>2025. üzleti év · zárónap: 2025-12-31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2665"/>
        <w:gridCol w:w="1020"/>
        <w:gridCol w:w="1474"/>
        <w:gridCol w:w="2835"/>
        <w:gridCol w:w="2778"/>
      </w:tblGrid>
      <w:tr>
        <w:trPr>
          <w:tblHeader/>
          <w:cantSplit/>
        </w:trPr>
        <w:tc>
          <w:tcPr>
            <w:tcW w:type="dxa" w:w="402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Vállalkozás</w:t>
            </w:r>
          </w:p>
        </w:tc>
        <w:tc>
          <w:tcPr>
            <w:tcW w:type="dxa" w:w="266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Jogcím</w:t>
            </w:r>
          </w:p>
        </w:tc>
        <w:tc>
          <w:tcPr>
            <w:tcW w:type="dxa" w:w="1020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Arány</w:t>
            </w:r>
          </w:p>
        </w:tc>
        <w:tc>
          <w:tcPr>
            <w:tcW w:type="dxa" w:w="1474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Létszám, fő</w:t>
            </w:r>
          </w:p>
        </w:tc>
        <w:tc>
          <w:tcPr>
            <w:tcW w:type="dxa" w:w="2835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Árbevétel, ezer Ft</w:t>
            </w:r>
          </w:p>
        </w:tc>
        <w:tc>
          <w:tcPr>
            <w:tcW w:type="dxa" w:w="277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color w:val="202020"/>
                <w:sz w:val="19"/>
              </w:rPr>
              <w:t>Mérleg, ezer Ft</w:t>
            </w:r>
          </w:p>
        </w:tc>
      </w:tr>
      <w:tr>
        <w:trPr>
          <w:cantSplit/>
        </w:trPr>
        <w:tc>
          <w:tcPr>
            <w:tcW w:type="dxa" w:w="402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</w:t>
            </w:r>
          </w:p>
        </w:tc>
        <w:tc>
          <w:tcPr>
            <w:tcW w:type="dxa" w:w="266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Saját vállalkozás</w:t>
            </w:r>
          </w:p>
        </w:tc>
        <w:tc>
          <w:tcPr>
            <w:tcW w:type="dxa" w:w="102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100%</w:t>
            </w:r>
          </w:p>
        </w:tc>
        <w:tc>
          <w:tcPr>
            <w:tcW w:type="dxa" w:w="147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50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1 400 000</w:t>
            </w:r>
          </w:p>
        </w:tc>
        <w:tc>
          <w:tcPr>
            <w:tcW w:type="dxa" w:w="277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900 000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Partnervállalkozás</w:t>
            </w:r>
          </w:p>
        </w:tc>
        <w:tc>
          <w:tcPr>
            <w:tcW w:type="dxa" w:w="102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30%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7,5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150 000</w:t>
            </w:r>
          </w:p>
        </w:tc>
        <w:tc>
          <w:tcPr>
            <w:tcW w:type="dxa" w:w="27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120 000</w:t>
            </w:r>
          </w:p>
        </w:tc>
      </w:tr>
      <w:tr>
        <w:trPr>
          <w:cantSplit/>
        </w:trPr>
        <w:tc>
          <w:tcPr>
            <w:tcW w:type="dxa" w:w="402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</w:t>
            </w:r>
          </w:p>
        </w:tc>
        <w:tc>
          <w:tcPr>
            <w:tcW w:type="dxa" w:w="266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Kapcsolódó vállalkozás</w:t>
            </w:r>
          </w:p>
        </w:tc>
        <w:tc>
          <w:tcPr>
            <w:tcW w:type="dxa" w:w="102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100%</w:t>
            </w:r>
          </w:p>
        </w:tc>
        <w:tc>
          <w:tcPr>
            <w:tcW w:type="dxa" w:w="1474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12</w:t>
            </w:r>
          </w:p>
        </w:tc>
        <w:tc>
          <w:tcPr>
            <w:tcW w:type="dxa" w:w="2835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300 000</w:t>
            </w:r>
          </w:p>
        </w:tc>
        <w:tc>
          <w:tcPr>
            <w:tcW w:type="dxa" w:w="277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sz w:val="19"/>
              </w:rPr>
              <w:t>200 000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sz w:val="19"/>
              </w:rPr>
              <w:t>Összesen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sz w:val="19"/>
              </w:rPr>
              <w:t>Teljes adatkör</w:t>
            </w:r>
          </w:p>
        </w:tc>
        <w:tc>
          <w:tcPr>
            <w:tcW w:type="dxa" w:w="1020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</w:r>
          </w:p>
        </w:tc>
        <w:tc>
          <w:tcPr>
            <w:tcW w:type="dxa" w:w="1474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69,5</w:t>
            </w:r>
          </w:p>
        </w:tc>
        <w:tc>
          <w:tcPr>
            <w:tcW w:type="dxa" w:w="2835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1 850 000</w:t>
            </w:r>
          </w:p>
        </w:tc>
        <w:tc>
          <w:tcPr>
            <w:tcW w:type="dxa" w:w="2778"/>
            <w:tcMar>
              <w:top w:w="90" w:type="dxa"/>
              <w:bottom w:w="90" w:type="dxa"/>
              <w:left w:w="100" w:type="dxa"/>
              <w:right w:w="100" w:type="dxa"/>
            </w:tcMar>
            <w:shd w:fill="F3F3F3"/>
          </w:tcPr>
          <w:p>
            <w:pPr>
              <w:spacing w:after="0" w:before="0" w:line="252" w:lineRule="auto"/>
              <w:jc w:val="right"/>
            </w:pPr>
            <w:r>
              <w:rPr>
                <w:rFonts w:ascii="Garamond" w:hAnsi="Garamond"/>
                <w:b/>
                <w:sz w:val="19"/>
              </w:rPr>
              <w:t>1 220 000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Caption"/>
      </w:pPr>
      <w:r>
        <w:t>„–”: nincs külön beszámított összeg; a hiányzó, kizárt vagy konszolidációban már szereplő tételt a jogcím és az indokolás alapján kell értelmezni.</w:t>
      </w:r>
    </w:p>
    <w:p>
      <w:pPr>
        <w:sectPr>
          <w:pgSz w:w="16838" w:h="11906" w:orient="landscape"/>
          <w:pgMar w:top="992" w:right="992" w:bottom="992" w:left="992" w:header="454" w:footer="454" w:gutter="0"/>
          <w:cols w:space="720"/>
          <w:docGrid w:linePitch="360"/>
        </w:sectPr>
      </w:pPr>
    </w:p>
    <w:p>
      <w:pPr>
        <w:pStyle w:val="Heading1"/>
      </w:pPr>
      <w:r>
        <w:t>2. melléklet – kapcsolati indokok és forrásadatok</w:t>
      </w:r>
    </w:p>
    <w:p>
      <w:pPr>
        <w:pStyle w:val="Heading2"/>
      </w:pPr>
      <w:r>
        <w:t>2024. üzleti év · beszámítás indokai</w:t>
      </w:r>
    </w:p>
    <w:p>
      <w:r>
        <w:rPr>
          <w:b/>
        </w:rPr>
        <w:t xml:space="preserve">Fiktív Alfa Kft. – </w:t>
      </w:r>
      <w:r>
        <w:t>Saját vállalkozás (100%). Saját vállalkozás.</w:t>
      </w:r>
    </w:p>
    <w:p>
      <w:r>
        <w:rPr>
          <w:b/>
        </w:rPr>
        <w:t xml:space="preserve">Fiktív Béta Kft. – </w:t>
      </w:r>
      <w:r>
        <w:t>Partnervállalkozás (30%). Partner és kapcsolódó adatblokk: Tulajdon/szavazat: Fiktív társasági szerződés</w:t>
      </w:r>
    </w:p>
    <w:p>
      <w:r>
        <w:rPr>
          <w:b/>
        </w:rPr>
        <w:t xml:space="preserve">Fiktív Gamma Kft. – </w:t>
      </w:r>
      <w:r>
        <w:t>Kapcsolódó vállalkozás (100%). 100%-os beszámítás. Fiktív Alfa Kft. ↔ Fiktív Gamma Kft.: Fiktív bemutató: dokumentált közös irányítás és azonos piac.; forrás: Fiktív megbízói nyilatkozat.</w:t>
      </w:r>
    </w:p>
    <w:p>
      <w:pPr>
        <w:pStyle w:val="Heading2"/>
      </w:pPr>
      <w:r>
        <w:t>2025. üzleti év · beszámítás indokai</w:t>
      </w:r>
    </w:p>
    <w:p>
      <w:r>
        <w:rPr>
          <w:b/>
        </w:rPr>
        <w:t xml:space="preserve">Fiktív Alfa Kft. – </w:t>
      </w:r>
      <w:r>
        <w:t>Saját vállalkozás (100%). Saját vállalkozás.</w:t>
      </w:r>
    </w:p>
    <w:p>
      <w:r>
        <w:rPr>
          <w:b/>
        </w:rPr>
        <w:t xml:space="preserve">Fiktív Béta Kft. – </w:t>
      </w:r>
      <w:r>
        <w:t>Partnervállalkozás (30%). Partner és kapcsolódó adatblokk: Tulajdon/szavazat: Fiktív társasági szerződés</w:t>
      </w:r>
    </w:p>
    <w:p>
      <w:r>
        <w:rPr>
          <w:b/>
        </w:rPr>
        <w:t xml:space="preserve">Fiktív Gamma Kft. – </w:t>
      </w:r>
      <w:r>
        <w:t>Kapcsolódó vállalkozás (100%). 100%-os beszámítás. Fiktív Alfa Kft. ↔ Fiktív Gamma Kft.: Fiktív bemutató: dokumentált közös irányítás és azonos piac.; forrás: Fiktív megbízói nyilatkozat.</w:t>
      </w:r>
    </w:p>
    <w:p>
      <w:pPr>
        <w:pStyle w:val="Heading2"/>
      </w:pPr>
      <w:r>
        <w:t>Szakértői kapcsolati döntések</w:t>
      </w:r>
    </w:p>
    <w:p>
      <w:r>
        <w:rPr>
          <w:b/>
        </w:rPr>
        <w:t xml:space="preserve">Fiktív Alfa Kft. ↔ Fiktív Gamma Kft.: </w:t>
      </w:r>
      <w:r>
        <w:t>Kapcsolódó vállalkozás; Fiktív bemutató: dokumentált közös irányítás és azonos piac.. Forrás: Fiktív megbízói nyilatkozat. Érvényesség: nincs kezdő korlát – nincs záró korlát; ellenőrzött.</w:t>
      </w:r>
    </w:p>
    <w:p>
      <w:pPr>
        <w:pStyle w:val="Caption"/>
      </w:pPr>
      <w:r>
        <w:t>Közös fellépés: A mintában ugyanaz a személy hozza az üzleti döntéseket.. Piaci viszony: Azonos ipari szolgáltatások, azonos földrajzi vevői kör – fiktív tényállás..</w:t>
      </w:r>
    </w:p>
    <w:p>
      <w:pPr>
        <w:pStyle w:val="Heading2"/>
      </w:pPr>
      <w:r>
        <w:t>Beszámolóadatok eredete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948"/>
        <w:gridCol w:w="3798"/>
      </w:tblGrid>
      <w:tr>
        <w:trPr>
          <w:tblHeader/>
          <w:cantSplit/>
        </w:trPr>
        <w:tc>
          <w:tcPr>
            <w:tcW w:type="dxa" w:w="311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Cég / év</w:t>
            </w:r>
          </w:p>
        </w:tc>
        <w:tc>
          <w:tcPr>
            <w:tcW w:type="dxa" w:w="294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Időszak / elfogadás</w:t>
            </w:r>
          </w:p>
        </w:tc>
        <w:tc>
          <w:tcPr>
            <w:tcW w:type="dxa" w:w="379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Módszer / forrás</w:t>
            </w:r>
          </w:p>
        </w:tc>
      </w:tr>
      <w:tr>
        <w:trPr>
          <w:cantSplit/>
        </w:trPr>
        <w:tc>
          <w:tcPr>
            <w:tcW w:type="dxa" w:w="311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 · 2024</w:t>
            </w:r>
          </w:p>
        </w:tc>
        <w:tc>
          <w:tcPr>
            <w:tcW w:type="dxa" w:w="294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2024-01-01 – 2024-12-31</w:t>
              <w:br/>
              <w:t>Elfogadás: 2025-05-31</w:t>
            </w:r>
          </w:p>
        </w:tc>
        <w:tc>
          <w:tcPr>
            <w:tcW w:type="dxa" w:w="379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 · 2024</w:t>
            </w:r>
          </w:p>
        </w:tc>
        <w:tc>
          <w:tcPr>
            <w:tcW w:type="dxa" w:w="29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2024-01-01 – 2024-12-31</w:t>
              <w:br/>
              <w:t>Elfogadás: 2025-05-31</w:t>
            </w:r>
          </w:p>
        </w:tc>
        <w:tc>
          <w:tcPr>
            <w:tcW w:type="dxa" w:w="379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  <w:tr>
        <w:trPr>
          <w:cantSplit/>
        </w:trPr>
        <w:tc>
          <w:tcPr>
            <w:tcW w:type="dxa" w:w="311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 · 2024</w:t>
            </w:r>
          </w:p>
        </w:tc>
        <w:tc>
          <w:tcPr>
            <w:tcW w:type="dxa" w:w="294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2024-01-01 – 2024-12-31</w:t>
              <w:br/>
              <w:t>Elfogadás: 2025-05-31</w:t>
            </w:r>
          </w:p>
        </w:tc>
        <w:tc>
          <w:tcPr>
            <w:tcW w:type="dxa" w:w="379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 · 2025</w:t>
            </w:r>
          </w:p>
        </w:tc>
        <w:tc>
          <w:tcPr>
            <w:tcW w:type="dxa" w:w="29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2025-01-01 – 2025-12-31</w:t>
              <w:br/>
              <w:t>Elfogadás: 2026-05-31</w:t>
            </w:r>
          </w:p>
        </w:tc>
        <w:tc>
          <w:tcPr>
            <w:tcW w:type="dxa" w:w="379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  <w:tr>
        <w:trPr>
          <w:cantSplit/>
        </w:trPr>
        <w:tc>
          <w:tcPr>
            <w:tcW w:type="dxa" w:w="311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 · 2025</w:t>
            </w:r>
          </w:p>
        </w:tc>
        <w:tc>
          <w:tcPr>
            <w:tcW w:type="dxa" w:w="294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2025-01-01 – 2025-12-31</w:t>
              <w:br/>
              <w:t>Elfogadás: 2026-05-31</w:t>
            </w:r>
          </w:p>
        </w:tc>
        <w:tc>
          <w:tcPr>
            <w:tcW w:type="dxa" w:w="379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 · 2025</w:t>
            </w:r>
          </w:p>
        </w:tc>
        <w:tc>
          <w:tcPr>
            <w:tcW w:type="dxa" w:w="29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2025-01-01 – 2025-12-31</w:t>
              <w:br/>
              <w:t>Elfogadás: 2026-05-31</w:t>
            </w:r>
          </w:p>
        </w:tc>
        <w:tc>
          <w:tcPr>
            <w:tcW w:type="dxa" w:w="379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HUF · annual</w:t>
              <w:br/>
              <w:t>Fiktív bemutató beszámoló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sectPr>
          <w:pgSz w:w="11906" w:h="16838"/>
          <w:pgMar w:top="992" w:right="992" w:bottom="992" w:left="992" w:header="454" w:footer="454" w:gutter="0"/>
          <w:cols w:space="720"/>
          <w:docGrid w:linePitch="360"/>
        </w:sectPr>
      </w:pPr>
    </w:p>
    <w:p>
      <w:pPr>
        <w:pStyle w:val="Heading1"/>
      </w:pPr>
      <w:r>
        <w:t>3. melléklet – cégháló · 2024</w:t>
      </w:r>
    </w:p>
    <w:p>
      <w:pPr>
        <w:pStyle w:val="Caption"/>
      </w:pPr>
      <w:r>
        <w:t>Az ügyverzióban mentett elrendezéssel. A minősítés és a tulajdoni/döntési élek az adott hálóidőponthoz tartoznak.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106796"/>
            <wp:docPr id="1" name="Picture 1" descr="2024. évi cégháló, a mentett ügyverzió pozíciói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10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kapcsolati minősítés részletes indokolását és a teljes cégneveket a 2. melléklet tartalmazza. A rokonsági él nem önálló kapcsolódási szabály.</w:t>
      </w:r>
    </w:p>
    <w:p>
      <w:r>
        <w:br w:type="page"/>
      </w:r>
    </w:p>
    <w:p>
      <w:pPr>
        <w:pStyle w:val="Heading1"/>
      </w:pPr>
      <w:r>
        <w:t>3. melléklet – cégháló · 2025</w:t>
      </w:r>
    </w:p>
    <w:p>
      <w:pPr>
        <w:pStyle w:val="Caption"/>
      </w:pPr>
      <w:r>
        <w:t>Az ügyverzióban mentett elrendezéssel. A minősítés és a tulajdoni/döntési élek az adott hálóidőponthoz tartoznak.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106796"/>
            <wp:docPr id="2" name="Picture 2" descr="2025. évi cégháló, a mentett ügyverzió pozíciói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10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kapcsolati minősítés részletes indokolását és a teljes cégneveket a 2. melléklet tartalmazza. A rokonsági él nem önálló kapcsolódási szabály.</w:t>
      </w:r>
    </w:p>
    <w:sectPr w:rsidR="00FC693F" w:rsidRPr="0006063C" w:rsidSect="00034616">
      <w:pgSz w:w="16838" w:h="11906" w:orient="landscape"/>
      <w:pgMar w:top="992" w:right="992" w:bottom="992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fiktiv-b · 1. ügyverzió  |  </w:t>
    </w:r>
    <w:fldSimple w:instr="PAGE"/>
    <w:r>
      <w:t xml:space="preserve"> / </w:t>
    </w:r>
    <w:fldSimple w:instr="NUMPAGES"/>
    <w:r>
      <w:t xml:space="preserve"> oldal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C8C8C8" w:space="7"/>
      </w:pBdr>
    </w:pPr>
    <w:r>
      <w:t>KKV / SZAKÉRTŐI ÁLLÁSFOGLALÁS  / 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hAnsi="Garamond" w:eastAsia="Garamond" w:cs="Garamo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Garamond" w:hAnsi="Garamond" w:eastAsia="Garamond" w:cs="Garamond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aramond" w:hAnsi="Garamond" w:eastAsia="Garamond" w:cs="Garamond"/>
      <w:color w:val="60606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aramond" w:hAnsi="Garamond" w:eastAsia="Garamond" w:cs="Garamond"/>
      <w:color w:val="60606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Garamond" w:hAnsi="Garamond" w:eastAsia="Garamond" w:cs="Garamond"/>
      <w:b/>
      <w:bCs/>
      <w:color w:val="2020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="Garamond" w:hAnsi="Garamond" w:eastAsia="Garamond" w:cs="Garamond"/>
      <w:b/>
      <w:bCs/>
      <w:color w:val="202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="Garamond" w:hAnsi="Garamond" w:eastAsia="Garamond" w:cs="Garamond"/>
      <w:b/>
      <w:bCs/>
      <w:color w:val="20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aramond" w:hAnsi="Garamond" w:eastAsia="Garamond" w:cs="Garamo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Garamond" w:hAnsi="Garamond" w:eastAsia="Garamond" w:cs="Garamo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Garamond" w:hAnsi="Garamond" w:eastAsia="Garamond" w:cs="Garamo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Garamond" w:hAnsi="Garamond" w:eastAsia="Garamond" w:cs="Garamo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Garamond" w:hAnsi="Garamond" w:eastAsia="Garamond" w:cs="Garamo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Garamond" w:hAnsi="Garamond" w:eastAsia="Garamond" w:cs="Garamo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Garamond" w:hAnsi="Garamond" w:eastAsia="Garamond" w:cs="Garamo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Garamond" w:hAnsi="Garamond" w:eastAsia="Garamond" w:cs="Garamo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Garamond" w:hAnsi="Garamond" w:eastAsia="Garamond" w:cs="Garamo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00"/>
      <w:contextualSpacing/>
    </w:pPr>
    <w:rPr>
      <w:rFonts w:ascii="Garamond" w:hAnsi="Garamond" w:eastAsia="Garamond" w:cs="Garamond"/>
      <w:b/>
      <w:color w:val="2020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Garamond" w:hAnsi="Garamond" w:eastAsia="Garamond" w:cs="Garamo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80"/>
    </w:pPr>
    <w:rPr>
      <w:rFonts w:ascii="Garamond" w:hAnsi="Garamond" w:eastAsia="Garamond" w:cs="Garamond"/>
      <w:b w:val="0"/>
      <w:i/>
      <w:iCs/>
      <w:color w:val="20202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Garamond" w:hAnsi="Garamond" w:eastAsia="Garamond" w:cs="Garamo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aramond" w:hAnsi="Garamond" w:eastAsia="Garamond" w:cs="Garamo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aramond" w:hAnsi="Garamond" w:eastAsia="Garamond" w:cs="Garamo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Garamond" w:hAnsi="Garamond" w:eastAsia="Garamond" w:cs="Garamo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Garamond" w:hAnsi="Garamond" w:eastAsia="Garamond" w:cs="Garamo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Garamond" w:hAnsi="Garamond" w:eastAsia="Garamond" w:cs="Garamo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Garamond" w:hAnsi="Garamond" w:eastAsia="Garamond" w:cs="Garamo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Garamond" w:hAnsi="Garamond" w:eastAsia="Garamond" w:cs="Garamo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Garamond" w:hAnsi="Garamond" w:eastAsia="Garamond" w:cs="Garamo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aramond" w:hAnsi="Garamond" w:eastAsia="Garamond" w:cs="Garamond"/>
      <w:b/>
      <w:bCs/>
      <w:color w:val="60606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Fiktív KKV-állásfoglalás bemutató – KKV-állásfoglalás</dc:title>
  <dc:subject>2024, 2025 · 1. ügyverzió</dc:subject>
  <dc:creator>Minta szakértői iroda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