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állásfoglalás</w:t>
      </w:r>
    </w:p>
    <w:p>
      <w:pPr>
        <w:pStyle w:val="Subtitle"/>
        <w:jc w:val="center"/>
      </w:pPr>
      <w:r>
        <w:t>– Tao. törvény szerinti kapcsoltsági vizsgálat –</w:t>
      </w:r>
    </w:p>
    <w:p>
      <w:pPr>
        <w:pStyle w:val="Subtitle"/>
      </w:pPr>
      <w:r>
        <w:t>Fiktív Tao-állásfoglalás bemutató</w:t>
      </w:r>
    </w:p>
    <w:p>
      <w:pPr>
        <w:pStyle w:val="Caption"/>
      </w:pPr>
      <w:r>
        <w:t>Vizsgálati nap: 2025-12-31 · 1. ügyverzió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107"/>
      </w:tblGrid>
      <w:tr>
        <w:trPr>
          <w:cantSplit/>
        </w:trPr>
        <w:tc>
          <w:tcPr>
            <w:tcW w:type="dxa" w:w="4961"/>
            <w:shd w:fill="F5F5F5"/>
          </w:tcPr>
          <w:p>
            <w:pPr>
              <w:spacing w:after="80"/>
            </w:pPr>
            <w:r>
              <w:rPr>
                <w:rFonts w:ascii="Garamond" w:hAnsi="Garamond"/>
                <w:b/>
                <w:sz w:val="24"/>
              </w:rPr>
              <w:t>TERVEZET</w:t>
            </w:r>
          </w:p>
        </w:tc>
        <w:tc>
          <w:tcPr>
            <w:tcW w:type="dxa" w:w="4961"/>
            <w:shd w:fill="F5F5F5"/>
          </w:tcPr>
          <w:p>
            <w:pPr>
              <w:spacing w:after="80"/>
            </w:pPr>
            <w:r>
              <w:rPr>
                <w:rFonts w:ascii="Garamond" w:hAnsi="Garamond"/>
                <w:sz w:val="24"/>
              </w:rPr>
              <w:t>A 2025-12-31 napjára elvégzett vizsgálat 3 vállalkozás 3 cégpárjára terjed ki. A rögzített, megerősített döntések alapján 1 pár kapcsolt, 1 pár nem kapcsolt; 1 pár minősítése még nem dönthető el.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pPr>
        <w:pStyle w:val="Caption"/>
      </w:pPr>
      <w:r>
        <w:t>TERVEZET – szakértői jóváhagyás nélkül végleges állásfoglalásként nem használható.</w:t>
      </w:r>
    </w:p>
    <w:p>
      <w:pPr>
        <w:pStyle w:val="Heading1"/>
      </w:pPr>
      <w:r>
        <w:t>1. A megbízott feladata és a vizsgálat kerete</w:t>
      </w:r>
    </w:p>
    <w:p>
      <w:r>
        <w:t>A megbízás tárgya a felsorolt vállalkozások közötti kapcsoltság értékelése a társasági adóról és az osztalékadóról szóló 1996. évi LXXXI. törvény (Tao.) 4. § 23. pontjának a rögzített időállapotban alkalmazandó rendelkezései alapján. Megbízó: Fiktív bemutató megbízó. A vizsgálat célja: Tao-kapcsoltság – transzferár előkészítése.</w:t>
      </w:r>
    </w:p>
    <w:p>
      <w:r>
        <w:t>Vállalt vizsgálati kör: A felsorolt három vállalkozás kapcsoltsága a rögzített napon. Fiktív mintavizsgálat.</w:t>
      </w:r>
    </w:p>
    <w:p>
      <w:r>
        <w:t>Jogi időállapot: 2025-12-31. Forrás: Fiktív mintahivatkozás; a példa nem igazol jogforrás-ellenőrzést.. Történeti alkalmazhatóság: külön indok nincs rögzítve.</w:t>
      </w:r>
    </w:p>
    <w:p>
      <w:pPr>
        <w:pStyle w:val="Heading1"/>
      </w:pPr>
      <w:r>
        <w:t>2. Vezetői megállapítások és alkalmazott módszer</w:t>
      </w:r>
    </w:p>
    <w:p>
      <w:r>
        <w:t>A 2025-12-31 napjára elvégzett vizsgálat 3 vállalkozás 3 cégpárjára terjed ki. A rögzített, megerősített döntések alapján 1 pár kapcsolt, 1 pár nem kapcsolt; 1 pár minősítése még nem dönthető el.</w:t>
      </w:r>
    </w:p>
    <w:p>
      <w:r>
        <w:t>A vizsgálatban külön értékeljük a dokumentált tulajdoni és szavazati jogokat, a közvetett befolyási útvonalakat, az igazolt hozzátartozói összeszámítást, a meghatározó irányítási jogokat és az ügyvezetési tényeket. Tao-telephely vagy bizalmi vagyonkezelés esetén a hozzájuk tartozó külön tényállás és forrás is szükséges. A számított jelzést a megerősített szakértői jogi döntéstől elkülönítjük; a hiányzó adatot nem értelmezzük negatív minősítésként.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118"/>
      </w:tblGrid>
      <w:tr>
        <w:trPr>
          <w:tblHeader/>
          <w:cantSplit/>
        </w:trPr>
        <w:tc>
          <w:tcPr>
            <w:tcW w:type="dxa" w:w="3402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Cég A</w:t>
            </w:r>
          </w:p>
        </w:tc>
        <w:tc>
          <w:tcPr>
            <w:tcW w:type="dxa" w:w="3402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Cég B</w:t>
            </w:r>
          </w:p>
        </w:tc>
        <w:tc>
          <w:tcPr>
            <w:tcW w:type="dxa" w:w="3118"/>
            <w:shd w:fill="E8E8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b/>
                <w:color w:val="202020"/>
                <w:sz w:val="19"/>
              </w:rPr>
              <w:t>Jogi eredmény</w:t>
            </w:r>
          </w:p>
        </w:tc>
      </w:tr>
      <w:tr>
        <w:trPr>
          <w:cantSplit/>
        </w:trPr>
        <w:tc>
          <w:tcPr>
            <w:tcW w:type="dxa" w:w="3402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Alfa Kft.</w:t>
            </w:r>
          </w:p>
        </w:tc>
        <w:tc>
          <w:tcPr>
            <w:tcW w:type="dxa" w:w="3402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Béta Kft.</w:t>
            </w:r>
          </w:p>
        </w:tc>
        <w:tc>
          <w:tcPr>
            <w:tcW w:type="dxa" w:w="311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Kapcsolt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Alfa Kft.</w:t>
            </w:r>
          </w:p>
        </w:tc>
        <w:tc>
          <w:tcPr>
            <w:tcW w:type="dxa" w:w="340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Gamma Kft.</w:t>
            </w:r>
          </w:p>
        </w:tc>
        <w:tc>
          <w:tcPr>
            <w:tcW w:type="dxa" w:w="31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Nem dönthető el</w:t>
            </w:r>
          </w:p>
        </w:tc>
      </w:tr>
      <w:tr>
        <w:trPr>
          <w:cantSplit/>
        </w:trPr>
        <w:tc>
          <w:tcPr>
            <w:tcW w:type="dxa" w:w="3402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Béta Kft.</w:t>
            </w:r>
          </w:p>
        </w:tc>
        <w:tc>
          <w:tcPr>
            <w:tcW w:type="dxa" w:w="3402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Fiktív Gamma Kft.</w:t>
            </w:r>
          </w:p>
        </w:tc>
        <w:tc>
          <w:tcPr>
            <w:tcW w:type="dxa" w:w="3118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Garamond" w:hAnsi="Garamond"/>
                <w:sz w:val="19"/>
              </w:rPr>
              <w:t>Nem kapcsolt</w:t>
            </w:r>
          </w:p>
        </w:tc>
      </w:tr>
    </w:tbl>
    <w:p>
      <w:pPr>
        <w:spacing w:before="0" w:after="40" w:line="40" w:lineRule="exact"/>
      </w:pPr>
      <w:r>
        <w:rPr>
          <w:sz w:val="2"/>
        </w:rPr>
      </w:r>
    </w:p>
    <w:p>
      <w:pPr>
        <w:pStyle w:val="Heading1"/>
      </w:pPr>
      <w:r>
        <w:t>3. Cégpáronkénti tényállás, jogi értékelés és következtetés</w:t>
      </w:r>
    </w:p>
    <w:p>
      <w:pPr>
        <w:pStyle w:val="Heading2"/>
      </w:pPr>
      <w:r>
        <w:t>Fiktív Alfa Kft. – Fiktív Béta Kft.</w:t>
      </w:r>
    </w:p>
    <w:p>
      <w:r>
        <w:rPr>
          <w:b/>
        </w:rPr>
        <w:t xml:space="preserve">Megállapítás: </w:t>
      </w:r>
      <w:r>
        <w:t>Kapcsolt. Szakértői döntés.</w:t>
      </w:r>
    </w:p>
    <w:p>
      <w:r>
        <w:t>Szakértői indokolás: A fiktív társasági szerződés alapján Alfa többségi szavazati befolyása áll fenn Bétában. A mintában nincs eltérő szavazati kikötés.</w:t>
      </w:r>
    </w:p>
    <w:p>
      <w:r>
        <w:t>Alkalmazott jogalap: Tao. 4. § 23. a) – fiktív példában ellenőrzött jogalap</w:t>
      </w:r>
    </w:p>
    <w:p>
      <w:r>
        <w:t>Igazoló forrás: Fiktív társasági szerződés és szavazati nyilatkozat</w:t>
      </w:r>
    </w:p>
    <w:p>
      <w:r>
        <w:t>A rögzített tényekből származó jelzés: Közvetlen szavazati befolyás: Fiktív Alfa Kft. → Fiktív Béta Kft.: 60% (Ptk. 8:2. §).</w:t>
      </w:r>
    </w:p>
    <w:p>
      <w:r>
        <w:t>Befolyásszámítás: Fiktív Alfa Kft. → Fiktív Béta Kft.: 60%. Az alkalmazott számítás jogalapja: Ptk. 8:2. § (4). Felhasznált szavazati tények: v.</w:t>
      </w:r>
    </w:p>
    <w:p>
      <w:r>
        <w:t>Ügyre alkalmazott feltételezés: Fiktív Alfa Kft. → Fiktív Béta Kft.: tulajdon = szavazat munkafeltételezés.</w:t>
      </w:r>
    </w:p>
    <w:p>
      <w:pPr>
        <w:pStyle w:val="Heading2"/>
      </w:pPr>
      <w:r>
        <w:t>Fiktív Alfa Kft. – Fiktív Gamma Kft.</w:t>
      </w:r>
    </w:p>
    <w:p>
      <w:r>
        <w:rPr>
          <w:b/>
        </w:rPr>
        <w:t xml:space="preserve">Megállapítás: </w:t>
      </w:r>
      <w:r>
        <w:t>Nem dönthető el. Nyilatkozatra vár.</w:t>
      </w:r>
    </w:p>
    <w:p>
      <w:r>
        <w:t>A cégpár végleges kapcsoltsági minősítése még nem igazolható. Az alábbi tények és jelzések további szakértői értékelést vagy bizonyítást igényelnek.</w:t>
      </w:r>
    </w:p>
    <w:p>
      <w:r>
        <w:t>Szakértői indokolás: Alfa és Gamma tényleges döntési rendjéről még nincs elegendő irat a fiktív mintában.</w:t>
      </w:r>
    </w:p>
    <w:p>
      <w:r>
        <w:t>Alkalmazott jogalap: A konkrét rendelkezés még nincs rögzítve.</w:t>
      </w:r>
    </w:p>
    <w:p>
      <w:r>
        <w:t>Tisztázandó tény / következő lépés: Be kell kérni az irányítási jogosultságokat és a döntési rendet igazoló nyilatkozatot.</w:t>
      </w:r>
    </w:p>
    <w:p>
      <w:pPr>
        <w:pStyle w:val="Heading2"/>
      </w:pPr>
      <w:r>
        <w:t>Fiktív Béta Kft. – Fiktív Gamma Kft.</w:t>
      </w:r>
    </w:p>
    <w:p>
      <w:r>
        <w:rPr>
          <w:b/>
        </w:rPr>
        <w:t xml:space="preserve">Megállapítás: </w:t>
      </w:r>
      <w:r>
        <w:t>Nem kapcsolt. Szakértői döntés.</w:t>
      </w:r>
    </w:p>
    <w:p>
      <w:r>
        <w:t>Szakértői indokolás: A mintában a vállalt kör minden releváns kapcsoltsági jogalapját megvizsgáltuk; e cégpárnál kapcsoltság nem került megállapításra.</w:t>
      </w:r>
    </w:p>
    <w:p>
      <w:r>
        <w:t>Alkalmazott jogalap: Tao. 4. § 23. releváns jogalapjai – fiktív bemutató</w:t>
      </w:r>
    </w:p>
    <w:p>
      <w:r>
        <w:t>Igazoló forrás: Fiktív tényállási nyilatkozat</w:t>
      </w:r>
    </w:p>
    <w:p>
      <w:r>
        <w:t>Befolyásszámítás: Fiktív Alfa Kft. → Fiktív Béta Kft.: 60%. Az alkalmazott számítás jogalapja: Ptk. 8:2. § (4). Felhasznált szavazati tények: v.</w:t>
      </w:r>
    </w:p>
    <w:p>
      <w:r>
        <w:t>Ügyre alkalmazott feltételezés: Fiktív Alfa Kft. → Fiktív Béta Kft.: tulajdon = szavazat munkafeltételezés.</w:t>
      </w:r>
    </w:p>
    <w:p>
      <w:pPr>
        <w:pStyle w:val="Heading1"/>
      </w:pPr>
      <w:r>
        <w:t>4. Piaci összefüggések és a vizsgálatok elhatárolása</w:t>
      </w:r>
    </w:p>
    <w:p>
      <w:r>
        <w:t>Fiktív tényállás: Alfa és Gamma ipari szolgáltatásokat nyújt ugyanazon földrajzi térségben. A közös üzleti döntések és az azonos vevői kör értékelését a minta szakértői indoka rögzíti; valós ügyben szerződések és nyilatkozatok szükségesek.</w:t>
      </w:r>
    </w:p>
    <w:p>
      <w:r>
        <w:t>A piaci összefüggés a Tao szerinti tényállás kiegészítése. A Kkv. törvény természetes személyi kapcsolódásának piacfeltételét nem alkalmazzuk automatikusan a Tao. 4. § 23. pontjának valamennyi jogalapjára.</w:t>
      </w:r>
    </w:p>
    <w:p>
      <w:pPr>
        <w:pStyle w:val="Heading1"/>
      </w:pPr>
      <w:r>
        <w:t>5. Feltételezések, korlátozások és nyitott kérdések</w:t>
      </w:r>
    </w:p>
    <w:p>
      <w:pPr>
        <w:pStyle w:val="ListBullet"/>
      </w:pPr>
      <w:r>
        <w:t>A minta kizárólag kitalált adatokat tartalmaz. A megbízói számadatok teljességét a mintában feltételezzük.</w:t>
      </w:r>
    </w:p>
    <w:p>
      <w:pPr>
        <w:pStyle w:val="ListBullet"/>
      </w:pPr>
      <w:r>
        <w:t>A megállapítások a megadott vizsgálati időpontra vonatkoznak; más irányítási jogosultság hiányát nem következtetjük a tulajdoni arányból.</w:t>
      </w:r>
    </w:p>
    <w:p>
      <w:pPr>
        <w:pStyle w:val="ListBullet"/>
      </w:pPr>
      <w:r>
        <w:t>Fiktív Alfa Kft. → Fiktív Béta Kft.: a 60%-os tulajdoni arányt szavazati arányként kezeljük. Ez rögzített munkafeltételezés; eltérő szavazati jog igazolása újraszámítást igényel.</w:t>
      </w:r>
    </w:p>
    <w:p>
      <w:pPr>
        <w:pStyle w:val="ListBullet"/>
      </w:pPr>
      <w:r>
        <w:t>A megállapítás a rögzített adatokra, forrásokra és vizsgálati időpontra vonatkozik. A tényállás vagy jogi időállapot változása a következtetések felülvizsgálatát igényelheti.</w:t>
      </w:r>
    </w:p>
    <w:p>
      <w:pPr>
        <w:pStyle w:val="ListBullet"/>
      </w:pPr>
      <w:r>
        <w:t>Fiktív Alfa Kft. – Fiktív Gamma Kft.: Be kell kérni az irányítási jogosultságokat és a döntési rendet igazoló nyilatkozatot.</w:t>
      </w:r>
    </w:p>
    <w:p>
      <w:pPr>
        <w:pStyle w:val="Heading1"/>
      </w:pPr>
      <w:r>
        <w:t>6. Alkalmazott jogszabályok és bírósági döntések</w:t>
      </w:r>
    </w:p>
    <w:p>
      <w:r>
        <w:t>Tao.: 1996. évi LXXXI. törvény, a rögzített kapcsoltsági döntésekben megjelölt rendelkezések. A Ptk. szerinti szavazati és befolyási számítások joghelyei a cégpáronkénti indokolásban szerepelnek. Az alkalmazandó időállapotot és az ügyre való alkalmazhatóságot a szakértő ellenőrzi.</w:t>
      </w:r>
    </w:p>
    <w:p>
      <w:r>
        <w:rPr>
          <w:b/>
        </w:rPr>
        <w:t>C-110/13 – HaTeFo – kutatási kiindulópont</w:t>
      </w:r>
    </w:p>
    <w:p>
      <w:r>
        <w:t>Kutatási hivatkozás; még nincs ellenőrizve és az ügyre alkalmazva. Forrás: https://eur-lex.europa.eu/legal-content/HU/TXT/?uri=CELEX:62013CJ0110</w:t>
      </w:r>
    </w:p>
    <w:p>
      <w:pPr>
        <w:pStyle w:val="Caption"/>
      </w:pPr>
      <w:r>
        <w:t>Elérhetőség: https://eur-lex.europa.eu/legal-content/HU/TXT/?uri=CELEX:62013CJ0110</w:t>
      </w:r>
    </w:p>
    <w:p>
      <w:r>
        <w:t>Ügyre vonatkozó értékelés: Az eredeti döntés és a konkrét tényállási egyezések vizsgálata még szükséges.</w:t>
      </w:r>
    </w:p>
    <w:p>
      <w:pPr>
        <w:pStyle w:val="Heading1"/>
        <w:keepNext/>
      </w:pPr>
      <w:r>
        <w:t>7. Összefoglalás és szakértői jóváhagyás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107"/>
      </w:tblGrid>
      <w:tr>
        <w:trPr>
          <w:cantSplit/>
        </w:trPr>
        <w:tc>
          <w:tcPr>
            <w:tcW w:type="dxa" w:w="4961"/>
            <w:shd w:fill="F5F5F5"/>
          </w:tcPr>
          <w:p>
            <w:pPr>
              <w:keepNext/>
              <w:spacing w:after="80"/>
            </w:pPr>
            <w:r>
              <w:rPr>
                <w:rFonts w:ascii="Garamond" w:hAnsi="Garamond"/>
                <w:b/>
                <w:sz w:val="24"/>
              </w:rPr>
              <w:t>Megállapítás</w:t>
            </w:r>
          </w:p>
        </w:tc>
        <w:tc>
          <w:tcPr>
            <w:tcW w:type="dxa" w:w="4961"/>
            <w:shd w:fill="F5F5F5"/>
          </w:tcPr>
          <w:p>
            <w:pPr>
              <w:keepNext/>
              <w:spacing w:after="80"/>
            </w:pPr>
            <w:r>
              <w:rPr>
                <w:rFonts w:ascii="Garamond" w:hAnsi="Garamond"/>
                <w:sz w:val="24"/>
              </w:rPr>
              <w:t>A 2025-12-31 napjára elvégzett vizsgálat 3 vállalkozás 3 cégpárjára terjed ki. A rögzített, megerősített döntések alapján 1 pár kapcsolt, 1 pár nem kapcsolt; 1 pár minősítése még nem dönthető el.</w:t>
            </w:r>
          </w:p>
        </w:tc>
      </w:tr>
    </w:tbl>
    <w:p>
      <w:pPr>
        <w:keepNext/>
        <w:spacing w:before="0" w:after="40" w:line="40" w:lineRule="exact"/>
      </w:pPr>
      <w:r>
        <w:rPr>
          <w:sz w:val="2"/>
        </w:rPr>
      </w:r>
    </w:p>
    <w:p>
      <w:pPr>
        <w:keepNext/>
      </w:pPr>
      <w:r>
        <w:t>Szakértői jóváhagyás még nem történt.</w:t>
      </w:r>
    </w:p>
    <w:p>
      <w:pPr>
        <w:keepNext/>
      </w:pPr>
      <w:r>
        <w:t>A KKV-minősítés és az ügyletszintű transzferár-kötelezettség külön vizsgálat. A kapcsoltság megállapítása önmagában nem igazolja valamennyi nyilvántartási feltétel fennállását. A rendszerbeli jóváhagyás nem elektronikus aláírás.</w:t>
      </w:r>
    </w:p>
    <w:p>
      <w:pPr>
        <w:keepLines/>
        <w:spacing w:line="240" w:lineRule="auto" w:before="120" w:after="0"/>
      </w:pPr>
      <w:r>
        <w:t>Kelt: Budapest, ________________</w:t>
        <w:br/>
        <w:br/>
        <w:t>_______________________________</w:t>
        <w:br/>
        <w:t>Mintaszakértő</w:t>
        <w:br/>
        <w:t>Minta szakértői iroda</w:t>
      </w:r>
    </w:p>
    <w:p>
      <w:pPr>
        <w:sectPr>
          <w:headerReference w:type="default" r:id="rId9"/>
          <w:footerReference w:type="default" r:id="rId10"/>
          <w:pgSz w:w="11906" w:h="16838"/>
          <w:pgMar w:top="992" w:right="992" w:bottom="992" w:left="992" w:header="454" w:footer="454" w:gutter="0"/>
          <w:cols w:space="720"/>
          <w:docGrid w:linePitch="360"/>
        </w:sectPr>
      </w:pPr>
    </w:p>
    <w:p>
      <w:pPr>
        <w:pStyle w:val="Heading1"/>
      </w:pPr>
      <w:r>
        <w:t>1. melléklet – cégháló és rögzített kapcsolatok</w:t>
      </w:r>
    </w:p>
    <w:p>
      <w:pPr>
        <w:pStyle w:val="Caption"/>
      </w:pPr>
      <w:r>
        <w:t>A mentett elrendezésű ábra a vizsgálati napon fennálló rögzített tényeket mutatja. A * jel a tulajdon és szavazat azonosságának feltételezését jelöli. A nyilak nem végleges jogi minősítések.</w:t>
      </w:r>
    </w:p>
    <w:p>
      <w:r>
        <w:drawing>
          <wp:inline xmlns:a="http://schemas.openxmlformats.org/drawingml/2006/main" xmlns:pic="http://schemas.openxmlformats.org/drawingml/2006/picture">
            <wp:extent cx="8345454" cy="45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45454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992" w:right="992" w:bottom="992" w:left="99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fiktiv-b · 1. ügyverzió  |  </w:t>
    </w:r>
    <w:fldSimple w:instr="PAGE"/>
    <w:r>
      <w:t xml:space="preserve"> / </w:t>
    </w:r>
    <w:fldSimple w:instr="NUMPAGES"/>
    <w:r>
      <w:t xml:space="preserve"> oldal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color="C8C8C8" w:space="7"/>
      </w:pBdr>
    </w:pPr>
    <w:r>
      <w:t>TAO / SZAKÉRTŐI ÁLLÁSFOGLALÁS  / 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aramond" w:hAnsi="Garamond" w:eastAsia="Garamond" w:cs="Garamo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Garamond" w:hAnsi="Garamond" w:eastAsia="Garamond" w:cs="Garamond"/>
      <w:color w:val="2020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aramond" w:hAnsi="Garamond" w:eastAsia="Garamond" w:cs="Garamond"/>
      <w:color w:val="60606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aramond" w:hAnsi="Garamond" w:eastAsia="Garamond" w:cs="Garamond"/>
      <w:color w:val="60606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Garamond" w:hAnsi="Garamond" w:eastAsia="Garamond" w:cs="Garamond"/>
      <w:b/>
      <w:bCs/>
      <w:color w:val="2020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="Garamond" w:hAnsi="Garamond" w:eastAsia="Garamond" w:cs="Garamond"/>
      <w:b/>
      <w:bCs/>
      <w:color w:val="2020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="Garamond" w:hAnsi="Garamond" w:eastAsia="Garamond" w:cs="Garamond"/>
      <w:b/>
      <w:bCs/>
      <w:color w:val="202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aramond" w:hAnsi="Garamond" w:eastAsia="Garamond" w:cs="Garamo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Garamond" w:hAnsi="Garamond" w:eastAsia="Garamond" w:cs="Garamo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Garamond" w:hAnsi="Garamond" w:eastAsia="Garamond" w:cs="Garamo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Garamond" w:hAnsi="Garamond" w:eastAsia="Garamond" w:cs="Garamo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Garamond" w:hAnsi="Garamond" w:eastAsia="Garamond" w:cs="Garamo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Garamond" w:hAnsi="Garamond" w:eastAsia="Garamond" w:cs="Garamo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Garamond" w:hAnsi="Garamond" w:eastAsia="Garamond" w:cs="Garamo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Garamond" w:hAnsi="Garamond" w:eastAsia="Garamond" w:cs="Garamo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Garamond" w:hAnsi="Garamond" w:eastAsia="Garamond" w:cs="Garamo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00"/>
      <w:contextualSpacing/>
    </w:pPr>
    <w:rPr>
      <w:rFonts w:ascii="Garamond" w:hAnsi="Garamond" w:eastAsia="Garamond" w:cs="Garamond"/>
      <w:b/>
      <w:color w:val="2020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Garamond" w:hAnsi="Garamond" w:eastAsia="Garamond" w:cs="Garamo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00" w:after="80"/>
    </w:pPr>
    <w:rPr>
      <w:rFonts w:ascii="Garamond" w:hAnsi="Garamond" w:eastAsia="Garamond" w:cs="Garamond"/>
      <w:b w:val="0"/>
      <w:i/>
      <w:iCs/>
      <w:color w:val="20202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Garamond" w:hAnsi="Garamond" w:eastAsia="Garamond" w:cs="Garamo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Garamond" w:hAnsi="Garamond" w:eastAsia="Garamond" w:cs="Garamo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Garamond" w:hAnsi="Garamond" w:eastAsia="Garamond" w:cs="Garamo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Garamond" w:hAnsi="Garamond" w:eastAsia="Garamond" w:cs="Garamo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Garamond" w:hAnsi="Garamond" w:eastAsia="Garamond" w:cs="Garamo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Garamond" w:hAnsi="Garamond" w:eastAsia="Garamond" w:cs="Garamo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Garamond" w:hAnsi="Garamond" w:eastAsia="Garamond" w:cs="Garamo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Garamond" w:hAnsi="Garamond" w:eastAsia="Garamond" w:cs="Garamo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Garamond" w:hAnsi="Garamond" w:eastAsia="Garamond" w:cs="Garamo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Garamond" w:hAnsi="Garamond" w:eastAsia="Garamond" w:cs="Garamond"/>
      <w:b/>
      <w:bCs/>
      <w:color w:val="60606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Garamond" w:hAnsi="Garamond" w:eastAsia="Garamond" w:cs="Garamo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Garamond" w:hAnsi="Garamond" w:eastAsia="Garamond" w:cs="Garamond"/>
        <w:b/>
        <w:bCs/>
      </w:rPr>
    </w:tblStylePr>
    <w:tblStylePr w:type="lastCol">
      <w:rPr>
        <w:rFonts w:ascii="Garamond" w:hAnsi="Garamond" w:eastAsia="Garamond" w:cs="Garamo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Garamond" w:hAnsi="Garamond" w:eastAsia="Garamond" w:cs="Garamo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Garamond" w:hAnsi="Garamond" w:eastAsia="Garamond" w:cs="Garamo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Fiktív Tao-állásfoglalás bemutató – Tao-állásfoglalás</dc:title>
  <dc:subject>2025 · 1. ügyverzió</dc:subject>
  <dc:creator>Minta szakértői iroda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