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Vagyonadó 2026: mit jelentene a tervezet a tulajdonosoknak és a vállalkozásoknak?</w:t>
      </w:r>
    </w:p>
    <w:p>
      <w:r>
        <w:t>ICT Európa · Szakmai szerkesztőség | vfinal</w:t>
      </w:r>
    </w:p>
    <w:p>
      <w:r>
        <w:t>Nem csak a bankszámlaegyenleg számít. A feltöltött törvénytervezet az ingatlanok, befektetések és cégrészesedések értékét is bevonná a vagyonadó alapjába. Megmutatjuk a legfontosabb szabályokat, a cégértékelési képletet és a felkészülés gyakorlati lépéseit.</w:t>
      </w:r>
    </w:p>
    <w:p>
      <w:pPr>
        <w:pStyle w:val="Heading1"/>
      </w:pPr>
      <w:r>
        <w:t>1. Kit és mikortól érintene?</w:t>
      </w:r>
    </w:p>
    <w:p>
      <w:r>
        <w:t>A megküldött, „2026. évi … törvény a vagyonadóról” című dokumentum tervezet: az itt bemutatott szabályokat ezért tervezett, és nem hatályos kötelezettségként kezeljük. Az elemzés a feltöltött normaszövegen, indokoláson, tartalmi összefoglalón és hatásvizsgálaton alapul; nem igazolja önállóan a dokumentumok hivatalos közzétételét vagy a jogalkotási eljárás aktuális állását.</w:t>
      </w:r>
    </w:p>
    <w:p>
      <w:r>
        <w:t>Adóalany lenne a belföldi és a külföldi illetőségű magánszemély, valamint a belföldi és a külföldi vagyonkezelési adóalany. Belföldi illetőségnél főszabály szerint a teljes belföldi és külföldi vagyon számítana. Külföldi illetőségnél a magyar ingatlan, az ahhoz kapcsolódó jog, a magyar társasági részesedés és a meghatározott belföldi ingatlanvagyonnal rendelkező külföldi társaság részesedése lenne érintett [3–4. §].</w:t>
      </w:r>
    </w:p>
    <w:p>
      <w:r>
        <w:t>A tervezet a 2026. december 15-i hatálybalépéssel, a 2026. december 31-i vagyonállapottal, majd a 2027. augusztus 31-i első bevallási és fizetési határidővel számol. Ezek tervezett dátumok. Bevallási kötelezettség akkor keletkezne, ha a tárgyévre fizetendő vagyonadó van [5. §; 25. § (1); 32. §; 35. §].</w:t>
      </w:r>
    </w:p>
    <w:p>
      <w:pPr>
        <w:pStyle w:val="Heading1"/>
      </w:pPr>
      <w:r>
        <w:t>2. Nettó vagyon, adóalap és adó: három különböző összeg</w:t>
      </w:r>
    </w:p>
    <w:p>
      <w:r>
        <w:t>Az adóköteles vagyonelemek számított értékéből először az igazolt és a törvényi feltételeknek megfelelő tartozásokat kellene levonni. Külföldi illetőségnél a tartozásnak közvetlenül kapcsolódnia kellene az adóköteles vagyonelemhez. Az így kapott nettó vagyon 1 milliárd forint feletti része az adóalap [6. §].</w:t>
      </w:r>
    </w:p>
    <w:p>
      <w:r>
        <w:t>A 9. § (1) normaszövege szerint az adóalap első 100 milliárd forintjára 1%, az e feletti adóalaprészre 1,5% adó jutna. A 100 milliárdos sávhatárt tehát az 1 milliárdos küszöb levonása UTÁNI adóalapon kell vizsgálni. Ez eltér a feltöltött összefoglalók egyes megfogalmazásaitól; a kalkulátor a normaszöveget követi.</w:t>
      </w:r>
    </w:p>
    <w:p>
      <w:r>
        <w:t>1,5 milliárd Ft nettó vagyon esetén az adóalap 500 millió Ft, a jóváírások előtti adó 5 millió Ft. 101 milliárd Ft nettó vagyonnál az adóalap 100 milliárd Ft, így a számított adó 1 milliárd Ft. 102 milliárd Ft nettó vagyonnál az első 100 milliárd Ft adóalapra 1 milliárd Ft, a további 1 milliárd Ft-ra 15 millió Ft jutna.</w:t>
      </w:r>
    </w:p>
    <w:p>
      <w:r>
        <w:t>A kötelezően igénybe vett, ténylegesen megfizetett és számlával igazolt értékelői szolgáltatás díjának 50%-a, legfeljebb évi 2 millió Ft csökkenthetné az adót. Az adóalapba bevont vagyonelemekhez kapcsolódó, esedékes és megfizetett helyi adók, gépjárműadó és megfelelő külföldi adók szintén figyelembe vehetők lennének; visszajáró összeget nem lehetne levonni. Az adót ezer forintra kerekítve kellene bevallani és megfizetni [9. § (2); 25. § (6)].</w:t>
      </w:r>
    </w:p>
    <w:p>
      <w:pPr>
        <w:pStyle w:val="Heading1"/>
      </w:pPr>
      <w:r>
        <w:t>3. Hogyan számítanák ki a cég részesedési értékét?</w:t>
      </w:r>
    </w:p>
    <w:p>
      <w:r>
        <w:t>A nem jegyzett és nem rendszeresen kereskedett társasági részesedések főszabály szerinti értékelése a korrigált saját tőkére (ST) és a hozamértékre (H) épül. A hozamérték a rendelkezésre álló, legfeljebb három lezárt üzleti év évesített adózott eredményének egyszerű átlaga, osztva 15%-kal. Negatív átlagos eredménynél a hozamérték nulla [12. § (3); 1. melléklet I. és V. a)].</w:t>
      </w:r>
    </w:p>
    <w:p>
      <w:r>
        <w:t>A holdingvállalkozásnál – amelynél a részesedések értéke az egyedi mérleg összes eszközének legalább 90%-a – a korrigált saját tőke tulajdoni hányadra jutó értéke számítana, hozamérték nélkül [2. § 15. pont; 1. melléklet II.].</w:t>
      </w:r>
    </w:p>
    <w:p>
      <w:r>
        <w:t>Jogelőd nélkül alapított, nem holding társaságnál az alapítás évében és a következő két üzleti évben a hozamérték nulla lehetne. Ez a szabály azonban attól az üzleti évtől nem alkalmazható, amelyben a saját tőke meghaladja az 500 millió Ft-ot, vagy a rendelkezésre álló hozamérték meghaladja a saját tőke 25%-át. A korábban bekövetkezett kizáró feltételt is vizsgálni kell [1. melléklet III.].</w:t>
      </w:r>
    </w:p>
    <w:p>
      <w:r>
        <w:t>50% alatti összes közvetlen és közvetett tulajdoni hányadnál kisebbségi korrekció alkalmazható: 33%-tól, de 50% alatt 25%; 33% alatt 30%. Az 50%-os tulajdonos nem tartozik a kisebbségi sávba [1. melléklet V. b)].</w:t>
      </w:r>
    </w:p>
    <w:p>
      <w:r>
        <w:t>Meghatározott feltételekkel független cégértékelés vagy jelentős, 10%-ot meghaladó, független felek közötti tranzakció ellenértéke is alkalmazható. A tranzakciós érték az átruházástól egy évig használható, ha ésszerű és valószínű piaci értéket tükröz. Konszolidált beszámolót készítő anyavállalatnál annak adatai az irányadók [12. § (4)–(8); 1. melléklet V. c), VII.].</w:t>
      </w:r>
    </w:p>
    <w:p>
      <w:r>
        <w:t>H = átlagos évesített adózott eredmény ÷ 0,15</w:t>
        <w:br/>
        <w:t>V = [(ST + 2 × H) ÷ 3] × tulajdoni hányad</w:t>
      </w:r>
    </w:p>
    <w:p>
      <w:pPr>
        <w:pStyle w:val="Heading1"/>
      </w:pPr>
      <w:r>
        <w:t>4. Számpélda: a Minta Kft. két tulajdonosa</w:t>
      </w:r>
    </w:p>
    <w:p>
      <w:r>
        <w:t>A társaság saját tőkéje 300 millió Ft, a három lezárt, 365 napos üzleti év adózott eredménye 70, 90 és 110 millió Ft. Egyéb korrekció nincs. Az átlagos eredmény 90 millió Ft, a hozamérték 600 millió Ft. A társaság képlet szerinti teljes értéke (300 + 2 × 600) ÷ 3 = 500 millió Ft.</w:t>
      </w:r>
    </w:p>
    <w:p>
      <w:r>
        <w:t>A 60%-os „A” tulajdonos részesedési értéke 300 millió Ft. A 40%-os „B” tulajdonos névleges részesedési értéke 200 millió Ft, amely a 25%-os kisebbségi korrekció alkalmazásával 150 millió Ft.</w:t>
      </w:r>
    </w:p>
    <w:p>
      <w:r>
        <w:t>Ha „A” tulajdonosnak emellett 600 millió Ft számított értékű ingatlana és 200 millió Ft pénzeszköze van, levonható tartozás és adójóváírás nélkül a nettó vagyona 1,1 milliárd Ft. Adóalapja 100 millió Ft, számított éves vagyonadója 1 millió Ft. A cég értéke nem jelent ugyanekkora szabad pénzeszközt: az adófizetés likviditását külön kell megtervezni.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Tétel</w:t>
            </w:r>
          </w:p>
        </w:tc>
        <w:tc>
          <w:tcPr>
            <w:tcW w:type="dxa" w:w="4320"/>
          </w:tcPr>
          <w:p>
            <w:r>
              <w:t>Számított érték</w:t>
            </w:r>
          </w:p>
        </w:tc>
      </w:tr>
      <w:tr>
        <w:tc>
          <w:tcPr>
            <w:tcW w:type="dxa" w:w="4320"/>
          </w:tcPr>
          <w:p>
            <w:r>
              <w:t>Átlagos éves adózott eredmény</w:t>
            </w:r>
          </w:p>
        </w:tc>
        <w:tc>
          <w:tcPr>
            <w:tcW w:type="dxa" w:w="4320"/>
          </w:tcPr>
          <w:p>
            <w:r>
              <w:t>90 millió Ft</w:t>
            </w:r>
          </w:p>
        </w:tc>
      </w:tr>
      <w:tr>
        <w:tc>
          <w:tcPr>
            <w:tcW w:type="dxa" w:w="4320"/>
          </w:tcPr>
          <w:p>
            <w:r>
              <w:t>Hozamérték</w:t>
            </w:r>
          </w:p>
        </w:tc>
        <w:tc>
          <w:tcPr>
            <w:tcW w:type="dxa" w:w="4320"/>
          </w:tcPr>
          <w:p>
            <w:r>
              <w:t>600 millió Ft</w:t>
            </w:r>
          </w:p>
        </w:tc>
      </w:tr>
      <w:tr>
        <w:tc>
          <w:tcPr>
            <w:tcW w:type="dxa" w:w="4320"/>
          </w:tcPr>
          <w:p>
            <w:r>
              <w:t>Teljes képlet szerinti cégérték</w:t>
            </w:r>
          </w:p>
        </w:tc>
        <w:tc>
          <w:tcPr>
            <w:tcW w:type="dxa" w:w="4320"/>
          </w:tcPr>
          <w:p>
            <w:r>
              <w:t>500 millió Ft</w:t>
            </w:r>
          </w:p>
        </w:tc>
      </w:tr>
      <w:tr>
        <w:tc>
          <w:tcPr>
            <w:tcW w:type="dxa" w:w="4320"/>
          </w:tcPr>
          <w:p>
            <w:r>
              <w:t>A tulajdonos (60%)</w:t>
            </w:r>
          </w:p>
        </w:tc>
        <w:tc>
          <w:tcPr>
            <w:tcW w:type="dxa" w:w="4320"/>
          </w:tcPr>
          <w:p>
            <w:r>
              <w:t>300 millió Ft</w:t>
            </w:r>
          </w:p>
        </w:tc>
      </w:tr>
      <w:tr>
        <w:tc>
          <w:tcPr>
            <w:tcW w:type="dxa" w:w="4320"/>
          </w:tcPr>
          <w:p>
            <w:r>
              <w:t>B tulajdonos (40%, −25%)</w:t>
            </w:r>
          </w:p>
        </w:tc>
        <w:tc>
          <w:tcPr>
            <w:tcW w:type="dxa" w:w="4320"/>
          </w:tcPr>
          <w:p>
            <w:r>
              <w:t>150 millió Ft</w:t>
            </w:r>
          </w:p>
        </w:tc>
      </w:tr>
      <w:tr>
        <w:tc>
          <w:tcPr>
            <w:tcW w:type="dxa" w:w="4320"/>
          </w:tcPr>
          <w:p>
            <w:r>
              <w:t>A tulajdonos éves adója a példában</w:t>
            </w:r>
          </w:p>
        </w:tc>
        <w:tc>
          <w:tcPr>
            <w:tcW w:type="dxa" w:w="4320"/>
          </w:tcPr>
          <w:p>
            <w:r>
              <w:t>1 millió Ft</w:t>
            </w:r>
          </w:p>
        </w:tc>
      </w:tr>
    </w:tbl>
    <w:p>
      <w:pPr>
        <w:pStyle w:val="Heading1"/>
      </w:pPr>
      <w:r>
        <w:t>5. Rejtett tartalékok és vállalati adatszolgáltatás</w:t>
      </w:r>
    </w:p>
    <w:p>
      <w:r>
        <w:t>Az 500 millió Ft-ot MEGHALADÓ beszámoló szerinti saját tőkéjű társaságnál a saját tőkét a rejtett tartalékokkal növelni kellene. A rejtett tartalék a meghatározott befektetett eszközök piaci és könyv szerinti értékének pozitív különbözete, a kapcsolódó halasztott adókötelezettséggel csökkentve. A halasztott adó megalapozottan becsült várható nyereségadó; ha nem becsülhető, a tervezet 15%-os szabálya alkalmazandó [2. § 14., 31. pont; 1. melléklet IV. b)–c)].</w:t>
      </w:r>
    </w:p>
    <w:p>
      <w:r>
        <w:t>Például 40 millió Ft könyv szerinti és 400 millió Ft piaci értékű telephelynél a pozitív különbözet 360 millió Ft. Ha a várható nyereségadó nem becsülhető és a 15%-os szabály alkalmazandó, a figyelembe veendő rejtett tartalék 306 millió Ft. A 360 millió Ft önmagában még nem a halasztott adóval csökkentett rejtett tartalék.</w:t>
      </w:r>
    </w:p>
    <w:p>
      <w:r>
        <w:t>Az érintett belföldi társaság a független könyvvizsgáló által felülvizsgált adatokat a beszámoló elfogadásától számított 30 napon belül közölné a NAV-val és a tulajdonosokkal [30. § (1)]. Az utolsó mérlegfordulónap után jóváhagyott vagy kifizetett, a saját tőkében még szereplő osztalék csökkenthetné a részesedési értékelés tőkeelemét. A tulajdonosnál pénzeszközként megjelenő osztalék azonban a teljes vagyont továbbra is érintheti [1. melléklet IV. e)].</w:t>
      </w:r>
    </w:p>
    <w:p>
      <w:pPr>
        <w:pStyle w:val="Heading1"/>
      </w:pPr>
      <w:r>
        <w:t>6. Családi vagyon, ingóságok és bizalmi vagyonkezelés</w:t>
      </w:r>
    </w:p>
    <w:p>
      <w:r>
        <w:t>A házastársak külön adóalanyok lennének, külön 1 milliárd Ft-os küszöbbel. A vagyon megosztásánál elsődlegesek a vagyonjogi és egymás közötti szerződések. Bizonyos nyilvántartott közös vagyonelemeknél a felek határidőben tett azonos tartalmú nyilatkozattal választhatnának a nyilvántartott jogosult szerinti és az 50–50%-os megosztás között. Nyilatkozat hiányában, illetve a további közös vagyonelemeknél az egyenlő megosztás lenne irányadó [7. § (1)–(3)].</w:t>
      </w:r>
    </w:p>
    <w:p>
      <w:r>
        <w:t>A kiskorú gyermek vagyona főszabály szerint a szülői felügyeletet gyakorló szülőnél számítana, közös felügyelet esetén fele-fele arányban. Az örökölt vagyon, a saját keresmény és az ezek helyébe lépő vagyonelemek azonban a gyermek saját adóalapjához tartoznának [7. § (4)–(5)].</w:t>
      </w:r>
    </w:p>
    <w:p>
      <w:r>
        <w:t>A személyes használati és szokásos berendezési tárgyak kimaradnának, de a 3 millió Ft egyedi értéket meghaladó műtárgy, gyűjtemény és ékszer, valamint a 10 millió Ft feletti jármű teljes értéke számítana. Üzleti vagy őstermelői használat, illetve kapcsolódó költségelszámolás esetén a teljes érték számít, értékhatártól függetlenül. A magánszemélyi ingóságmentességet nem lehet automatikusan a vagyonkezelési adóalanyra alkalmazni [6. § (3)–(4)].</w:t>
      </w:r>
    </w:p>
    <w:p>
      <w:r>
        <w:t>A bizalmi vagyonkezelésben kezelt vagyon és a magánalapítvány önálló adóalany lenne. A kapcsolt konstrukciók együttesen csak egy 1 milliárd Ft-os küszöböt használhatnának, az előírt nyilatkozattal megosztva; nyilatkozat hiányában a létrejött sorrendje irányadó. Az adót konstrukciónként külön kellene megállapítani [24. § (3)–(7)].</w:t>
      </w:r>
    </w:p>
    <w:p>
      <w:pPr>
        <w:pStyle w:val="Heading1"/>
      </w:pPr>
      <w:r>
        <w:t>7. Mit érdemes most előkészíteni?</w:t>
      </w:r>
    </w:p>
    <w:p>
      <w:r>
        <w:t>Első lépés a vagyonleltár: tulajdoni hányadok, az illetőség, családi és vagyonkezelési kapcsolatok, fordulónapi értékek és az igazolt tartozások rendszerezése. Cégtulajdonosként a saját tőke és a három lezárt év eredménye mellett a konszolidációt, a rejtett tartalékokat és az értékelési kivételeket is át kell tekinteni.</w:t>
      </w:r>
    </w:p>
    <w:p>
      <w:r>
        <w:t>Az átszervezések és vagyonátruházások gazdasági indokait dokumentálni kellene. A normaszöveg az adóelkerülés vizsgálatát a bevezetés köztudomásúvá válásától számítja; konkrét dátumot nem ír. Az indokolás ezt 2026. május 14-éhez kapcsolja. A valós gazdasági vagy az adókötelezettségtől független méltányolható körülmények igazolása lényeges [1. § (4)–(6)].</w:t>
      </w:r>
    </w:p>
    <w:p>
      <w:r>
        <w:t>Az adó finanszírozását is érdemes modellezni. A NAV a tervezetben foglalt feltételek mellett főszabály szerint legfeljebb 12, kivételes esetben 24 hónapos könnyítést engedélyezhetne. Különösen mérlegelendő körülmény lenne, ha a figyelembe vett vagyon legalább 50%-a nem biztosít közvetlenül likvid pénzeszközt. A könnyítés kérelemhez és egyedi döntéshez kötött, nem automatikus [26. §].</w:t>
      </w:r>
    </w:p>
    <w:p>
      <w:r>
        <w:t>Az ICT Európa szakértői segítségével a jogi, adózási, számviteli és likviditási szempontok együtt vizsgálhatók. A kalkulátor első tájékozódásra szolgál: az összetett tulajdonosi helyzet, egyezmény, értékbecslés és átszervezés személyre szabott áttekintést igényel.</w:t>
      </w:r>
    </w:p>
    <w:p>
      <w:r>
        <w:t>Forrás: a feltöltött törvénytervezet, indokolás, tartalmi összefoglaló és hatásvizsgálat. Szerkesztett végleges változat a megküldött v1 cikk alapján. Az elemzés nem igazolja a hivatalos közzététel aktuális státuszát. Szakmai és adatkezelési jóváhagyás szükséges a nyilvános élesítés előtt.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