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950" w:right="720" w:hanging="18"/>
        <w:jc w:val="left"/>
      </w:pP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W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A N</w:t>
      </w:r>
      <w:r>
        <w:rPr>
          <w:rFonts w:ascii="" w:hAnsi="" w:eastAsia=""/>
          <w:b w:val="0"/>
          <w:i w:val="0"/>
          <w:color w:val="000000"/>
          <w:sz w:val="35"/>
        </w:rPr>
        <w:t>: O</w:t>
      </w:r>
      <w:r>
        <w:rPr>
          <w:rFonts w:ascii="" w:hAnsi="" w:eastAsia=""/>
          <w:b w:val="0"/>
          <w:i w:val="0"/>
          <w:color w:val="000000"/>
          <w:sz w:val="28"/>
        </w:rPr>
        <w:t>PEN AND</w:t>
      </w:r>
      <w:r>
        <w:rPr>
          <w:rFonts w:ascii="" w:hAnsi="" w:eastAsia=""/>
          <w:b w:val="0"/>
          <w:i w:val="0"/>
          <w:color w:val="000000"/>
          <w:sz w:val="35"/>
        </w:rPr>
        <w:t xml:space="preserve"> A</w:t>
      </w:r>
      <w:r>
        <w:rPr>
          <w:rFonts w:ascii="" w:hAnsi="" w:eastAsia=""/>
          <w:b w:val="0"/>
          <w:i w:val="0"/>
          <w:color w:val="000000"/>
          <w:sz w:val="28"/>
        </w:rPr>
        <w:t>DVANCED</w:t>
      </w:r>
      <w:r>
        <w:rPr>
          <w:rFonts w:ascii="" w:hAnsi="" w:eastAsia=""/>
          <w:b w:val="0"/>
          <w:i w:val="0"/>
          <w:color w:val="000000"/>
          <w:sz w:val="35"/>
        </w:rPr>
        <w:t xml:space="preserve"> L</w:t>
      </w:r>
      <w:r>
        <w:rPr>
          <w:rFonts w:ascii="" w:hAnsi="" w:eastAsia=""/>
          <w:b w:val="0"/>
          <w:i w:val="0"/>
          <w:color w:val="000000"/>
          <w:sz w:val="28"/>
        </w:rPr>
        <w:t>ARGE</w:t>
      </w:r>
      <w:r>
        <w:rPr>
          <w:rFonts w:ascii="" w:hAnsi="" w:eastAsia=""/>
          <w:b w:val="0"/>
          <w:i w:val="0"/>
          <w:color w:val="000000"/>
          <w:sz w:val="35"/>
        </w:rPr>
        <w:t>-S</w:t>
      </w:r>
      <w:r>
        <w:rPr>
          <w:rFonts w:ascii="" w:hAnsi="" w:eastAsia=""/>
          <w:b w:val="0"/>
          <w:i w:val="0"/>
          <w:color w:val="000000"/>
          <w:sz w:val="28"/>
        </w:rPr>
        <w:t>CALE</w:t>
      </w:r>
      <w:r>
        <w:rPr>
          <w:rFonts w:ascii="" w:hAnsi="" w:eastAsia=""/>
          <w:b w:val="0"/>
          <w:i w:val="0"/>
          <w:color w:val="000000"/>
          <w:sz w:val="35"/>
        </w:rPr>
        <w:t xml:space="preserve"> V</w:t>
      </w:r>
      <w:r>
        <w:rPr>
          <w:rFonts w:ascii="" w:hAnsi="" w:eastAsia=""/>
          <w:b w:val="0"/>
          <w:i w:val="0"/>
          <w:color w:val="000000"/>
          <w:sz w:val="28"/>
        </w:rPr>
        <w:t xml:space="preserve">IDEO 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G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ENERATIVE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 xml:space="preserve"> M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ODELS</w:t>
      </w:r>
    </w:p>
    <w:p>
      <w:pPr>
        <w:autoSpaceDN w:val="0"/>
        <w:autoSpaceDE w:val="0"/>
        <w:widowControl/>
        <w:spacing w:line="200" w:lineRule="exact" w:before="386" w:after="0"/>
        <w:ind w:left="2112" w:right="0" w:firstLine="0"/>
        <w:jc w:val="left"/>
      </w:pPr>
      <w:r>
        <w:rPr>
          <w:rFonts w:ascii="" w:hAnsi="" w:eastAsia=""/>
          <w:b/>
          <w:i w:val="0"/>
          <w:color w:val="000000"/>
          <w:sz w:val="20"/>
        </w:rPr>
        <w:t>Wan Team, Alibaba Group</w:t>
      </w:r>
    </w:p>
    <w:p>
      <w:pPr>
        <w:autoSpaceDN w:val="0"/>
        <w:autoSpaceDE w:val="0"/>
        <w:widowControl/>
        <w:spacing w:line="238" w:lineRule="exact" w:before="598" w:after="204"/>
        <w:ind w:left="0" w:right="412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</w:t>
      </w:r>
      <w:r>
        <w:rPr>
          <w:rFonts w:ascii="" w:hAnsi="" w:eastAsia=""/>
          <w:b w:val="0"/>
          <w:i w:val="0"/>
          <w:color w:val="000000"/>
          <w:sz w:val="19"/>
        </w:rPr>
        <w:t>BSTRACT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27"/>
        <w:gridCol w:w="3527"/>
        <w:gridCol w:w="3527"/>
      </w:tblGrid>
      <w:tr>
        <w:trPr>
          <w:trHeight w:hRule="exact" w:val="7516"/>
        </w:trPr>
        <w:tc>
          <w:tcPr>
            <w:tcW w:type="dxa" w:w="122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2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7F807F"/>
                <w:sz w:val="40"/>
              </w:rPr>
              <w:t>arXiv:2503.20314v2  [cs.CV]  19 Apr 2025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438" w:right="1008" w:hanging="6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This report presents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a comprehensive and open suite of video foundation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models designed to push the boundaries of video generation. Built upon the main-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stream diffusion transformer paradigm,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achieves significant advancements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 generative capabilities through a series of innovations, including our novel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spatio-temporal variational autoencoder (VAE), scalable pre-training strategies,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large-scale data curation, and automated evaluation metrics. These contributions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collectively enhance the model’s performance and versatility. Specifically,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characterized by four key features:</w:t>
            </w:r>
            <w:r>
              <w:rPr>
                <w:w w:val="98.9763069152832"/>
                <w:rFonts w:ascii="" w:hAnsi="" w:eastAsia=""/>
                <w:b w:val="0"/>
                <w:i/>
                <w:color w:val="000000"/>
                <w:sz w:val="20"/>
              </w:rPr>
              <w:t xml:space="preserve"> Leading Performance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: The 14B model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trained on a vast dataset comprising billions of images and videos,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scaling laws of video generation with respect to both data and model size.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 consistently outperforms the existing open-source models as well as state-of-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the-art commercial solutions across multiple internal and external benchmarks,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demonstrating a clear and significant performance superiority.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Comprehensive-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>ness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 offers two capable models,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 xml:space="preserve"> i.e.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, 1.3B and 14B parameters, for efficiency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effectiveness respectively. It also covers multiple downstream applications,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image-to-video, instruction-guided video editing, and personal video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generation, encompassing up to eight tasks. Meanwhile,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the first model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that can generate visual text in both Chinese and English, significantly enhancing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its practical value.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Consumer-Grade Efficiency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: The 1.3B model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exceptional resource efficiency, requiring only 8.19 GB VRAM, making it com-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patible with a wide range of consumer-grade GPUs. It also exhibits superior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performance compared to larger open-source models, showcasing remarkable ef-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ficiency for text-to-video.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Openness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: We open-source the entire series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source code and all models, with the goal of fostering the growth of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video generation community. This openness seeks to significantly expand the </w:t>
            </w:r>
            <w:r>
              <w:rPr>
                <w:w w:val="98.62470626831055"/>
                <w:rFonts w:ascii="" w:hAnsi="" w:eastAsia=""/>
                <w:b w:val="0"/>
                <w:i w:val="0"/>
                <w:color w:val="000000"/>
                <w:sz w:val="20"/>
              </w:rPr>
              <w:t xml:space="preserve">creative possibilities of video production in the industry and provide academia with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high-quality video foundation models. In addition, we conduct extensive experi-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>mental analyses covering various aspects of the proposed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 xml:space="preserve">, presenting detailed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results and insights. We believe these findings and conclusions will significantly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advance video generation technology. All the code and models are available at </w:t>
            </w:r>
            <w:r>
              <w:rPr>
                <w:rFonts w:ascii="" w:hAnsi="" w:eastAsia=""/>
                <w:b/>
                <w:i w:val="0"/>
                <w:color w:val="71BBB3"/>
                <w:sz w:val="20"/>
              </w:rPr>
              <w:hyperlink r:id="rId9" w:history="1">
                <w:r>
                  <w:rPr>
                    <w:rStyle w:val="Hyperlink"/>
                  </w:rPr>
                  <w:t>https://github.com/Wan-Video/Wan2.1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246"/>
        </w:trPr>
        <w:tc>
          <w:tcPr>
            <w:tcW w:type="dxa" w:w="3527"/>
            <w:vMerge/>
            <w:tcBorders/>
          </w:tcPr>
          <w:p/>
        </w:tc>
        <w:tc>
          <w:tcPr>
            <w:tcW w:type="dxa" w:w="4740"/>
            <w:tcBorders>
              <w:end w:sz="5.357280254364014" w:val="single" w:color="#D0CDCD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6.0" w:type="dxa"/>
            </w:tblPr>
            <w:tblGrid>
              <w:gridCol w:w="4740"/>
            </w:tblGrid>
            <w:tr>
              <w:trPr>
                <w:trHeight w:hRule="exact" w:val="2212"/>
              </w:trPr>
              <w:tc>
                <w:tcPr>
                  <w:tcW w:type="dxa" w:w="3896"/>
                  <w:tcBorders>
                    <w:start w:sz="5.357280254364014" w:val="single" w:color="#D9D9D9"/>
                    <w:top w:sz="5.357280254364014" w:val="single" w:color="#D9D9D9"/>
                    <w:end w:sz="5.357280254364014" w:val="single" w:color="#D9D9D9"/>
                    <w:bottom w:sz="5.357280254364014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4.00000000000006" w:type="dxa"/>
                  </w:tblPr>
                  <w:tblGrid>
                    <w:gridCol w:w="3896"/>
                  </w:tblGrid>
                  <w:tr>
                    <w:trPr>
                      <w:trHeight w:hRule="exact" w:val="190"/>
                    </w:trPr>
                    <w:tc>
                      <w:tcPr>
                        <w:tcW w:type="dxa" w:w="3722"/>
                        <w:tcBorders>
                          <w:start w:sz="5.357280254364014" w:val="single" w:color="#D0CDCD"/>
                          <w:top w:sz="5.357280254364014" w:val="single" w:color="#D0CDCD"/>
                          <w:end w:sz="5.357280254364014" w:val="single" w:color="#D0CDCD"/>
                          <w:bottom w:sz="5.357280254364014" w:val="single" w:color="#D0CDC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8.00000000000011" w:type="dxa"/>
                        </w:tblPr>
                        <w:tblGrid>
                          <w:gridCol w:w="620"/>
                          <w:gridCol w:w="620"/>
                          <w:gridCol w:w="620"/>
                          <w:gridCol w:w="620"/>
                          <w:gridCol w:w="620"/>
                          <w:gridCol w:w="620"/>
                        </w:tblGrid>
                        <w:tr>
                          <w:trPr>
                            <w:trHeight w:hRule="exact" w:val="136"/>
                          </w:trPr>
                          <w:tc>
                            <w:tcPr>
                              <w:tcW w:type="dxa" w:w="7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Wan2.1-14B</w:t>
                              </w:r>
                            </w:p>
                          </w:tc>
                          <w:tc>
                            <w:tcPr>
                              <w:tcW w:type="dxa" w:w="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Mochi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Hunyuan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CN-TopA</w:t>
                              </w:r>
                            </w:p>
                          </w:tc>
                          <w:tc>
                            <w:tcPr>
                              <w:tcW w:type="dxa" w:w="6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CN-TopB</w:t>
                              </w:r>
                            </w:p>
                          </w:tc>
                          <w:tc>
                            <w:tcPr>
                              <w:tcW w:type="dxa" w:w="3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Sora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tabs>
                      <w:tab w:pos="654" w:val="left"/>
                    </w:tabs>
                    <w:autoSpaceDE w:val="0"/>
                    <w:widowControl/>
                    <w:spacing w:line="92" w:lineRule="exact" w:before="0" w:after="38"/>
                    <w:ind w:left="52" w:right="302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F7F7F"/>
                      <w:sz w:val="8"/>
                    </w:rPr>
                    <w:t xml:space="preserve">0.75 </w:t>
                  </w:r>
                  <w:r>
                    <w:br/>
                  </w:r>
                  <w:r>
                    <w:tab/>
                  </w: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0.72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974"/>
                    <w:gridCol w:w="974"/>
                    <w:gridCol w:w="974"/>
                    <w:gridCol w:w="974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112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7F7F7F"/>
                            <w:sz w:val="8"/>
                          </w:rPr>
                          <w:t>0.70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16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0.69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10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0.69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0.70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0" w:lineRule="exact" w:before="28" w:after="42"/>
                    <w:ind w:left="0" w:right="2012" w:firstLine="0"/>
                    <w:jc w:val="right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0.67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1948"/>
                    <w:gridCol w:w="1948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10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68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7F7F7F"/>
                            <w:sz w:val="8"/>
                          </w:rPr>
                          <w:t>0.65</w:t>
                        </w:r>
                      </w:p>
                    </w:tc>
                    <w:tc>
                      <w:tcPr>
                        <w:tcW w:type="dxa" w:w="3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7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0" w:lineRule="exact" w:before="210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F7F7F"/>
                      <w:sz w:val="8"/>
                    </w:rPr>
                    <w:t>0.60</w:t>
                  </w:r>
                </w:p>
                <w:p>
                  <w:pPr>
                    <w:autoSpaceDN w:val="0"/>
                    <w:autoSpaceDE w:val="0"/>
                    <w:widowControl/>
                    <w:spacing w:line="88" w:lineRule="exact" w:before="246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F7F7F"/>
                      <w:sz w:val="8"/>
                    </w:rPr>
                    <w:t>0.55</w:t>
                  </w:r>
                </w:p>
                <w:p>
                  <w:pPr>
                    <w:autoSpaceDN w:val="0"/>
                    <w:tabs>
                      <w:tab w:pos="1612" w:val="left"/>
                    </w:tabs>
                    <w:autoSpaceDE w:val="0"/>
                    <w:widowControl/>
                    <w:spacing w:line="144" w:lineRule="exact" w:before="190" w:after="0"/>
                    <w:ind w:left="52" w:right="1296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F7F7F"/>
                      <w:sz w:val="8"/>
                    </w:rPr>
                    <w:t xml:space="preserve">0.50 </w:t>
                  </w:r>
                  <w:r>
                    <w:br/>
                  </w:r>
                  <w:r>
                    <w:rPr>
                      <w:w w:val="97.40508686412464"/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Wan-Bench Score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60"/>
            <w:tcBorders>
              <w:start w:sz="5.357280254364014" w:val="single" w:color="#D0CDCD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.000000000000455" w:type="dxa"/>
            </w:tblPr>
            <w:tblGrid>
              <w:gridCol w:w="4260"/>
            </w:tblGrid>
            <w:tr>
              <w:trPr>
                <w:trHeight w:hRule="exact" w:val="2212"/>
              </w:trPr>
              <w:tc>
                <w:tcPr>
                  <w:tcW w:type="dxa" w:w="3900"/>
                  <w:tcBorders>
                    <w:top w:sz="5.357280254364014" w:val="single" w:color="#D0CDCD"/>
                    <w:end w:sz="5.357280254364014" w:val="single" w:color="#D0CDCD"/>
                    <w:bottom w:sz="5.357280254364014" w:val="single" w:color="#D0CDC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2.0000000000005" w:type="dxa"/>
                  </w:tblPr>
                  <w:tblGrid>
                    <w:gridCol w:w="3900"/>
                  </w:tblGrid>
                  <w:tr>
                    <w:trPr>
                      <w:trHeight w:hRule="exact" w:val="216"/>
                    </w:trPr>
                    <w:tc>
                      <w:tcPr>
                        <w:tcW w:type="dxa" w:w="2628"/>
                        <w:tcBorders>
                          <w:start w:sz="5.357280254364014" w:val="single" w:color="#D0CDCD"/>
                          <w:top w:sz="5.357280254364014" w:val="single" w:color="#D0CDCD"/>
                          <w:end w:sz="5.357280254364014" w:val="single" w:color="#D0CDCD"/>
                          <w:bottom w:sz="5.357280254364014" w:val="single" w:color="#D0CDC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545" w:type="dxa"/>
                        </w:tblPr>
                        <w:tblGrid>
                          <w:gridCol w:w="876"/>
                          <w:gridCol w:w="876"/>
                          <w:gridCol w:w="876"/>
                        </w:tblGrid>
                        <w:tr>
                          <w:trPr>
                            <w:trHeight w:hRule="exact" w:val="148"/>
                          </w:trPr>
                          <w:tc>
                            <w:tcPr>
                              <w:tcW w:type="dxa" w:w="10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Loss Rate of Wan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Draw Rate</w:t>
                              </w:r>
                            </w:p>
                          </w:tc>
                          <w:tc>
                            <w:tcPr>
                              <w:tcW w:type="dxa" w:w="9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Win Rate of Wan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780"/>
                    <w:gridCol w:w="780"/>
                    <w:gridCol w:w="780"/>
                    <w:gridCol w:w="780"/>
                    <w:gridCol w:w="780"/>
                  </w:tblGrid>
                  <w:tr>
                    <w:trPr>
                      <w:trHeight w:hRule="exact" w:val="82"/>
                    </w:trPr>
                    <w:tc>
                      <w:tcPr>
                        <w:tcW w:type="dxa" w:w="4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800"/>
                        <w:gridSpan w:val="2"/>
                        <w:vMerge w:val="restart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798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0.24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14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95959"/>
                            <w:sz w:val="8"/>
                          </w:rPr>
                          <w:t>CN-TopC</w:t>
                        </w:r>
                      </w:p>
                    </w:tc>
                    <w:tc>
                      <w:tcPr>
                        <w:tcW w:type="dxa" w:w="1560"/>
                        <w:gridSpan w:val="2"/>
                        <w:vMerge/>
                        <w:tcBorders>
                          <w:start w:sz="2.678640127182007" w:val="single" w:color="#D9D9D9"/>
                        </w:tcBorders>
                      </w:tcPr>
                      <w:p/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0" w:firstLine="0"/>
                          <w:jc w:val="left"/>
                        </w:pPr>
                        <w:r>
                          <w:rPr>
                            <w:shd w:val="clear" w:color="auto" w:fill="ffe091"/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>0.03</w:t>
                        </w: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64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0.73 </w:t>
                        </w:r>
                      </w:p>
                    </w:tc>
                  </w:tr>
                  <w:tr>
                    <w:trPr>
                      <w:trHeight w:hRule="exact" w:val="416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95959"/>
                            <w:sz w:val="8"/>
                          </w:rPr>
                          <w:t>Runway</w:t>
                        </w:r>
                      </w:p>
                    </w:tc>
                    <w:tc>
                      <w:tcPr>
                        <w:tcW w:type="dxa" w:w="484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484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484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0.15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left"/>
                        </w:pPr>
                        <w:r>
                          <w:rPr>
                            <w:shd w:val="clear" w:color="auto" w:fill="ffe091"/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>0.03</w:t>
                        </w: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0.82 </w:t>
                        </w:r>
                      </w:p>
                    </w:tc>
                  </w:tr>
                  <w:tr>
                    <w:trPr>
                      <w:trHeight w:hRule="exact" w:val="414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95959"/>
                            <w:sz w:val="8"/>
                          </w:rPr>
                          <w:t>CN-TopB</w:t>
                        </w:r>
                      </w:p>
                    </w:tc>
                    <w:tc>
                      <w:tcPr>
                        <w:tcW w:type="dxa" w:w="800"/>
                        <w:gridSpan w:val="2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800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0.24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28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216"/>
                              <w:tcBorders/>
                              <w:shd w:fill="ffe09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0.08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56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0.68 </w:t>
                        </w: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95959"/>
                            <w:sz w:val="8"/>
                          </w:rPr>
                          <w:t>CN-TopA</w:t>
                        </w:r>
                      </w:p>
                    </w:tc>
                    <w:tc>
                      <w:tcPr>
                        <w:tcW w:type="dxa" w:w="800"/>
                        <w:gridSpan w:val="2"/>
                        <w:vMerge w:val="restart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636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132" w:firstLine="0"/>
                                <w:jc w:val="right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0.25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6.000000000000227" w:type="dxa"/>
                        </w:tblPr>
                        <w:tblGrid>
                          <w:gridCol w:w="228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202"/>
                              <w:tcBorders/>
                              <w:shd w:fill="ffe09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0.06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58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0.69 </w:t>
                        </w:r>
                      </w:p>
                    </w:tc>
                  </w:tr>
                  <w:tr>
                    <w:trPr>
                      <w:trHeight w:hRule="exact" w:val="84"/>
                    </w:trPr>
                    <w:tc>
                      <w:tcPr>
                        <w:tcW w:type="dxa" w:w="4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560"/>
                        <w:gridSpan w:val="2"/>
                        <w:vMerge/>
                        <w:tcBorders>
                          <w:start w:sz="2.678640127182007" w:val="single" w:color="#D9D9D9"/>
                        </w:tcBorders>
                      </w:tcPr>
                      <w:p/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8" w:lineRule="exact" w:before="14" w:after="0"/>
                    <w:ind w:left="0" w:right="1072" w:firstLine="0"/>
                    <w:jc w:val="right"/>
                  </w:pPr>
                  <w:r>
                    <w:rPr>
                      <w:w w:val="97.40508686412464"/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Human Preference Win Rate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180" w:after="0"/>
        <w:ind w:left="1942" w:right="720" w:firstLine="0"/>
        <w:jc w:val="both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Figure 1: Comparison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with state-of-the-art open-source and closed-source models. Following </w:t>
      </w:r>
      <w:r>
        <w:rPr>
          <w:rFonts w:ascii="" w:hAnsi="" w:eastAsia=""/>
          <w:b w:val="0"/>
          <w:i w:val="0"/>
          <w:color w:val="000000"/>
          <w:sz w:val="20"/>
        </w:rPr>
        <w:t>both benchmark and human evaluations,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consistently demonstrated superior results. Note that </w:t>
      </w:r>
      <w:r>
        <w:rPr>
          <w:rFonts w:ascii="" w:hAnsi="" w:eastAsia=""/>
          <w:b w:val="0"/>
          <w:i w:val="0"/>
          <w:color w:val="000000"/>
          <w:sz w:val="20"/>
        </w:rPr>
        <w:t>HunyuanVideo</w:t>
      </w:r>
      <w:r>
        <w:rPr>
          <w:rFonts w:ascii="" w:hAnsi="" w:eastAsia=""/>
          <w:b w:val="0"/>
          <w:i w:val="0"/>
          <w:color w:val="00FF00"/>
          <w:sz w:val="20"/>
        </w:rPr>
        <w:t xml:space="preserve"> Kong et al.</w:t>
      </w:r>
      <w:r>
        <w:rPr>
          <w:rFonts w:ascii="" w:hAnsi="" w:eastAsia=""/>
          <w:b w:val="0"/>
          <w:i w:val="0"/>
          <w:color w:val="000000"/>
          <w:sz w:val="20"/>
        </w:rPr>
        <w:t xml:space="preserve"> (</w:t>
      </w:r>
      <w:r>
        <w:rPr>
          <w:rFonts w:ascii="" w:hAnsi="" w:eastAsia=""/>
          <w:b w:val="0"/>
          <w:i w:val="0"/>
          <w:color w:val="00FF00"/>
          <w:sz w:val="20"/>
        </w:rPr>
        <w:t>2024</w:t>
      </w:r>
      <w:r>
        <w:rPr>
          <w:rFonts w:ascii="" w:hAnsi="" w:eastAsia=""/>
          <w:b w:val="0"/>
          <w:i w:val="0"/>
          <w:color w:val="000000"/>
          <w:sz w:val="20"/>
        </w:rPr>
        <w:t>) is tested using the open-source model.</w:t>
      </w:r>
    </w:p>
    <w:p>
      <w:pPr>
        <w:autoSpaceDN w:val="0"/>
        <w:autoSpaceDE w:val="0"/>
        <w:widowControl/>
        <w:spacing w:line="200" w:lineRule="exact" w:before="464" w:after="0"/>
        <w:ind w:left="0" w:right="4638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796" w:right="1440" w:bottom="298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88" w:lineRule="exact" w:before="0" w:after="116"/>
        <w:ind w:left="720" w:right="0" w:firstLine="0"/>
        <w:jc w:val="left"/>
      </w:pPr>
      <w:r>
        <w:rPr>
          <w:w w:val="98.93931027116447"/>
          <w:rFonts w:ascii="" w:hAnsi="" w:eastAsia=""/>
          <w:b/>
          <w:i w:val="0"/>
          <w:color w:val="000000"/>
          <w:sz w:val="29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Related Work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Data Processing Pipeline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4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9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Data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Data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3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Dense Video Caption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3.3.1</w:t>
            </w:r>
          </w:p>
        </w:tc>
        <w:tc>
          <w:tcPr>
            <w:tcW w:type="dxa" w:w="1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Open Source Dataset</w:t>
            </w:r>
          </w:p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3.3.2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In-house Dataset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256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Model Design and Acceleration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246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9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3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Spatio-temporal Variational Autoencoder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Training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Efficient Inference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12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Training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Video Diffusion Transformer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Scaling and Training Efficiency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4.3.1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Workload Analysis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Parallelism Strategy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16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Memory Optimization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Cluster Reliability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Inference . . 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 Strategy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Diffusion Cache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Quantization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4.5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Prompt Alignment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19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4.6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Benchmarks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Metrics and Results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4.7.2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Ablation Study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rPr>
          <w:trHeight w:hRule="exact" w:val="270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Extended Applications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230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Image-to-Video Generation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Unified Video Editing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30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31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Datasets and Implementation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34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2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Text-to-Image Generation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Video Personalization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37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5.5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Camera Motion Controllability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2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Real-time Video Generation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5.6.1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Method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5.6.2</w:t>
            </w:r>
          </w:p>
        </w:tc>
        <w:tc>
          <w:tcPr>
            <w:tcW w:type="dxa" w:w="2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Streaming Video Generation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40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Consistency Model Distillation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Audio Generation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45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56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Limitation and Conclusion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30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Contributors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00" w:lineRule="exact" w:before="4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80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5054600</wp:posOffset>
            </wp:positionV>
            <wp:extent cx="5029200" cy="1485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8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3094990</wp:posOffset>
            </wp:positionH>
            <wp:positionV relativeFrom="page">
              <wp:posOffset>5260340</wp:posOffset>
            </wp:positionV>
            <wp:extent cx="276860" cy="26228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62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1438910</wp:posOffset>
            </wp:positionH>
            <wp:positionV relativeFrom="page">
              <wp:posOffset>5429250</wp:posOffset>
            </wp:positionV>
            <wp:extent cx="726440" cy="73912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7391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5416550</wp:posOffset>
            </wp:positionV>
            <wp:extent cx="726439" cy="73912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439" cy="7391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1197610</wp:posOffset>
            </wp:positionV>
            <wp:extent cx="679450" cy="6794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1197610</wp:posOffset>
            </wp:positionV>
            <wp:extent cx="683260" cy="68326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3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1168400</wp:posOffset>
            </wp:positionV>
            <wp:extent cx="1219200" cy="736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1295400</wp:posOffset>
            </wp:positionV>
            <wp:extent cx="292100" cy="279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4712970</wp:posOffset>
            </wp:positionH>
            <wp:positionV relativeFrom="page">
              <wp:posOffset>1193800</wp:posOffset>
            </wp:positionV>
            <wp:extent cx="679450" cy="68228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822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3148330</wp:posOffset>
            </wp:positionH>
            <wp:positionV relativeFrom="page">
              <wp:posOffset>1193800</wp:posOffset>
            </wp:positionV>
            <wp:extent cx="683259" cy="68325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1244600</wp:posOffset>
            </wp:positionV>
            <wp:extent cx="508000" cy="381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1943100</wp:posOffset>
            </wp:positionV>
            <wp:extent cx="1816100" cy="7366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1968500</wp:posOffset>
            </wp:positionV>
            <wp:extent cx="680719" cy="6807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1978660</wp:posOffset>
            </wp:positionV>
            <wp:extent cx="681990" cy="6819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1968500</wp:posOffset>
            </wp:positionV>
            <wp:extent cx="683260" cy="68468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468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2057400</wp:posOffset>
            </wp:positionV>
            <wp:extent cx="139700" cy="2540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3925570</wp:posOffset>
            </wp:positionH>
            <wp:positionV relativeFrom="page">
              <wp:posOffset>1968500</wp:posOffset>
            </wp:positionV>
            <wp:extent cx="680719" cy="679304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9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3145790</wp:posOffset>
            </wp:positionH>
            <wp:positionV relativeFrom="page">
              <wp:posOffset>2758440</wp:posOffset>
            </wp:positionV>
            <wp:extent cx="679450" cy="6794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2730500</wp:posOffset>
            </wp:positionV>
            <wp:extent cx="1955800" cy="736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2758440</wp:posOffset>
            </wp:positionV>
            <wp:extent cx="679450" cy="6794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2758440</wp:posOffset>
            </wp:positionV>
            <wp:extent cx="683260" cy="68654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6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3933190</wp:posOffset>
            </wp:positionH>
            <wp:positionV relativeFrom="page">
              <wp:posOffset>2758440</wp:posOffset>
            </wp:positionV>
            <wp:extent cx="679450" cy="6794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3136900</wp:posOffset>
            </wp:positionV>
            <wp:extent cx="406400" cy="228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4725670</wp:posOffset>
            </wp:positionH>
            <wp:positionV relativeFrom="page">
              <wp:posOffset>2758440</wp:posOffset>
            </wp:positionV>
            <wp:extent cx="680719" cy="68071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3136900</wp:posOffset>
            </wp:positionV>
            <wp:extent cx="393700" cy="2286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3542029</wp:posOffset>
            </wp:positionV>
            <wp:extent cx="679450" cy="67803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80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3539490</wp:posOffset>
            </wp:positionV>
            <wp:extent cx="683260" cy="68787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78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3517900</wp:posOffset>
            </wp:positionV>
            <wp:extent cx="1270000" cy="7239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3530600</wp:posOffset>
            </wp:positionV>
            <wp:extent cx="1206500" cy="736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4706620</wp:posOffset>
            </wp:positionH>
            <wp:positionV relativeFrom="page">
              <wp:posOffset>3558540</wp:posOffset>
            </wp:positionV>
            <wp:extent cx="683259" cy="68325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3558540</wp:posOffset>
            </wp:positionV>
            <wp:extent cx="683259" cy="68325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3558540</wp:posOffset>
            </wp:positionV>
            <wp:extent cx="680719" cy="676181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61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3759200</wp:posOffset>
            </wp:positionV>
            <wp:extent cx="393700" cy="2286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62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244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Video frames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250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Ground Truth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248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Mochi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178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Hunyuan Video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CogVideoX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940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Ours</w:t>
            </w:r>
          </w:p>
        </w:tc>
      </w:tr>
      <w:tr>
        <w:trPr>
          <w:trHeight w:hRule="exact" w:val="1228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79450" cy="6794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679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50" cy="6794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679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0000000000023" w:type="dxa"/>
            </w:tblPr>
            <w:tblGrid>
              <w:gridCol w:w="1740"/>
            </w:tblGrid>
            <w:tr>
              <w:trPr>
                <w:trHeight w:hRule="exact" w:val="1082"/>
              </w:trPr>
              <w:tc>
                <w:tcPr>
                  <w:tcW w:type="dxa" w:w="1108"/>
                  <w:tcBorders>
                    <w:start w:sz="24.588224411010742" w:val="single" w:color="#4471C4"/>
                    <w:top w:sz="24.588224411010742" w:val="single" w:color="#4471C4"/>
                    <w:end w:sz="24.588224411010742" w:val="single" w:color="#4471C4"/>
                    <w:bottom w:sz="24.588224411010742" w:val="single" w:color="#4471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83259" cy="67945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3259" cy="679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48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740"/>
            </w:tblGrid>
            <w:tr>
              <w:trPr>
                <w:trHeight w:hRule="exact" w:val="1082"/>
              </w:trPr>
              <w:tc>
                <w:tcPr>
                  <w:tcW w:type="dxa" w:w="1100"/>
                  <w:tcBorders>
                    <w:start w:sz="24.588224411010742" w:val="single" w:color="#4471C4"/>
                    <w:top w:sz="24.588224411010742" w:val="single" w:color="#4471C4"/>
                    <w:end w:sz="24.588224411010742" w:val="single" w:color="#4471C4"/>
                    <w:bottom w:sz="24.588224411010742" w:val="single" w:color="#4471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79450" cy="67945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9450" cy="679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96.0" w:type="dxa"/>
      </w:tblPr>
      <w:tblGrid>
        <w:gridCol w:w="9360"/>
      </w:tblGrid>
      <w:tr>
        <w:trPr>
          <w:trHeight w:hRule="exact" w:val="1104"/>
        </w:trPr>
        <w:tc>
          <w:tcPr>
            <w:tcW w:type="dxa" w:w="1108"/>
            <w:tcBorders>
              <w:start w:sz="24.588224411010742" w:val="single" w:color="#4471C4"/>
              <w:top w:sz="24.588224411010742" w:val="single" w:color="#4471C4"/>
              <w:end w:sz="24.588224411010742" w:val="single" w:color="#4471C4"/>
              <w:bottom w:sz="24.588224411010742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3259" cy="680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59" cy="68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42" w:after="0"/>
        <w:ind w:left="0" w:right="35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81989" cy="680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989" cy="68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68" w:after="0"/>
        <w:ind w:left="714" w:right="720" w:firstLine="6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Figure 8: Visualization results of video reconstruction across different scenarios, including texture </w:t>
      </w:r>
      <w:r>
        <w:rPr>
          <w:rFonts w:ascii="" w:hAnsi="" w:eastAsia=""/>
          <w:b w:val="0"/>
          <w:i w:val="0"/>
          <w:color w:val="000000"/>
          <w:sz w:val="20"/>
        </w:rPr>
        <w:t xml:space="preserve">(first row), face (second row), text (third row), and high-motion (fourth row). The above videos have </w:t>
      </w:r>
      <w:r>
        <w:rPr>
          <w:rFonts w:ascii="" w:hAnsi="" w:eastAsia=""/>
          <w:b w:val="0"/>
          <w:i w:val="0"/>
          <w:color w:val="000000"/>
          <w:sz w:val="20"/>
        </w:rPr>
        <w:t>rich details but are not used in training.</w:t>
      </w:r>
    </w:p>
    <w:p>
      <w:pPr>
        <w:autoSpaceDN w:val="0"/>
        <w:autoSpaceDE w:val="0"/>
        <w:widowControl/>
        <w:spacing w:line="162" w:lineRule="exact" w:before="430" w:after="0"/>
        <w:ind w:left="0" w:right="3088" w:firstLine="0"/>
        <w:jc w:val="right"/>
      </w:pPr>
      <w:r>
        <w:rPr>
          <w:w w:val="103.18747838338216"/>
          <w:rFonts w:ascii="" w:hAnsi="" w:eastAsia=""/>
          <w:b w:val="0"/>
          <w:i w:val="0"/>
          <w:color w:val="000000"/>
          <w:sz w:val="15"/>
        </w:rPr>
        <w:t>Diffusion Process</w:t>
      </w:r>
    </w:p>
    <w:p>
      <w:pPr>
        <w:autoSpaceDN w:val="0"/>
        <w:autoSpaceDE w:val="0"/>
        <w:widowControl/>
        <w:spacing w:line="210" w:lineRule="exact" w:before="178" w:after="324"/>
        <w:ind w:left="0" w:right="4136" w:firstLine="0"/>
        <w:jc w:val="right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Timestep 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120"/>
        <w:gridCol w:w="3120"/>
        <w:gridCol w:w="3120"/>
      </w:tblGrid>
      <w:tr>
        <w:trPr>
          <w:trHeight w:hRule="exact" w:val="49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1152" w:right="576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Encoder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536" w:firstLine="0"/>
              <w:jc w:val="right"/>
            </w:pPr>
            <w:r>
              <w:rPr>
                <w:w w:val="97.76895311143663"/>
                <w:rFonts w:ascii="" w:hAnsi="" w:eastAsia=""/>
                <w:b/>
                <w:i w:val="0"/>
                <w:color w:val="FF0000"/>
                <w:sz w:val="18"/>
              </w:rPr>
              <w:t xml:space="preserve">N </w:t>
            </w:r>
            <w:r>
              <w:rPr>
                <w:w w:val="97.76895311143663"/>
                <w:rFonts w:ascii="" w:hAnsi="" w:eastAsia=""/>
                <w:b w:val="0"/>
                <w:i w:val="0"/>
                <w:color w:val="FF0000"/>
                <w:sz w:val="18"/>
              </w:rPr>
              <w:t>x</w:t>
            </w:r>
            <w:r>
              <w:rPr>
                <w:w w:val="97.76895311143663"/>
                <w:rFonts w:ascii="" w:hAnsi="" w:eastAsia=""/>
                <w:b w:val="0"/>
                <w:i w:val="0"/>
                <w:color w:val="000000"/>
                <w:sz w:val="18"/>
              </w:rPr>
              <w:t xml:space="preserve"> DiT Blocks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432" w:right="1008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Decoder</w:t>
            </w:r>
          </w:p>
        </w:tc>
      </w:tr>
    </w:tbl>
    <w:p>
      <w:pPr>
        <w:autoSpaceDN w:val="0"/>
        <w:autoSpaceDE w:val="0"/>
        <w:widowControl/>
        <w:spacing w:line="210" w:lineRule="exact" w:before="92" w:after="0"/>
        <w:ind w:left="0" w:right="3420" w:firstLine="0"/>
        <w:jc w:val="right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Cross Attention</w:t>
      </w:r>
    </w:p>
    <w:p>
      <w:pPr>
        <w:autoSpaceDN w:val="0"/>
        <w:tabs>
          <w:tab w:pos="1052" w:val="left"/>
          <w:tab w:pos="4710" w:val="left"/>
        </w:tabs>
        <w:autoSpaceDE w:val="0"/>
        <w:widowControl/>
        <w:spacing w:line="274" w:lineRule="exact" w:before="2" w:after="0"/>
        <w:ind w:left="884" w:right="0" w:firstLine="0"/>
        <w:jc w:val="left"/>
      </w:pPr>
      <w:r>
        <w:rPr>
          <w:w w:val="96.37685255570845"/>
          <w:rFonts w:ascii="" w:hAnsi="" w:eastAsia=""/>
          <w:b w:val="0"/>
          <w:i w:val="0"/>
          <w:color w:val="333333"/>
          <w:sz w:val="11"/>
        </w:rPr>
        <w:t xml:space="preserve">cardboard that says "Wan2.1”. </w:t>
      </w:r>
      <w:r>
        <w:rPr>
          <w:w w:val="96.37685255570845"/>
          <w:rFonts w:ascii="" w:hAnsi="" w:eastAsia=""/>
          <w:b w:val="0"/>
          <w:i w:val="0"/>
          <w:color w:val="333333"/>
          <w:sz w:val="11"/>
        </w:rPr>
        <w:t xml:space="preserve">A panda is holding up a </w:t>
      </w:r>
      <w:r>
        <w:tab/>
      </w:r>
      <w:r>
        <w:rPr>
          <w:w w:val="96.927581514631"/>
          <w:rFonts w:ascii="" w:hAnsi="" w:eastAsia=""/>
          <w:b w:val="0"/>
          <w:i w:val="0"/>
          <w:color w:val="000000"/>
          <w:sz w:val="14"/>
        </w:rPr>
        <w:t>umT5</w:t>
      </w:r>
    </w:p>
    <w:p>
      <w:pPr>
        <w:autoSpaceDN w:val="0"/>
        <w:autoSpaceDE w:val="0"/>
        <w:widowControl/>
        <w:spacing w:line="210" w:lineRule="exact" w:before="38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Figure 9: Architecture of the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546" w:after="0"/>
        <w:ind w:left="720" w:right="716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features while reducing blurring and distortion around the lips. In the text scene illustrated in the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third row, our method successfully restores textual content with clarity, mitigating issues of character </w:t>
      </w:r>
      <w:r>
        <w:rPr>
          <w:rFonts w:ascii="" w:hAnsi="" w:eastAsia=""/>
          <w:b w:val="0"/>
          <w:i w:val="0"/>
          <w:color w:val="000000"/>
          <w:sz w:val="20"/>
        </w:rPr>
        <w:t>distortion and loss. In the high-motion scene presented in the fourth row,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-VAE maintains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motion sharpness of video frames. These results indicate that our method offers significant advantages </w:t>
      </w:r>
      <w:r>
        <w:rPr>
          <w:rFonts w:ascii="" w:hAnsi="" w:eastAsia=""/>
          <w:b w:val="0"/>
          <w:i w:val="0"/>
          <w:color w:val="000000"/>
          <w:sz w:val="20"/>
        </w:rPr>
        <w:t>in handling a variety of complex scenarios.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41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</w:p>
    <w:p>
      <w:pPr>
        <w:autoSpaceDN w:val="0"/>
        <w:autoSpaceDE w:val="0"/>
        <w:widowControl/>
        <w:spacing w:line="218" w:lineRule="exact" w:before="236" w:after="0"/>
        <w:ind w:left="716" w:right="720" w:firstLine="4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In this section, we will provide a detailed introduction to the architecture design of the foundational 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model, specifically for the text-to-video task, along with the details of the pre-training and </w:t>
      </w:r>
      <w:r>
        <w:rPr>
          <w:rFonts w:ascii="" w:hAnsi="" w:eastAsia=""/>
          <w:b w:val="0"/>
          <w:i w:val="0"/>
          <w:color w:val="000000"/>
          <w:sz w:val="20"/>
        </w:rPr>
        <w:t>post-training phases.</w:t>
      </w:r>
    </w:p>
    <w:p>
      <w:pPr>
        <w:autoSpaceDN w:val="0"/>
        <w:autoSpaceDE w:val="0"/>
        <w:widowControl/>
        <w:spacing w:line="230" w:lineRule="exact" w:before="108" w:after="0"/>
        <w:ind w:left="576" w:right="576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In Fig.</w:t>
      </w:r>
      <w:r>
        <w:rPr>
          <w:rFonts w:ascii="" w:hAnsi="" w:eastAsia=""/>
          <w:b w:val="0"/>
          <w:i w:val="0"/>
          <w:color w:val="71BBB3"/>
          <w:sz w:val="20"/>
        </w:rPr>
        <w:t xml:space="preserve"> 9</w:t>
      </w:r>
      <w:r>
        <w:rPr>
          <w:rFonts w:ascii="" w:hAnsi="" w:eastAsia=""/>
          <w:b w:val="0"/>
          <w:i w:val="0"/>
          <w:color w:val="000000"/>
          <w:sz w:val="20"/>
        </w:rPr>
        <w:t>, we present the architecture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which is designed based on the current mainstream </w:t>
      </w:r>
      <w:r>
        <w:rPr>
          <w:rFonts w:ascii="" w:hAnsi="" w:eastAsia=""/>
          <w:b w:val="0"/>
          <w:i w:val="0"/>
          <w:color w:val="000000"/>
          <w:sz w:val="20"/>
        </w:rPr>
        <w:t>DiT (</w:t>
      </w:r>
      <w:r>
        <w:rPr>
          <w:rFonts w:ascii="" w:hAnsi="" w:eastAsia=""/>
          <w:b w:val="0"/>
          <w:i w:val="0"/>
          <w:color w:val="00FF00"/>
          <w:sz w:val="20"/>
        </w:rPr>
        <w:t>Peebles &amp; Xie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architecture, which typically consists of three primary components: </w:t>
      </w:r>
      <w:r>
        <w:rPr>
          <w:rFonts w:ascii="" w:hAnsi="" w:eastAsia=""/>
          <w:b w:val="0"/>
          <w:i w:val="0"/>
          <w:color w:val="000000"/>
          <w:sz w:val="20"/>
        </w:rPr>
        <w:t>Wan</w:t>
      </w:r>
      <w:r>
        <w:rPr>
          <w:rFonts w:ascii="" w:hAnsi="" w:eastAsia=""/>
          <w:b w:val="0"/>
          <w:i w:val="0"/>
          <w:color w:val="000000"/>
          <w:sz w:val="20"/>
        </w:rPr>
        <w:t>-VAE, diffusion transformer, and text encoder. For a given video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(1+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)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×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, the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8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4688840</wp:posOffset>
            </wp:positionH>
            <wp:positionV relativeFrom="page">
              <wp:posOffset>2162810</wp:posOffset>
            </wp:positionV>
            <wp:extent cx="1136650" cy="1877531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8775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5866130</wp:posOffset>
            </wp:positionH>
            <wp:positionV relativeFrom="page">
              <wp:posOffset>2240280</wp:posOffset>
            </wp:positionV>
            <wp:extent cx="494030" cy="25802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" cy="258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26" w:after="0"/>
        <w:ind w:left="720" w:right="720" w:firstLine="0"/>
        <w:jc w:val="left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encoder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-VAE encodes it from pixel space into the latent space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1+</w:t>
      </w:r>
      <w:r>
        <w:rPr>
          <w:rFonts w:ascii="CMMI7" w:hAnsi="CMMI7" w:eastAsia="CMMI7"/>
          <w:b w:val="0"/>
          <w:i/>
          <w:color w:val="000000"/>
          <w:sz w:val="14"/>
        </w:rPr>
        <w:t>T/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which </w:t>
      </w:r>
      <w:r>
        <w:rPr>
          <w:rFonts w:ascii="" w:hAnsi="" w:eastAsia=""/>
          <w:b w:val="0"/>
          <w:i w:val="0"/>
          <w:color w:val="000000"/>
          <w:sz w:val="20"/>
        </w:rPr>
        <w:t>is then fed into the subsequent diffusion transformer structure.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9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4.2.1 </w:t>
      </w:r>
      <w:r>
        <w:rPr>
          <w:rFonts w:ascii="" w:hAnsi="" w:eastAsia=""/>
          <w:b w:val="0"/>
          <w:i w:val="0"/>
          <w:color w:val="000000"/>
          <w:sz w:val="20"/>
        </w:rPr>
        <w:t>V</w:t>
      </w:r>
      <w:r>
        <w:rPr>
          <w:rFonts w:ascii="" w:hAnsi="" w:eastAsia=""/>
          <w:b w:val="0"/>
          <w:i w:val="0"/>
          <w:color w:val="000000"/>
          <w:sz w:val="16"/>
        </w:rPr>
        <w:t>IDEO</w:t>
      </w:r>
      <w:r>
        <w:rPr>
          <w:rFonts w:ascii="" w:hAnsi="" w:eastAsia=""/>
          <w:b w:val="0"/>
          <w:i w:val="0"/>
          <w:color w:val="000000"/>
          <w:sz w:val="20"/>
        </w:rPr>
        <w:t xml:space="preserve"> D</w:t>
      </w:r>
      <w:r>
        <w:rPr>
          <w:rFonts w:ascii="" w:hAnsi="" w:eastAsia=""/>
          <w:b w:val="0"/>
          <w:i w:val="0"/>
          <w:color w:val="000000"/>
          <w:sz w:val="16"/>
        </w:rPr>
        <w:t>IFFUSION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RANSFORMER</w:t>
      </w:r>
    </w:p>
    <w:p>
      <w:pPr>
        <w:autoSpaceDN w:val="0"/>
        <w:autoSpaceDE w:val="0"/>
        <w:widowControl/>
        <w:spacing w:line="198" w:lineRule="exact" w:before="194" w:after="10"/>
        <w:ind w:left="720" w:right="0" w:firstLine="0"/>
        <w:jc w:val="left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Diffusion transformer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>. The diffusion transformer mainly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16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360" w:right="0" w:firstLine="0"/>
              <w:jc w:val="left"/>
            </w:pPr>
            <w:r>
              <w:rPr>
                <w:w w:val="98.62470626831055"/>
                <w:rFonts w:ascii="" w:hAnsi="" w:eastAsia=""/>
                <w:b w:val="0"/>
                <w:i w:val="0"/>
                <w:color w:val="000000"/>
                <w:sz w:val="20"/>
              </w:rPr>
              <w:t>consists of three components: a patchifying module, trans-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4" w:after="0"/>
              <w:ind w:left="0" w:right="444" w:firstLine="0"/>
              <w:jc w:val="righ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V-Tokens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2" w:after="0"/>
              <w:ind w:left="0" w:right="0" w:firstLine="0"/>
              <w:jc w:val="center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Timestep</w:t>
            </w:r>
          </w:p>
        </w:tc>
      </w:tr>
      <w:tr>
        <w:trPr>
          <w:trHeight w:hRule="exact" w:val="220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360" w:right="0" w:firstLine="0"/>
              <w:jc w:val="left"/>
            </w:pPr>
            <w:r>
              <w:rPr>
                <w:w w:val="98.9261531829834"/>
                <w:rFonts w:ascii="" w:hAnsi="" w:eastAsia=""/>
                <w:b w:val="0"/>
                <w:i w:val="0"/>
                <w:color w:val="000000"/>
                <w:sz w:val="20"/>
              </w:rPr>
              <w:t>former blocks, and an unpatchifying module. Within each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block, we focus on effectively modeling spatio-temporal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98" w:after="0"/>
              <w:ind w:left="0" w:right="372" w:firstLine="0"/>
              <w:jc w:val="righ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Layer Norm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98" w:after="0"/>
              <w:ind w:left="0" w:right="0" w:firstLine="0"/>
              <w:jc w:val="center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MLP</w:t>
            </w:r>
          </w:p>
        </w:tc>
      </w:tr>
      <w:tr>
        <w:trPr>
          <w:trHeight w:hRule="exact" w:val="222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contextual relationships and embedding text conditions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tabs>
          <w:tab w:pos="6438" w:val="left"/>
        </w:tabs>
        <w:autoSpaceDE w:val="0"/>
        <w:widowControl/>
        <w:spacing w:line="214" w:lineRule="exact" w:before="0" w:after="0"/>
        <w:ind w:left="720" w:right="201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alongside time steps. In the patchifying module, we use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a 3D convolution with a kernel size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2)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apply </w:t>
      </w:r>
      <w:r>
        <w:tab/>
      </w:r>
      <w:r>
        <w:rPr>
          <w:w w:val="102.48663975642278"/>
          <w:rFonts w:ascii="" w:hAnsi="" w:eastAsia=""/>
          <w:b w:val="0"/>
          <w:i w:val="0"/>
          <w:color w:val="0D0D0D"/>
          <w:sz w:val="13"/>
        </w:rPr>
        <w:t>Self-Attention</w:t>
      </w:r>
    </w:p>
    <w:p>
      <w:pPr>
        <w:autoSpaceDN w:val="0"/>
        <w:autoSpaceDE w:val="0"/>
        <w:widowControl/>
        <w:spacing w:line="204" w:lineRule="exact" w:before="16" w:after="6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a flattening operation to convert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" w:hAnsi="" w:eastAsia=""/>
          <w:b w:val="0"/>
          <w:i w:val="0"/>
          <w:color w:val="000000"/>
          <w:sz w:val="20"/>
        </w:rPr>
        <w:t xml:space="preserve"> into a sequence of fea-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01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tures with the shape 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B, L, 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, 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denotes the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0" w:after="0"/>
              <w:ind w:left="0" w:right="0" w:firstLine="0"/>
              <w:jc w:val="center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T-Tokens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6" w:after="0"/>
              <w:ind w:left="432" w:right="0" w:firstLine="0"/>
              <w:jc w:val="lef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Layer Norm</w:t>
            </w:r>
          </w:p>
        </w:tc>
      </w:tr>
      <w:tr>
        <w:trPr>
          <w:trHeight w:hRule="exact" w:val="239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batch size,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(1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H/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16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16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represents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88" w:after="0"/>
              <w:ind w:left="332" w:right="0" w:firstLine="0"/>
              <w:jc w:val="lef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Cross-Attention</w:t>
            </w:r>
          </w:p>
        </w:tc>
      </w:tr>
      <w:tr>
        <w:trPr>
          <w:trHeight w:hRule="exact" w:val="203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60" w:right="0" w:firstLine="0"/>
              <w:jc w:val="left"/>
            </w:pP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>the sequence length, 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 indicates the latent dimension.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37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360" w:right="0" w:firstLine="0"/>
              <w:jc w:val="left"/>
            </w:pPr>
            <w:r>
              <w:rPr>
                <w:w w:val="98.77554893493652"/>
                <w:rFonts w:ascii="" w:hAnsi="" w:eastAsia=""/>
                <w:b w:val="0"/>
                <w:i w:val="0"/>
                <w:color w:val="000000"/>
                <w:sz w:val="20"/>
              </w:rPr>
              <w:t>Specifically, as illustrated in Fig.</w:t>
            </w:r>
            <w:r>
              <w:rPr>
                <w:w w:val="98.77554893493652"/>
                <w:rFonts w:ascii="" w:hAnsi="" w:eastAsia=""/>
                <w:b w:val="0"/>
                <w:i w:val="0"/>
                <w:color w:val="71BBB3"/>
                <w:sz w:val="20"/>
              </w:rPr>
              <w:t xml:space="preserve"> 10</w:t>
            </w:r>
            <w:r>
              <w:rPr>
                <w:w w:val="98.77554893493652"/>
                <w:rFonts w:ascii="" w:hAnsi="" w:eastAsia=""/>
                <w:b w:val="0"/>
                <w:i w:val="0"/>
                <w:color w:val="000000"/>
                <w:sz w:val="20"/>
              </w:rPr>
              <w:t>, we employ the cross-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0" w:after="0"/>
              <w:ind w:left="432" w:right="0" w:firstLine="0"/>
              <w:jc w:val="lef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Layer Norm</w:t>
            </w:r>
          </w:p>
        </w:tc>
      </w:tr>
      <w:tr>
        <w:trPr>
          <w:trHeight w:hRule="exact" w:val="22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attention mechanism to embed the input text conditions,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6" w:after="8"/>
        <w:ind w:left="712" w:right="0" w:firstLine="0"/>
        <w:jc w:val="left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which can ensure the model’s ability to follow instructions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08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even under long-context modeling. Additionally, we em-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8" w:after="0"/>
              <w:ind w:left="0" w:right="378" w:firstLine="0"/>
              <w:jc w:val="righ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FFN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0" w:right="684" w:firstLine="0"/>
              <w:jc w:val="right"/>
            </w:pPr>
            <w:r>
              <w:rPr>
                <w:w w:val="101.31230036417642"/>
                <w:rFonts w:ascii="" w:hAnsi="" w:eastAsia=""/>
                <w:b w:val="0"/>
                <w:i w:val="0"/>
                <w:color w:val="000000"/>
                <w:sz w:val="15"/>
              </w:rPr>
              <w:t xml:space="preserve">N </w:t>
            </w:r>
            <w:r>
              <w:rPr>
                <w:w w:val="101.31230036417642"/>
                <w:rFonts w:ascii="" w:hAnsi="" w:eastAsia=""/>
                <w:b w:val="0"/>
                <w:i w:val="0"/>
                <w:color w:val="000000"/>
                <w:sz w:val="15"/>
              </w:rPr>
              <w:t>×</w:t>
            </w:r>
          </w:p>
        </w:tc>
      </w:tr>
      <w:tr>
        <w:trPr>
          <w:trHeight w:hRule="exact" w:val="232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ploy an MLP with a Linear layer and a SiLU (</w:t>
            </w:r>
            <w:r>
              <w:rPr>
                <w:rFonts w:ascii="" w:hAnsi="" w:eastAsia=""/>
                <w:b w:val="0"/>
                <w:i w:val="0"/>
                <w:color w:val="00FF00"/>
                <w:sz w:val="20"/>
              </w:rPr>
              <w:t>Elfwing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8" w:after="18"/>
        <w:ind w:left="720" w:right="0" w:firstLine="0"/>
        <w:jc w:val="left"/>
      </w:pPr>
      <w:r>
        <w:rPr>
          <w:rFonts w:ascii="" w:hAnsi="" w:eastAsia=""/>
          <w:b w:val="0"/>
          <w:i w:val="0"/>
          <w:color w:val="00FF00"/>
          <w:sz w:val="20"/>
        </w:rPr>
        <w:t>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2018</w:t>
      </w:r>
      <w:r>
        <w:rPr>
          <w:rFonts w:ascii="" w:hAnsi="" w:eastAsia=""/>
          <w:b w:val="0"/>
          <w:i w:val="0"/>
          <w:color w:val="000000"/>
          <w:sz w:val="20"/>
        </w:rPr>
        <w:t>) layer to process the input time embeddings</w:t>
      </w:r>
    </w:p>
    <w:p>
      <w:pPr>
        <w:sectPr>
          <w:pgSz w:w="12240" w:h="15840"/>
          <w:pgMar w:top="8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720" w:right="132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and predict six modulation parameters individually. This </w:t>
      </w:r>
      <w:r>
        <w:rPr>
          <w:rFonts w:ascii="" w:hAnsi="" w:eastAsia=""/>
          <w:b w:val="0"/>
          <w:i w:val="0"/>
          <w:color w:val="000000"/>
          <w:sz w:val="20"/>
        </w:rPr>
        <w:t xml:space="preserve">MLP is shared across all transformer blocks, with each </w:t>
      </w:r>
      <w:r>
        <w:rPr>
          <w:rFonts w:ascii="" w:hAnsi="" w:eastAsia=""/>
          <w:b w:val="0"/>
          <w:i w:val="0"/>
          <w:color w:val="000000"/>
          <w:sz w:val="20"/>
        </w:rPr>
        <w:t>block learning a distinct set of biases. Through extensive</w:t>
      </w:r>
    </w:p>
    <w:p>
      <w:pPr>
        <w:sectPr>
          <w:type w:val="continuous"/>
          <w:pgSz w:w="12240" w:h="15840"/>
          <w:pgMar w:top="820" w:right="1440" w:bottom="298" w:left="1440" w:header="720" w:footer="720" w:gutter="0"/>
          <w:cols w:num="2" w:equalWidth="0">
            <w:col w:w="5404" w:space="0"/>
            <w:col w:w="3956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276"/>
        <w:ind w:left="132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Figure 10: Transformer block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sectPr>
          <w:type w:val="nextColumn"/>
          <w:pgSz w:w="12240" w:h="15840"/>
          <w:pgMar w:top="820" w:right="1440" w:bottom="298" w:left="1440" w:header="720" w:footer="720" w:gutter="0"/>
          <w:cols w:num="2" w:equalWidth="0">
            <w:col w:w="5404" w:space="0"/>
            <w:col w:w="3956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716" w:right="712" w:firstLine="4"/>
        <w:jc w:val="both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experiments, we have demonstrated that this design can reduce the parameter count by approximately </w:t>
      </w:r>
      <w:r>
        <w:rPr>
          <w:rFonts w:ascii="CMR10" w:hAnsi="CMR10" w:eastAsia="CMR10"/>
          <w:b w:val="0"/>
          <w:i w:val="0"/>
          <w:color w:val="000000"/>
          <w:sz w:val="20"/>
        </w:rPr>
        <w:t>25%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reveal a significant performance improvement with this approach at the same parameter </w:t>
      </w:r>
      <w:r>
        <w:rPr>
          <w:rFonts w:ascii="" w:hAnsi="" w:eastAsia=""/>
          <w:b w:val="0"/>
          <w:i w:val="0"/>
          <w:color w:val="000000"/>
          <w:sz w:val="20"/>
        </w:rPr>
        <w:t>scale.</w:t>
      </w:r>
    </w:p>
    <w:p>
      <w:pPr>
        <w:autoSpaceDN w:val="0"/>
        <w:autoSpaceDE w:val="0"/>
        <w:widowControl/>
        <w:spacing w:line="218" w:lineRule="exact" w:before="122" w:after="0"/>
        <w:ind w:left="718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Text encoder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’s architecture uses the umT5 (</w:t>
      </w:r>
      <w:r>
        <w:rPr>
          <w:rFonts w:ascii="" w:hAnsi="" w:eastAsia=""/>
          <w:b w:val="0"/>
          <w:i w:val="0"/>
          <w:color w:val="00FF00"/>
          <w:sz w:val="20"/>
        </w:rPr>
        <w:t>Chung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to encode input text. Through </w:t>
      </w:r>
      <w:r>
        <w:rPr>
          <w:rFonts w:ascii="" w:hAnsi="" w:eastAsia=""/>
          <w:b w:val="0"/>
          <w:i w:val="0"/>
          <w:color w:val="000000"/>
          <w:sz w:val="20"/>
        </w:rPr>
        <w:t xml:space="preserve">extensive experiments, we find that umT5 has several advantages in our framework: 1) It possesses </w:t>
      </w:r>
      <w:r>
        <w:rPr>
          <w:rFonts w:ascii="" w:hAnsi="" w:eastAsia=""/>
          <w:b w:val="0"/>
          <w:i w:val="0"/>
          <w:color w:val="000000"/>
          <w:sz w:val="20"/>
        </w:rPr>
        <w:t>strong multilingual encoding capabilities, allowing it to understand both Chinese and English effec-</w:t>
      </w:r>
      <w:r>
        <w:rPr>
          <w:rFonts w:ascii="" w:hAnsi="" w:eastAsia=""/>
          <w:b w:val="0"/>
          <w:i w:val="0"/>
          <w:color w:val="000000"/>
          <w:sz w:val="20"/>
        </w:rPr>
        <w:t xml:space="preserve">tively, as well as input visual text; 2) Under the same conditions, we find that umT5 outperforms </w:t>
      </w:r>
      <w:r>
        <w:rPr>
          <w:rFonts w:ascii="" w:hAnsi="" w:eastAsia=""/>
          <w:b w:val="0"/>
          <w:i w:val="0"/>
          <w:color w:val="000000"/>
          <w:sz w:val="20"/>
        </w:rPr>
        <w:t xml:space="preserve">other unidirectional attention mechanism LLMs in composition; 3) It exhibits superior convergence,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umT5 achieving faster convergence at the same parameter scale. Based on these findings, we </w:t>
      </w:r>
      <w:r>
        <w:rPr>
          <w:rFonts w:ascii="" w:hAnsi="" w:eastAsia=""/>
          <w:b w:val="0"/>
          <w:i w:val="0"/>
          <w:color w:val="000000"/>
          <w:sz w:val="20"/>
        </w:rPr>
        <w:t>ultimately chose umT5 as our text embedder.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9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4.2.2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RE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20" w:lineRule="exact" w:before="172" w:after="0"/>
        <w:ind w:left="720" w:right="576" w:hanging="10"/>
        <w:jc w:val="left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We leverage the flow matching framework (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>Lipman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2022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;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Esser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) to model a unified </w:t>
      </w:r>
      <w:r>
        <w:rPr>
          <w:rFonts w:ascii="" w:hAnsi="" w:eastAsia=""/>
          <w:b w:val="0"/>
          <w:i w:val="0"/>
          <w:color w:val="000000"/>
          <w:sz w:val="20"/>
        </w:rPr>
        <w:t xml:space="preserve">denoising diffusion process across both image and video domains. We first conduct pre-training on </w:t>
      </w:r>
      <w:r>
        <w:rPr>
          <w:rFonts w:ascii="" w:hAnsi="" w:eastAsia=""/>
          <w:b w:val="0"/>
          <w:i w:val="0"/>
          <w:color w:val="000000"/>
          <w:sz w:val="20"/>
        </w:rPr>
        <w:t>low-resolution images, followed by multi-stage joint optimization of images and videos. The image-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joint training evolves using progressively upscaled data resolutions and extended temporal </w:t>
      </w:r>
      <w:r>
        <w:rPr>
          <w:rFonts w:ascii="" w:hAnsi="" w:eastAsia=""/>
          <w:b w:val="0"/>
          <w:i w:val="0"/>
          <w:color w:val="000000"/>
          <w:sz w:val="20"/>
        </w:rPr>
        <w:t>durations throughout the stages.</w:t>
      </w:r>
    </w:p>
    <w:p>
      <w:pPr>
        <w:autoSpaceDN w:val="0"/>
        <w:autoSpaceDE w:val="0"/>
        <w:widowControl/>
        <w:spacing w:line="224" w:lineRule="exact" w:before="116" w:after="84"/>
        <w:ind w:left="720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Training objective.</w:t>
      </w:r>
      <w:r>
        <w:rPr>
          <w:rFonts w:ascii="" w:hAnsi="" w:eastAsia=""/>
          <w:b w:val="0"/>
          <w:i w:val="0"/>
          <w:color w:val="000000"/>
          <w:sz w:val="20"/>
        </w:rPr>
        <w:t xml:space="preserve"> Flow matching provides a theoretically grounded framework for learning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continuous-time generative processes in diffusion models. It circumvents iterative velocity prediction, </w:t>
      </w:r>
      <w:r>
        <w:rPr>
          <w:rFonts w:ascii="" w:hAnsi="" w:eastAsia=""/>
          <w:b w:val="0"/>
          <w:i w:val="0"/>
          <w:color w:val="000000"/>
          <w:sz w:val="20"/>
        </w:rPr>
        <w:t xml:space="preserve">enabling stable training via ordinary differential equations (ODEs) while maintaining equivalence to </w:t>
      </w:r>
      <w:r>
        <w:rPr>
          <w:rFonts w:ascii="" w:hAnsi="" w:eastAsia=""/>
          <w:b w:val="0"/>
          <w:i w:val="0"/>
          <w:color w:val="000000"/>
          <w:sz w:val="20"/>
        </w:rPr>
        <w:t>maximum likelihood objectives. During training, given an image or video 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 xml:space="preserve">, a random noise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and a timestep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" w:hAnsi="" w:eastAsia=""/>
          <w:b w:val="0"/>
          <w:i w:val="0"/>
          <w:color w:val="000000"/>
          <w:sz w:val="20"/>
        </w:rPr>
        <w:t xml:space="preserve"> sampled from a logit-normal distribution, an intermediate </w:t>
      </w:r>
      <w:r>
        <w:rPr>
          <w:rFonts w:ascii="" w:hAnsi="" w:eastAsia=""/>
          <w:b w:val="0"/>
          <w:i w:val="0"/>
          <w:color w:val="000000"/>
          <w:sz w:val="20"/>
        </w:rPr>
        <w:t>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obtained as the training input. Following Rectified Flows (RFs) (</w:t>
      </w:r>
      <w:r>
        <w:rPr>
          <w:rFonts w:ascii="" w:hAnsi="" w:eastAsia=""/>
          <w:b w:val="0"/>
          <w:i w:val="0"/>
          <w:color w:val="00FF00"/>
          <w:sz w:val="20"/>
        </w:rPr>
        <w:t>Esser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rFonts w:ascii="" w:hAnsi="" w:eastAsia=""/>
          <w:b w:val="0"/>
          <w:i w:val="0"/>
          <w:color w:val="000000"/>
          <w:sz w:val="20"/>
        </w:rPr>
        <w:t>),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rPr>
          <w:rFonts w:ascii="" w:hAnsi="" w:eastAsia=""/>
          <w:b w:val="0"/>
          <w:i w:val="0"/>
          <w:color w:val="000000"/>
          <w:sz w:val="20"/>
        </w:rPr>
        <w:t>defined as a linear interpolation between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/>
          <w:color w:val="000000"/>
          <w:sz w:val="20"/>
        </w:rPr>
        <w:t xml:space="preserve"> i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/>
          <w:color w:val="000000"/>
          <w:sz w:val="20"/>
        </w:rPr>
        <w:t>e</w:t>
      </w:r>
      <w:r>
        <w:rPr>
          <w:rFonts w:ascii="" w:hAnsi="" w:eastAsia=""/>
          <w:b w:val="0"/>
          <w:i w:val="0"/>
          <w:color w:val="000000"/>
          <w:sz w:val="20"/>
        </w:rPr>
        <w:t>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The groud truth velocity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" w:after="0"/>
              <w:ind w:left="3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3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910"/>
        </w:trPr>
        <w:tc>
          <w:tcPr>
            <w:tcW w:type="dxa" w:w="3120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294" w:after="0"/>
              <w:ind w:left="41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t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2" w:after="0"/>
              <w:ind w:left="0" w:right="3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232" w:lineRule="exact" w:before="4" w:after="0"/>
        <w:ind w:left="720" w:right="720" w:hanging="6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The model is trained to predict the velocity, thus, the loss function can be formulated as the mean </w:t>
      </w:r>
      <w:r>
        <w:rPr>
          <w:rFonts w:ascii="" w:hAnsi="" w:eastAsia=""/>
          <w:b w:val="0"/>
          <w:i w:val="0"/>
          <w:color w:val="000000"/>
          <w:sz w:val="20"/>
        </w:rPr>
        <w:t>squared error (MSE) between the model output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00" w:lineRule="exact" w:before="3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14</w:t>
      </w:r>
    </w:p>
    <w:p>
      <w:pPr>
        <w:sectPr>
          <w:type w:val="continuous"/>
          <w:pgSz w:w="12240" w:h="15840"/>
          <w:pgMar w:top="8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8422" w:val="left"/>
        </w:tabs>
        <w:autoSpaceDE w:val="0"/>
        <w:widowControl/>
        <w:spacing w:line="270" w:lineRule="exact" w:before="0" w:after="0"/>
        <w:ind w:left="301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,c</w:t>
      </w:r>
      <w:r>
        <w:rPr>
          <w:rFonts w:ascii="CMMI5" w:hAnsi="CMMI5" w:eastAsia="CMMI5"/>
          <w:b w:val="0"/>
          <w:i/>
          <w:color w:val="000000"/>
          <w:sz w:val="10"/>
        </w:rPr>
        <w:t>txt</w:t>
      </w:r>
      <w:r>
        <w:rPr>
          <w:rFonts w:ascii="CMMI7" w:hAnsi="CMMI7" w:eastAsia="CMMI7"/>
          <w:b w:val="0"/>
          <w:i/>
          <w:color w:val="000000"/>
          <w:sz w:val="14"/>
        </w:rPr>
        <w:t>,t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(3)</w:t>
      </w:r>
    </w:p>
    <w:p>
      <w:pPr>
        <w:autoSpaceDN w:val="0"/>
        <w:autoSpaceDE w:val="0"/>
        <w:widowControl/>
        <w:spacing w:line="202" w:lineRule="exact" w:before="196" w:after="0"/>
        <w:ind w:left="720" w:right="720" w:hanging="8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umT5 text embedding sequence of 512 tokens long,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model weights, and 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output velocity predicted by the model.</w:t>
      </w:r>
    </w:p>
    <w:p>
      <w:pPr>
        <w:autoSpaceDN w:val="0"/>
        <w:autoSpaceDE w:val="0"/>
        <w:widowControl/>
        <w:spacing w:line="220" w:lineRule="exact" w:before="106" w:after="0"/>
        <w:ind w:left="712" w:right="720" w:firstLine="8"/>
        <w:jc w:val="both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Image pre-training.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 Our experimental analysis reveals two critical challenges in direct joint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high-resolution images and long-duration video sequences: (1) Extended sequence lengths </w:t>
      </w:r>
      <w:r>
        <w:rPr>
          <w:rFonts w:ascii="" w:hAnsi="" w:eastAsia=""/>
          <w:b w:val="0"/>
          <w:i w:val="0"/>
          <w:color w:val="000000"/>
          <w:sz w:val="20"/>
        </w:rPr>
        <w:t>(typically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81</w:t>
      </w:r>
      <w:r>
        <w:rPr>
          <w:rFonts w:ascii="" w:hAnsi="" w:eastAsia=""/>
          <w:b w:val="0"/>
          <w:i w:val="0"/>
          <w:color w:val="000000"/>
          <w:sz w:val="20"/>
        </w:rPr>
        <w:t xml:space="preserve"> frames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1280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" w:hAnsi="" w:eastAsia=""/>
          <w:b w:val="0"/>
          <w:i w:val="0"/>
          <w:color w:val="000000"/>
          <w:sz w:val="20"/>
        </w:rPr>
        <w:t xml:space="preserve"> video) substantially reduce training throughput. Under fixed </w:t>
      </w:r>
      <w:r>
        <w:rPr>
          <w:rFonts w:ascii="" w:hAnsi="" w:eastAsia=""/>
          <w:b w:val="0"/>
          <w:i w:val="0"/>
          <w:color w:val="000000"/>
          <w:sz w:val="20"/>
        </w:rPr>
        <w:t xml:space="preserve">GPU-hour budgets, this results in insufficient data throughput, thereby impeding model convergence </w:t>
      </w:r>
      <w:r>
        <w:rPr>
          <w:rFonts w:ascii="" w:hAnsi="" w:eastAsia=""/>
          <w:b w:val="0"/>
          <w:i w:val="0"/>
          <w:color w:val="000000"/>
          <w:sz w:val="20"/>
        </w:rPr>
        <w:t xml:space="preserve">rates. (2) Excessive GPU memory consumption forces suboptimal batch sizes, inducing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instability caused by spikes in gradient variance. To mitigate these issues, we initialize the 14B </w:t>
      </w:r>
      <w:r>
        <w:rPr>
          <w:rFonts w:ascii="" w:hAnsi="" w:eastAsia=""/>
          <w:b w:val="0"/>
          <w:i w:val="0"/>
          <w:color w:val="000000"/>
          <w:sz w:val="20"/>
        </w:rPr>
        <w:t>model training through low-resolution (</w:t>
      </w:r>
      <w:r>
        <w:rPr>
          <w:rFonts w:ascii="CMR10" w:hAnsi="CMR10" w:eastAsia="CMR10"/>
          <w:b w:val="0"/>
          <w:i w:val="0"/>
          <w:color w:val="000000"/>
          <w:sz w:val="20"/>
        </w:rPr>
        <w:t>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rFonts w:ascii="" w:hAnsi="" w:eastAsia=""/>
          <w:b w:val="0"/>
          <w:i w:val="0"/>
          <w:color w:val="000000"/>
          <w:sz w:val="20"/>
        </w:rPr>
        <w:t xml:space="preserve">) text-to-image pre-training, enforcing cross-modal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semantic-textual alignment and geometric structure fidelity before progressively introducing high-res </w:t>
      </w:r>
      <w:r>
        <w:rPr>
          <w:rFonts w:ascii="" w:hAnsi="" w:eastAsia=""/>
          <w:b w:val="0"/>
          <w:i w:val="0"/>
          <w:color w:val="000000"/>
          <w:sz w:val="20"/>
        </w:rPr>
        <w:t>video modalities.</w:t>
      </w:r>
    </w:p>
    <w:p>
      <w:pPr>
        <w:autoSpaceDN w:val="0"/>
        <w:autoSpaceDE w:val="0"/>
        <w:widowControl/>
        <w:spacing w:line="220" w:lineRule="exact" w:before="118" w:after="0"/>
        <w:ind w:left="720" w:right="720" w:firstLine="0"/>
        <w:jc w:val="both"/>
      </w:pPr>
      <w:r>
        <w:rPr>
          <w:w w:val="98.87598037719727"/>
          <w:rFonts w:ascii="" w:hAnsi="" w:eastAsia=""/>
          <w:b/>
          <w:i w:val="0"/>
          <w:color w:val="000000"/>
          <w:sz w:val="20"/>
        </w:rPr>
        <w:t>Image-video joint training.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Following large-scale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text-to-image pre-training, we implement </w:t>
      </w:r>
      <w:r>
        <w:rPr>
          <w:rFonts w:ascii="" w:hAnsi="" w:eastAsia=""/>
          <w:b w:val="0"/>
          <w:i w:val="0"/>
          <w:color w:val="000000"/>
          <w:sz w:val="20"/>
        </w:rPr>
        <w:t xml:space="preserve">staged joint-training with image and video data through a resolution-progressive curriculum. The </w:t>
      </w:r>
      <w:r>
        <w:rPr>
          <w:rFonts w:ascii="" w:hAnsi="" w:eastAsia=""/>
          <w:b w:val="0"/>
          <w:i w:val="0"/>
          <w:color w:val="000000"/>
          <w:sz w:val="20"/>
        </w:rPr>
        <w:t xml:space="preserve">training protocol comprises three distinct stages differentiated by spatial resolution areas: (1) In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first stage, we conduct joint training 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resolution images and 5-second video clips (</w:t>
      </w:r>
      <w:r>
        <w:rPr>
          <w:rFonts w:ascii="CMR10" w:hAnsi="CMR10" w:eastAsia="CMR10"/>
          <w:b w:val="0"/>
          <w:i w:val="0"/>
          <w:color w:val="000000"/>
          <w:sz w:val="20"/>
        </w:rPr>
        <w:t>192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 </w:t>
      </w:r>
      <w:r>
        <w:rPr>
          <w:rFonts w:ascii="" w:hAnsi="" w:eastAsia=""/>
          <w:b w:val="0"/>
          <w:i w:val="0"/>
          <w:color w:val="000000"/>
          <w:sz w:val="20"/>
        </w:rPr>
        <w:t>resolution,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16</w:t>
      </w:r>
      <w:r>
        <w:rPr>
          <w:rFonts w:ascii="" w:hAnsi="" w:eastAsia=""/>
          <w:b w:val="0"/>
          <w:i w:val="0"/>
          <w:color w:val="000000"/>
          <w:sz w:val="20"/>
        </w:rPr>
        <w:t xml:space="preserve"> fps). (2) In the second stage, we initiate spatial resolution scaling by upgrading both </w:t>
      </w:r>
      <w:r>
        <w:rPr>
          <w:rFonts w:ascii="" w:hAnsi="" w:eastAsia=""/>
          <w:b w:val="0"/>
          <w:i w:val="0"/>
          <w:color w:val="000000"/>
          <w:sz w:val="20"/>
        </w:rPr>
        <w:t>image and video resolutions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while maintaining a fixed 5-second video duration. (3) In the </w:t>
      </w:r>
      <w:r>
        <w:rPr>
          <w:rFonts w:ascii="" w:hAnsi="" w:eastAsia=""/>
          <w:b w:val="0"/>
          <w:i w:val="0"/>
          <w:color w:val="000000"/>
          <w:sz w:val="20"/>
        </w:rPr>
        <w:t>final phase, we escalate spatial resolution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for both images and 5-second video clips.</w:t>
      </w:r>
    </w:p>
    <w:p>
      <w:pPr>
        <w:autoSpaceDN w:val="0"/>
        <w:autoSpaceDE w:val="0"/>
        <w:widowControl/>
        <w:spacing w:line="220" w:lineRule="exact" w:before="118" w:after="0"/>
        <w:ind w:left="720" w:right="714" w:firstLine="0"/>
        <w:jc w:val="both"/>
      </w:pPr>
      <w:r>
        <w:rPr>
          <w:rFonts w:ascii="" w:hAnsi="" w:eastAsia=""/>
          <w:b/>
          <w:i w:val="0"/>
          <w:color w:val="000000"/>
          <w:sz w:val="20"/>
        </w:rPr>
        <w:t>Pre-training configurations.</w:t>
      </w:r>
      <w:r>
        <w:rPr>
          <w:rFonts w:ascii="" w:hAnsi="" w:eastAsia=""/>
          <w:b w:val="0"/>
          <w:i w:val="0"/>
          <w:color w:val="000000"/>
          <w:sz w:val="20"/>
        </w:rPr>
        <w:t xml:space="preserve"> We employ efficient training at bf16-mixed precision combined with </w:t>
      </w:r>
      <w:r>
        <w:rPr>
          <w:rFonts w:ascii="" w:hAnsi="" w:eastAsia=""/>
          <w:b w:val="0"/>
          <w:i w:val="0"/>
          <w:color w:val="000000"/>
          <w:sz w:val="20"/>
        </w:rPr>
        <w:t>the AdamW (</w:t>
      </w:r>
      <w:r>
        <w:rPr>
          <w:rFonts w:ascii="" w:hAnsi="" w:eastAsia=""/>
          <w:b w:val="0"/>
          <w:i w:val="0"/>
          <w:color w:val="00FF00"/>
          <w:sz w:val="20"/>
        </w:rPr>
        <w:t>Loshchilov &amp; Hutter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2017</w:t>
      </w:r>
      <w:r>
        <w:rPr>
          <w:rFonts w:ascii="" w:hAnsi="" w:eastAsia=""/>
          <w:b w:val="0"/>
          <w:i w:val="0"/>
          <w:color w:val="000000"/>
          <w:sz w:val="20"/>
        </w:rPr>
        <w:t>;</w:t>
      </w:r>
      <w:r>
        <w:rPr>
          <w:rFonts w:ascii="" w:hAnsi="" w:eastAsia=""/>
          <w:b w:val="0"/>
          <w:i w:val="0"/>
          <w:color w:val="00FF00"/>
          <w:sz w:val="20"/>
        </w:rPr>
        <w:t xml:space="preserve"> Kingma &amp; Ba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2014</w:t>
      </w:r>
      <w:r>
        <w:rPr>
          <w:rFonts w:ascii="" w:hAnsi="" w:eastAsia=""/>
          <w:b w:val="0"/>
          <w:i w:val="0"/>
          <w:color w:val="000000"/>
          <w:sz w:val="20"/>
        </w:rPr>
        <w:t xml:space="preserve">) optimizer with a weight decay </w:t>
      </w:r>
      <w:r>
        <w:rPr>
          <w:rFonts w:ascii="" w:hAnsi="" w:eastAsia=""/>
          <w:b w:val="0"/>
          <w:i w:val="0"/>
          <w:color w:val="000000"/>
          <w:sz w:val="20"/>
        </w:rPr>
        <w:t>coefficient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. The initial learning rate is set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" w:hAnsi="" w:eastAsia=""/>
          <w:b w:val="0"/>
          <w:i w:val="0"/>
          <w:color w:val="000000"/>
          <w:sz w:val="20"/>
        </w:rPr>
        <w:t xml:space="preserve">, and dynamically reduced triggered by </w:t>
      </w:r>
      <w:r>
        <w:rPr>
          <w:rFonts w:ascii="" w:hAnsi="" w:eastAsia=""/>
          <w:b w:val="0"/>
          <w:i w:val="0"/>
          <w:color w:val="000000"/>
          <w:sz w:val="20"/>
        </w:rPr>
        <w:t>plateaus of the FID and CLIP Score metrics.</w:t>
      </w:r>
    </w:p>
    <w:p>
      <w:pPr>
        <w:autoSpaceDN w:val="0"/>
        <w:tabs>
          <w:tab w:pos="1372" w:val="left"/>
        </w:tabs>
        <w:autoSpaceDE w:val="0"/>
        <w:widowControl/>
        <w:spacing w:line="198" w:lineRule="exact" w:before="34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4.2.3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OST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20" w:lineRule="exact" w:before="192" w:after="0"/>
        <w:ind w:left="720" w:right="720" w:firstLine="0"/>
        <w:jc w:val="both"/>
      </w:pP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In the post-training stage, we maintain the same model architecture and optimizer configuration from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pre-training stage, initializing the network with the pre-trained checkpoint. We conduct joint 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training at resolutions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using the post-training video dataset detailed in Sec.</w:t>
      </w:r>
      <w:r>
        <w:rPr>
          <w:w w:val="98.67501258850098"/>
          <w:rFonts w:ascii="" w:hAnsi="" w:eastAsia=""/>
          <w:b w:val="0"/>
          <w:i w:val="0"/>
          <w:color w:val="71BBB3"/>
          <w:sz w:val="20"/>
        </w:rPr>
        <w:t xml:space="preserve"> 3.2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370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16"/>
        </w:rPr>
        <w:t>CALING AND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  <w:r>
        <w:rPr>
          <w:rFonts w:ascii="" w:hAnsi="" w:eastAsia=""/>
          <w:b w:val="0"/>
          <w:i w:val="0"/>
          <w:color w:val="000000"/>
          <w:sz w:val="20"/>
        </w:rPr>
        <w:t xml:space="preserve"> E</w:t>
      </w:r>
      <w:r>
        <w:rPr>
          <w:rFonts w:ascii="" w:hAnsi="" w:eastAsia=""/>
          <w:b w:val="0"/>
          <w:i w:val="0"/>
          <w:color w:val="000000"/>
          <w:sz w:val="16"/>
        </w:rPr>
        <w:t>FFICIENCY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3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4.3.1 </w:t>
      </w:r>
      <w:r>
        <w:rPr>
          <w:rFonts w:ascii="" w:hAnsi="" w:eastAsia=""/>
          <w:b w:val="0"/>
          <w:i w:val="0"/>
          <w:color w:val="000000"/>
          <w:sz w:val="20"/>
        </w:rPr>
        <w:t>W</w:t>
      </w:r>
      <w:r>
        <w:rPr>
          <w:rFonts w:ascii="" w:hAnsi="" w:eastAsia=""/>
          <w:b w:val="0"/>
          <w:i w:val="0"/>
          <w:color w:val="000000"/>
          <w:sz w:val="16"/>
        </w:rPr>
        <w:t>ORKLOAD</w:t>
      </w:r>
      <w:r>
        <w:rPr>
          <w:rFonts w:ascii="" w:hAnsi="" w:eastAsia=""/>
          <w:b w:val="0"/>
          <w:i w:val="0"/>
          <w:color w:val="000000"/>
          <w:sz w:val="20"/>
        </w:rPr>
        <w:t xml:space="preserve"> A</w:t>
      </w:r>
      <w:r>
        <w:rPr>
          <w:rFonts w:ascii="" w:hAnsi="" w:eastAsia=""/>
          <w:b w:val="0"/>
          <w:i w:val="0"/>
          <w:color w:val="000000"/>
          <w:sz w:val="16"/>
        </w:rPr>
        <w:t>NALYSIS</w:t>
      </w:r>
    </w:p>
    <w:p>
      <w:pPr>
        <w:autoSpaceDN w:val="0"/>
        <w:autoSpaceDE w:val="0"/>
        <w:widowControl/>
        <w:spacing w:line="220" w:lineRule="exact" w:before="192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the computational costs associated with the text encoder and VAE encoder are lower than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those of the DiT model, which accounts for more than 85% of the overall computation during training.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For the DiT model, the main computational cost is given by the expression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αbsh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>βbs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where 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number of DiT layers,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micro 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indicates the sequence length, and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hidden dimension size. Here,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" w:hAnsi="" w:eastAsia=""/>
          <w:b w:val="0"/>
          <w:i w:val="0"/>
          <w:color w:val="000000"/>
          <w:sz w:val="20"/>
        </w:rPr>
        <w:t xml:space="preserve"> corresponds to the cost of the linear layers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to </w:t>
      </w:r>
      <w:r>
        <w:rPr>
          <w:rFonts w:ascii="" w:hAnsi="" w:eastAsia=""/>
          <w:b w:val="0"/>
          <w:i w:val="0"/>
          <w:color w:val="000000"/>
          <w:sz w:val="20"/>
        </w:rPr>
        <w:t>that of the attention layer, for the non-causal attention used 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4 for the forward pass and </w:t>
      </w:r>
      <w:r>
        <w:rPr>
          <w:rFonts w:ascii="" w:hAnsi="" w:eastAsia=""/>
          <w:b w:val="0"/>
          <w:i w:val="0"/>
          <w:color w:val="000000"/>
          <w:sz w:val="20"/>
        </w:rPr>
        <w:t>8 for the backward pass. Unlike general LLM models, the sequence length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processed by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often reaches hundreds of thousands or more. Since the computational cost of attention increases </w:t>
      </w:r>
      <w:r>
        <w:rPr>
          <w:rFonts w:ascii="" w:hAnsi="" w:eastAsia=""/>
          <w:b w:val="0"/>
          <w:i w:val="0"/>
          <w:color w:val="000000"/>
          <w:sz w:val="20"/>
        </w:rPr>
        <w:t xml:space="preserve">quadratically with the number of tokens, while the cost associated with the linear layers increases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only linearly, the attention mechanism gradually becomes the training bottleneck. In scenarios where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sequence length reaches 1 million, the computation time for attention can account for up to 95% </w:t>
      </w:r>
      <w:r>
        <w:rPr>
          <w:rFonts w:ascii="" w:hAnsi="" w:eastAsia=""/>
          <w:b w:val="0"/>
          <w:i w:val="0"/>
          <w:color w:val="000000"/>
          <w:sz w:val="20"/>
        </w:rPr>
        <w:t>of the end-to-end training time.</w:t>
      </w:r>
    </w:p>
    <w:p>
      <w:pPr>
        <w:autoSpaceDN w:val="0"/>
        <w:autoSpaceDE w:val="0"/>
        <w:widowControl/>
        <w:spacing w:line="220" w:lineRule="exact" w:before="120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During the training process, only the DiT model is optimized while the text encoder and the VAE </w:t>
      </w:r>
      <w:r>
        <w:rPr>
          <w:rFonts w:ascii="" w:hAnsi="" w:eastAsia=""/>
          <w:b w:val="0"/>
          <w:i w:val="0"/>
          <w:color w:val="000000"/>
          <w:sz w:val="20"/>
        </w:rPr>
        <w:t xml:space="preserve">encoder remain frozen. Therefore, GPU memory usage is concentrated on training the DiT.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GPU memory usage for the DiT can be expressed as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γLbsh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depends on the implementation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 the DiT layers, L denotes the number of DiT layers. Because video tokens, input prompts, and </w:t>
      </w:r>
      <w:r>
        <w:rPr>
          <w:rFonts w:ascii="" w:hAnsi="" w:eastAsia=""/>
          <w:b w:val="0"/>
          <w:i w:val="0"/>
          <w:color w:val="000000"/>
          <w:sz w:val="20"/>
        </w:rPr>
        <w:t>timesteps are taken as model input, the value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generally larger than in ordinary LLM models. </w:t>
      </w:r>
      <w:r>
        <w:rPr>
          <w:rFonts w:ascii="" w:hAnsi="" w:eastAsia=""/>
          <w:b w:val="0"/>
          <w:i w:val="0"/>
          <w:color w:val="000000"/>
          <w:sz w:val="20"/>
        </w:rPr>
        <w:t>For example, while standard LLMs might have 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of 34 (</w:t>
      </w:r>
      <w:r>
        <w:rPr>
          <w:rFonts w:ascii="" w:hAnsi="" w:eastAsia=""/>
          <w:b w:val="0"/>
          <w:i w:val="0"/>
          <w:color w:val="00FF00"/>
          <w:sz w:val="20"/>
        </w:rPr>
        <w:t>Korthikanti et al.</w:t>
      </w:r>
      <w:r>
        <w:rPr>
          <w:rFonts w:ascii="" w:hAnsi="" w:eastAsia=""/>
          <w:b w:val="0"/>
          <w:i w:val="0"/>
          <w:color w:val="000000"/>
          <w:sz w:val="20"/>
        </w:rPr>
        <w:t>), the DiT model’s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can </w:t>
      </w:r>
      <w:r>
        <w:rPr>
          <w:rFonts w:ascii="" w:hAnsi="" w:eastAsia=""/>
          <w:b w:val="0"/>
          <w:i w:val="0"/>
          <w:color w:val="000000"/>
          <w:sz w:val="20"/>
        </w:rPr>
        <w:t xml:space="preserve">exceed 60. Consequently, when the sequence length reaches 1 million tokens and the micro-batch </w:t>
      </w:r>
      <w:r>
        <w:rPr>
          <w:rFonts w:ascii="" w:hAnsi="" w:eastAsia=""/>
          <w:b w:val="0"/>
          <w:i w:val="0"/>
          <w:color w:val="000000"/>
          <w:sz w:val="20"/>
        </w:rPr>
        <w:t>size is 1, the total GPU memory usage for activations in a 14B DiT model can exceed 8 TB.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15</w:t>
      </w:r>
    </w:p>
    <w:sectPr w:rsidR="00FC693F" w:rsidRPr="0006063C" w:rsidSect="00034616">
      <w:pgSz w:w="12240" w:h="15840"/>
      <w:pgMar w:top="976" w:right="1440" w:bottom="2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an-Video/Wan2.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