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an effect we term washout. RG-SCSO replaces this transfer with a per-feature, relevance-modulated binarization: a mutual-information field biases each feature's bit-flip probability so informative features resist removal and noise resists inclusion, leaving SCSO's continuous search otherwise unchanged. Evaluated on 18 datasets, including two gene-expression 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tested, trailing only COA, which is several points less accurate. The advantage is parsimony rather than raw accuracy: it persists against optimizers carrying published adaptive transfers, against which RG-SCSO still selects 26–43% fewer features, and against same-family binary SCSO selectors; ablation and cross-prior tests show it depends on where the relevance signal is injected and on the prior used. On the two gene-expression sets a classical LASSO baseline is sparser at no loss of accuracy, so the transferable gain is parsimony on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footerReference w:type="default" r:id="rId16"/>
          <w:pgSz w:w="11906" w:h="16838"/>
          <w:pgMar w:top="1417" w:right="1417" w:bottom="1417" w:left="1417"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footerReference w:type="default" r:id="rId17"/>
          <w:type w:val="continuous"/>
          <w:pgSz w:w="11906" w:h="16838"/>
          <w:pgMar w:top="1417" w:right="1417" w:bottom="1417" w:left="1417"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Table 1 below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footerReference w:type="default" r:id="rId18"/>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footerReference w:type="default" r:id="rId19"/>
          <w:type w:val="continuous"/>
          <w:pgSz w:w="11906" w:h="16838"/>
          <w:pgMar w:top="1417" w:right="1417" w:bottom="1417" w:left="1417"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algorithm compared. RG-SCSO attains the best average Friedman rank (1.33, ahead of the second-placed AOA at 2.03; χ²=67.25, p &lt; 0.001). A Holm-corrected Wilcoxon signed-rank test across all pairwise comparisons gives RG-SCSO 64 significant wins, 1 loss, and 43 ties; the only close competitor is AOA, against which the advantage is genuine but moderate (median |d|=0.30), RG-SCSO still leading on mean accuracy. Over the 18 datasets the paired accuracy difference against AOA is +0.017 (95% bootstrap CI [+0.003, +0.034], excluding zero), confirming a small but consistent aggregate edge;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footerReference w:type="default" r:id="rId20"/>
          <w:type w:val="continuous"/>
          <w:pgSz w:w="11906" w:h="16838"/>
          <w:pgMar w:top="1417" w:right="1417" w:bottom="1417" w:left="1417"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footerReference w:type="default" r:id="rId21"/>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footerReference w:type="default" r:id="rId22"/>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footerReference w:type="default" r:id="rId23"/>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footerReference w:type="default" r:id="rId24"/>
          <w:type w:val="continuous"/>
          <w:pgSz w:w="11906" w:h="16838"/>
          <w:pgMar w:top="1417" w:right="1417" w:bottom="1417" w:left="1417"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footerReference w:type="default" r:id="rId25"/>
          <w:type w:val="continuous"/>
          <w:pgSz w:w="11906" w:h="16838"/>
          <w:pgMar w:top="1417" w:right="1417" w:bottom="1417" w:left="1417"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footerReference w:type="default" r:id="rId26"/>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Fig. 3. Critical-difference (Nemenyi) diagram at α=0.05 over the held-out ranking (Table 2); algorithms not joined by a bar differ significantly in mean held-out rank.</w:t>
      </w:r>
    </w:p>
    <w:p>
      <w:pPr>
        <w:sectPr>
          <w:footerReference w:type="default" r:id="rId27"/>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footerReference w:type="default" r:id="rId28"/>
          <w:type w:val="continuous"/>
          <w:pgSz w:w="11906" w:h="16838"/>
          <w:pgMar w:top="1417" w:right="1417" w:bottom="1417" w:left="1417"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footerReference w:type="default" r:id="rId29"/>
          <w:type w:val="continuous"/>
          <w:pgSz w:w="11906" w:h="16838"/>
          <w:pgMar w:top="1417" w:right="1417" w:bottom="1417" w:left="1417"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pPr>
        <w:sectPr>
          <w:footerReference w:type="default" r:id="rId30"/>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4" name="Picture 4"/>
            <wp:cNvGraphicFramePr>
              <a:graphicFrameLocks noChangeAspect="1"/>
            </wp:cNvGraphicFramePr>
            <a:graphic>
              <a:graphicData uri="http://schemas.openxmlformats.org/drawingml/2006/picture">
                <pic:pic>
                  <pic:nvPicPr>
                    <pic:cNvPr id="0" name="convergence_fs.png"/>
                    <pic:cNvPicPr/>
                  </pic:nvPicPr>
                  <pic:blipFill>
                    <a:blip r:embed="rId12"/>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4.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footerReference w:type="default" r:id="rId31"/>
          <w:type w:val="continuous"/>
          <w:pgSz w:w="11906" w:h="16838"/>
          <w:pgMar w:top="1417" w:right="1417" w:bottom="1417" w:left="1417"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footerReference w:type="default" r:id="rId32"/>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363609"/>
            <wp:docPr id="5" name="Picture 5"/>
            <wp:cNvGraphicFramePr>
              <a:graphicFrameLocks noChangeAspect="1"/>
            </wp:cNvGraphicFramePr>
            <a:graphic>
              <a:graphicData uri="http://schemas.openxmlformats.org/drawingml/2006/picture">
                <pic:pic>
                  <pic:nvPicPr>
                    <pic:cNvPr id="0" name="mechanism.png"/>
                    <pic:cNvPicPr/>
                  </pic:nvPicPr>
                  <pic:blipFill>
                    <a:blip r:embed="rId13"/>
                    <a:stretch>
                      <a:fillRect/>
                    </a:stretch>
                  </pic:blipFill>
                  <pic:spPr>
                    <a:xfrm>
                      <a:off x="0" y="0"/>
                      <a:ext cx="4846320" cy="1363609"/>
                    </a:xfrm>
                    <a:prstGeom prst="rect"/>
                  </pic:spPr>
                </pic:pic>
              </a:graphicData>
            </a:graphic>
          </wp:inline>
        </w:drawing>
      </w:r>
    </w:p>
    <w:p>
      <w:pPr>
        <w:jc w:val="center"/>
      </w:pPr>
      <w:r>
        <w:rPr>
          <w:rFonts w:ascii="Times New Roman" w:hAnsi="Times New Roman" w:cs="Times New Roman" w:eastAsia="Times New Roman"/>
          <w:sz w:val="17"/>
        </w:rPr>
        <w:t>Fig. 5. Mechanism evidence. (a)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(b) Feature-selection stability (Nogueira Phi, 30 runs) across all five representative datasets: RG-SCSO attains a higher Phi than same-family SCSO on every dataset (e.g., 0.541 vs. 0.512 on Zoo, 0.19 vs. 0.157 on WDBC), clearest on the three lower-dimensional sets, but both are close to the near-zero level expected by chance on the two gene-expression sets (RG-SCSO Phi 0.014-0.015), where AOA's near-zero Phi reflects that it selects nearly every available feature rather than genuine instability.</w:t>
      </w:r>
    </w:p>
    <w:p>
      <w:pPr>
        <w:sectPr>
          <w:footerReference w:type="default" r:id="rId33"/>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(τ in {0.4, 0.5, 0.6}, 30 independent runs per cell, same protocol and datasets as the main ablation) tests whether that choice is at least empirically reasonable. No single τ dominates uniformly: τ=0.5, the value deployed throughout this paper, attains the highest accuracy on two of five datasets; mean selected-feature count falls monotonically as τ increases on every dataset, at a modest, dataset-dependent, non-uniform accuracy cost.</w:t>
      </w:r>
    </w:p>
    <w:p>
      <w:pPr>
        <w:sectPr>
          <w:footerReference w:type="default" r:id="rId34"/>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w:r>
              <w:rPr>
                <w:rFonts w:ascii="Times New Roman" w:hAnsi="Times New Roman" w:cs="Times New Roman" w:eastAsia="Times New Roman"/>
                <w:b/>
                <w:sz w:val="16"/>
              </w:rPr>
              <w:t>τ</w:t>
            </w:r>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(τ in {0.4, 0.5, 0.6} replacing the fixed 0.5 preferred-bit threshold; 30 independent runs per cell, same protocol and datasets as the main ablation). Highest accuracy per dataset in bold. No single τ dominates uniformly: τ=0.5, the value deployed throughout this paper, attains the highest accuracy on two of five datasets; mean selected-feature count falls monotonically as τ increases on every dataset, at a modest, dataset-dependent, non-uniform accuracy cost. Phi is the Nogueira stability index.</w:t>
      </w:r>
    </w:p>
    <w:p>
      <w:pPr>
        <w:sectPr>
          <w:footerReference w:type="default" r:id="rId35"/>
          <w:type w:val="continuous"/>
          <w:pgSz w:w="11906" w:h="16838"/>
          <w:pgMar w:top="1417" w:right="1417" w:bottom="1417" w:left="1417" w:header="720" w:footer="720" w:gutter="0"/>
          <w:cols w:space="460" w:num="1"/>
          <w:docGrid w:linePitch="360"/>
        </w:sectPr>
      </w:pPr>
    </w:p>
    <w:p>
      <w:pPr>
        <w:sectPr>
          <w:footerReference w:type="default" r:id="rId36"/>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6" name="Picture 6"/>
            <wp:cNvGraphicFramePr>
              <a:graphicFrameLocks noChangeAspect="1"/>
            </wp:cNvGraphicFramePr>
            <a:graphic>
              <a:graphicData uri="http://schemas.openxmlformats.org/drawingml/2006/picture">
                <pic:pic>
                  <pic:nvPicPr>
                    <pic:cNvPr id="0" name="threshold_heatmap.png"/>
                    <pic:cNvPicPr/>
                  </pic:nvPicPr>
                  <pic:blipFill>
                    <a:blip r:embed="rId14"/>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Fig. 6. Mean held-out accuracy (color) and mean number of selected features (in parentheses) across the three preferred-bit thresholds tested (τ in {0.4, 0.5, 0.6}), one row per dataset. Accuracy is essentially flat across thresholds on every dataset (largest swing 0.011, ColonCancer τ=0.4 vs. τ=0.5), while the selected-feature count falls monotonically as τ increases on all five datasets, confirming τ=0.5 is not a fragile choice.</w:t>
      </w:r>
    </w:p>
    <w:p>
      <w:pPr>
        <w:sectPr>
          <w:footerReference w:type="default" r:id="rId37"/>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footerReference w:type="default" r:id="rId38"/>
          <w:type w:val="continuous"/>
          <w:pgSz w:w="11906" w:h="16838"/>
          <w:pgMar w:top="1417" w:right="1417" w:bottom="1417" w:left="1417"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footerReference w:type="default" r:id="rId39"/>
          <w:type w:val="continuous"/>
          <w:pgSz w:w="11906" w:h="16838"/>
          <w:pgMar w:top="1417" w:right="1417" w:bottom="1417" w:left="1417" w:header="720" w:footer="720" w:gutter="0"/>
          <w:cols w:space="460" w:num="1"/>
          <w:docGrid w:linePitch="360"/>
        </w:sectPr>
      </w:pPr>
    </w:p>
    <w:p>
      <w:pPr>
        <w:sectPr>
          <w:footerReference w:type="default" r:id="rId40"/>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footerReference w:type="default" r:id="rId41"/>
          <w:type w:val="continuous"/>
          <w:pgSz w:w="11906" w:h="16838"/>
          <w:pgMar w:top="1417" w:right="1417" w:bottom="1417" w:left="1417"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γ=0.5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In practical terms, RG-SCSO is a drop-in replacement for the binarization step of any SCSO-based wrapper, adding only a small, fixed set of hyperparameters (the modulation strength γ, the preferred-bit threshold τ, and the memetic budget K) that this paper shows are not fragile choices; its main practical payoff is a smaller, cheaper-to-store and cheaper-to-deploy feature subset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footerReference w:type="default" r:id="rId42"/>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Base/unmodulated continuous-to-binary transfer function, T: R → [0,1]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Relevance score of feature j, 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[0,1]</w:t>
            </w:r>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Preferred bit value for feature j, 1[ρ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&gt; 0.5]</w:t>
            </w:r>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Modulation strength, s</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2|ρ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− 0.5| ∈ [0,1]</w:t>
            </w:r>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Total fitness-evaluation budget, pop_size ×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Table 8 Notation used in Methods, compiled for reference. T_max (maximum iteration count, used in the SCSO sensitivity-range formula) and T(·) (the continuous-to-binary transfer function used throughout the washout subsection) are kept as distinct symbols to avoid the overloading that a single bare T would otherwise cause.</w:t>
      </w:r>
    </w:p>
    <w:p>
      <w:pPr>
        <w:sectPr>
          <w:footerReference w:type="default" r:id="rId43"/>
          <w:type w:val="continuous"/>
          <w:pgSz w:w="11906" w:h="16838"/>
          <w:pgMar w:top="1417" w:right="1417" w:bottom="1417" w:left="1417" w:header="720" w:footer="720" w:gutter="0"/>
          <w:cols w:space="460" w:num="1"/>
          <w:docGrid w:linePitch="360"/>
        </w:sectPr>
      </w:pPr>
    </w:p>
    <w:p>
      <w:pPr>
        <w:sectPr>
          <w:footerReference w:type="default" r:id="rId44"/>
          <w:type w:val="continuous"/>
          <w:pgSz w:w="11906" w:h="16838"/>
          <w:pgMar w:top="1417" w:right="1417" w:bottom="1417" w:left="1417"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footerReference w:type="default" r:id="rId45"/>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w:rPr>
              <w:sz w:val="22"/>
              <w:szCs w:val="22"/>
            </w:rPr>
            <m:t>f</m:t>
          </m:r>
          <m:d>
            <m:dPr>
              <m:begChr m:val="("/>
              <m:endChr m:val=")"/>
            </m:dPr>
            <m:e>
              <m:r>
                <w:rPr>
                  <w:sz w:val="22"/>
                  <w:szCs w:val="22"/>
                </w:rPr>
                <m:t>b</m:t>
              </m:r>
            </m:e>
          </m:d>
          <m:r>
            <w:rPr>
              <w:sz w:val="22"/>
              <w:szCs w:val="22"/>
            </w:rPr>
            <m:t> = (1 − </m:t>
          </m:r>
          <m:r>
            <w:rPr>
              <w:sz w:val="22"/>
              <w:szCs w:val="22"/>
            </w:rPr>
            <m:t>λ</m:t>
          </m:r>
          <m:r>
            <w:rPr>
              <w:sz w:val="22"/>
              <w:szCs w:val="22"/>
            </w:rPr>
            <m:t>)</m:t>
          </m:r>
          <m:d>
            <m:dPr>
              <m:begChr m:val="("/>
              <m:endChr m:val=")"/>
            </m:dPr>
            <m:e>
              <m:r>
                <w:rPr>
                  <w:sz w:val="22"/>
                  <w:szCs w:val="22"/>
                </w:rPr>
                <m:t>1 − Acc</m:t>
              </m:r>
              <m:d>
                <m:dPr>
                  <m:begChr m:val="("/>
                  <m:endChr m:val=")"/>
                </m:dPr>
                <m:e>
                  <m:r>
                    <w:rPr>
                      <w:sz w:val="22"/>
                      <w:szCs w:val="22"/>
                    </w:rPr>
                    <m:t>b</m:t>
                  </m:r>
                </m:e>
              </m:d>
            </m:e>
          </m:d>
          <m:r>
            <w:rPr>
              <w:sz w:val="22"/>
              <w:szCs w:val="22"/>
            </w:rPr>
            <m:t> + </m:t>
          </m:r>
          <m:r>
            <w:rPr>
              <w:sz w:val="22"/>
              <w:szCs w:val="22"/>
            </w:rPr>
            <m:t>λ</m:t>
          </m:r>
          <m:f>
            <m:fPr/>
            <m:num>
              <m:r>
                <w:rPr>
                  <w:sz w:val="22"/>
                  <w:szCs w:val="22"/>
                </w:rPr>
                <m:t>|b|</m:t>
              </m:r>
            </m:num>
            <m:den>
              <m:r>
                <w:rPr>
                  <w:sz w:val="22"/>
                  <w:szCs w:val="22"/>
                </w:rPr>
                <m:t>d</m:t>
              </m:r>
            </m:den>
          </m:f>
          <m:r>
            <w:rPr>
              <w:sz w:val="22"/>
              <w:szCs w:val="22"/>
            </w:rPr>
            <m:t>,   λ = 0.01</m:t>
          </m:r>
        </m:oMath>
      </m:oMathPara>
    </w:p>
    <w:p>
      <w:pPr>
        <w:spacing w:line="360" w:lineRule="auto" w:after="200"/>
        <w:jc w:val="both"/>
      </w:pPr>
      <w:r>
        <w:rPr>
          <w:rFonts w:ascii="Times New Roman" w:hAnsi="Times New Roman" w:cs="Times New Roman" w:eastAsia="Times New Roman"/>
          <w:i w:val="0"/>
          <w:sz w:val="22"/>
        </w:rPr>
        <w:t>where Acc(b) is the stratified 5-fold KNN accuracy (k = 5) computed on the selected features alone and λ is the cardinality weight (Table 10, later in this section, reports a sensitivity sweep over λ). Every baseline in this study optimizes this same objective with the same λ = 0.01.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w:rPr>
              <w:sz w:val="22"/>
              <w:szCs w:val="22"/>
            </w:rPr>
            <m:t>R</m:t>
          </m:r>
          <m:d>
            <m:dPr>
              <m:begChr m:val="("/>
              <m:endChr m:val=")"/>
            </m:dPr>
            <m:e>
              <m:r>
                <w:rPr>
                  <w:sz w:val="22"/>
                  <w:szCs w:val="22"/>
                </w:rPr>
                <m:t>t</m:t>
              </m:r>
            </m:e>
          </m:d>
          <m:r>
            <w:rPr>
              <w:sz w:val="22"/>
              <w:szCs w:val="22"/>
            </w:rPr>
            <m:t> = </m:t>
          </m:r>
          <m:sSub>
            <m:e>
              <m:r>
                <w:rPr>
                  <w:sz w:val="22"/>
                  <w:szCs w:val="22"/>
                </w:rPr>
                <m:t>S</m:t>
              </m:r>
            </m:e>
            <m:sub>
              <m:r>
                <w:rPr>
                  <w:sz w:val="22"/>
                  <w:szCs w:val="22"/>
                </w:rPr>
                <m:t>M</m:t>
              </m:r>
            </m:sub>
          </m:sSub>
          <m:r>
            <w:rPr>
              <w:sz w:val="22"/>
              <w:szCs w:val="22"/>
            </w:rPr>
            <m:t> − </m:t>
          </m:r>
          <m:sSub>
            <m:e>
              <m:r>
                <w:rPr>
                  <w:sz w:val="22"/>
                  <w:szCs w:val="22"/>
                </w:rPr>
                <m:t>S</m:t>
              </m:r>
            </m:e>
            <m:sub>
              <m:r>
                <w:rPr>
                  <w:sz w:val="22"/>
                  <w:szCs w:val="22"/>
                </w:rPr>
                <m:t>M</m:t>
              </m:r>
            </m:sub>
          </m:sSub>
          <m:r>
            <w:rPr>
              <w:sz w:val="22"/>
              <w:szCs w:val="22"/>
            </w:rPr>
            <m:t>·</m:t>
          </m:r>
          <m:f>
            <m:fPr/>
            <m:num>
              <m:r>
                <w:rPr>
                  <w:sz w:val="22"/>
                  <w:szCs w:val="22"/>
                </w:rPr>
                <m:t>t</m:t>
              </m:r>
            </m:num>
            <m:den>
              <m:sSub>
                <m:e>
                  <m:r>
                    <w:rPr>
                      <w:sz w:val="22"/>
                      <w:szCs w:val="22"/>
                    </w:rPr>
                    <m:t>T</m:t>
                  </m:r>
                </m:e>
                <m:sub>
                  <m:r>
                    <w:rPr>
                      <w:sz w:val="22"/>
                      <w:szCs w:val="22"/>
                    </w:rPr>
                    <m:t>max</m:t>
                  </m:r>
                </m:sub>
              </m:sSub>
            </m:den>
          </m:f>
          <m:r>
            <w:rPr>
              <w:sz w:val="22"/>
              <w:szCs w:val="22"/>
            </w:rPr>
            <m:t>,   </m:t>
          </m:r>
          <m:sSub>
            <m:e>
              <m:r>
                <w:rPr>
                  <w:sz w:val="22"/>
                  <w:szCs w:val="22"/>
                </w:rPr>
                <m:t>S</m:t>
              </m:r>
            </m:e>
            <m:sub>
              <m:r>
                <w:rPr>
                  <w:sz w:val="22"/>
                  <w:szCs w:val="22"/>
                </w:rPr>
                <m:t>M</m:t>
              </m:r>
            </m:sub>
          </m:sSub>
          <m:r>
            <w:rPr>
              <w:sz w:val="22"/>
              <w:szCs w:val="22"/>
            </w:rP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Consider any binary-native optimizer that keeps a real-valued position and binarizes coordinate j through a transfer T: R → [0,1]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its entire effect on the discrete decision is the induced change in probability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Let T: R → [0,1]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δ</w:t>
      </w:r>
      <w:r>
        <w:rPr>
          <w:rFonts w:ascii="Times New Roman" w:hAnsi="Times New Roman" w:cs="Times New Roman" w:eastAsia="Times New Roman"/>
          <w:i/>
          <w:vertAlign w:val="subscript"/>
        </w:rPr>
        <w:t>j</w:t>
      </w:r>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w:rPr>
                      <w:sz w:val="22"/>
                      <w:szCs w:val="22"/>
                    </w:rPr>
                    <m:t>Δ</m:t>
                  </m:r>
                </m:e>
                <m:sub>
                  <m:r>
                    <w:rPr>
                      <w:sz w:val="22"/>
                      <w:szCs w:val="22"/>
                    </w:rPr>
                    <m:t>j</m:t>
                  </m:r>
                </m:sub>
              </m:sSub>
            </m:e>
          </m:d>
          <m:r>
            <w:rPr>
              <w:sz w:val="22"/>
              <w:szCs w:val="22"/>
            </w:rPr>
            <m:t> ≤ </m:t>
          </m:r>
          <m:sSub>
            <m:e>
              <m:d>
                <m:dPr>
                  <m:begChr m:val="‖"/>
                  <m:endChr m:val="‖"/>
                </m:dPr>
                <m:e>
                  <m:r>
                    <w:rPr>
                      <w:sz w:val="22"/>
                      <w:szCs w:val="22"/>
                    </w:rPr>
                    <m:t>T′</m:t>
                  </m:r>
                </m:e>
              </m:d>
            </m:e>
            <m:sub>
              <m:r>
                <w:rPr>
                  <w:sz w:val="22"/>
                  <w:szCs w:val="22"/>
                </w:rPr>
                <m:t>∞</m:t>
              </m:r>
            </m:sub>
          </m:sSub>
          <m:r>
            <w:rPr>
              <w:sz w:val="22"/>
              <w:szCs w:val="22"/>
            </w:rPr>
            <m:t> · </m:t>
          </m:r>
          <m:d>
            <m:dPr>
              <m:begChr m:val="|"/>
              <m:endChr m:val="|"/>
            </m:dPr>
            <m:e>
              <m:sSub>
                <m:e>
                  <m:r>
                    <w:rPr>
                      <w:sz w:val="22"/>
                      <w:szCs w:val="22"/>
                    </w:rPr>
                    <m:t>δ</m:t>
                  </m:r>
                </m:e>
                <m:sub>
                  <m:r>
                    <w:rPr>
                      <w:sz w:val="22"/>
                      <w:szCs w:val="22"/>
                    </w:rPr>
                    <m:t>j</m:t>
                  </m:r>
                </m:sub>
              </m:sSub>
            </m:e>
          </m:d>
        </m:oMath>
      </m:oMathPara>
    </w:p>
    <w:p>
      <w:pPr>
        <w:spacing w:line="360" w:lineRule="auto" w:after="200"/>
        <w:jc w:val="both"/>
      </w:pPr>
      <w:r>
        <w:rPr>
          <w:rFonts w:ascii="Times New Roman" w:hAnsi="Times New Roman" w:cs="Times New Roman" w:eastAsia="Times New Roman"/>
          <w:i/>
          <w:sz w:val="22"/>
        </w:rPr>
        <w:t>where ‖T′‖∞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For the two standard transfers ‖σ′‖∞ = 1/4 and ‖|tanh|′‖∞ = 1, and each slope decays away from the origin,</w:t>
      </w:r>
    </w:p>
    <w:p>
      <w:pPr>
        <w:jc w:val="center"/>
      </w:pPr>
      <m:oMathPara>
        <m:oMath>
          <m:r>
            <w:rPr>
              <w:sz w:val="22"/>
              <w:szCs w:val="22"/>
            </w:rPr>
            <m:t>σ′</m:t>
          </m:r>
          <m:d>
            <m:dPr>
              <m:begChr m:val="("/>
              <m:endChr m:val=")"/>
            </m:dPr>
            <m:e>
              <m:r>
                <w:rPr>
                  <w:sz w:val="22"/>
                  <w:szCs w:val="22"/>
                </w:rPr>
                <m:t>x</m:t>
              </m:r>
            </m:e>
          </m:d>
          <m:r>
            <w:rPr>
              <w:sz w:val="22"/>
              <w:szCs w:val="22"/>
            </w:rPr>
            <m:t> ≤ </m:t>
          </m:r>
          <m:sSup>
            <m:e>
              <m:r>
                <w:rPr>
                  <w:sz w:val="22"/>
                  <w:szCs w:val="22"/>
                </w:rPr>
                <m:t>e</m:t>
              </m:r>
            </m:e>
            <m:sup>
              <m:r>
                <w:rPr>
                  <w:sz w:val="22"/>
                  <w:szCs w:val="22"/>
                </w:rPr>
                <m:t>−|x|</m:t>
              </m:r>
            </m:sup>
          </m:sSup>
        </m:oMath>
      </m:oMathPara>
    </w:p>
    <w:p>
      <w:pPr>
        <w:jc w:val="center"/>
      </w:pPr>
      <m:oMathPara>
        <m:oMath>
          <m:d>
            <m:dPr>
              <m:begChr m:val="|"/>
              <m:endChr m:val="|"/>
            </m:dPr>
            <m:e>
              <m:r>
                <w:rPr>
                  <w:sz w:val="22"/>
                  <w:szCs w:val="22"/>
                </w:rPr>
                <m:t>|tanh|′</m:t>
              </m:r>
              <m:d>
                <m:dPr>
                  <m:begChr m:val="("/>
                  <m:endChr m:val=")"/>
                </m:dPr>
                <m:e>
                  <m:r>
                    <w:rPr>
                      <w:sz w:val="22"/>
                      <w:szCs w:val="22"/>
                    </w:rPr>
                    <m:t>x</m:t>
                  </m:r>
                </m:e>
              </m:d>
            </m:e>
          </m:d>
          <m:r>
            <w:rPr>
              <w:sz w:val="22"/>
              <w:szCs w:val="22"/>
            </w:rPr>
            <m:t> ≤ 4</m:t>
          </m:r>
          <m:sSup>
            <m:e>
              <m:r>
                <w:rPr>
                  <w:sz w:val="22"/>
                  <w:szCs w:val="22"/>
                </w:rPr>
                <m:t>e</m:t>
              </m:r>
            </m:e>
            <m:sup>
              <m:r>
                <w:rPr>
                  <w:sz w:val="22"/>
                  <w:szCs w:val="22"/>
                </w:rPr>
                <m:t>−2|x|</m:t>
              </m:r>
            </m:sup>
          </m:sSup>
        </m:oMath>
      </m:oMathPara>
    </w:p>
    <w:p>
      <w:pPr>
        <w:spacing w:line="360" w:lineRule="auto" w:after="200"/>
        <w:jc w:val="both"/>
      </w:pPr>
      <w:r>
        <w:rPr>
          <w:rFonts w:ascii="Times New Roman" w:hAnsi="Times New Roman" w:cs="Times New Roman" w:eastAsia="Times New Roman"/>
          <w:i/>
          <w:sz w:val="22"/>
        </w:rPr>
        <w:t>in a flat region, where ‖T′‖∞ ≤ ε, the leverage collapses to |Δ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 ε·|δ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(proof in the Supplementary Information PDF distributed with this submission).</w:t>
      </w:r>
    </w:p>
    <w:p>
      <w:pPr>
        <w:sectPr>
          <w:footerReference w:type="default" r:id="rId46"/>
          <w:type w:val="continuous"/>
          <w:pgSz w:w="11906" w:h="16838"/>
          <w:pgMar w:top="1417" w:right="1417" w:bottom="1417" w:left="1417"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7" name="Picture 7"/>
            <wp:cNvGraphicFramePr>
              <a:graphicFrameLocks noChangeAspect="1"/>
            </wp:cNvGraphicFramePr>
            <a:graphic>
              <a:graphicData uri="http://schemas.openxmlformats.org/drawingml/2006/picture">
                <pic:pic>
                  <pic:nvPicPr>
                    <pic:cNvPr id="0" name="washout.png"/>
                    <pic:cNvPicPr/>
                  </pic:nvPicPr>
                  <pic:blipFill>
                    <a:blip r:embed="rId15"/>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Fig. 7. Illustration of Lemma 1. Left: the two standard transfers, S-shaped (sigmoid) and V-shaped (|tanh|). Right: the induced leverage |T(x+δ)−T(x)| for a fixed perturbation δ=0.2,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footerReference w:type="default" r:id="rId47"/>
          <w:type w:val="continuous"/>
          <w:pgSz w:w="11906" w:h="16838"/>
          <w:pgMar w:top="1417" w:right="1417" w:bottom="1417" w:left="1417"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w:rPr>
                  <w:sz w:val="22"/>
                  <w:szCs w:val="22"/>
                </w:rPr>
                <m:t>Δ</m:t>
              </m:r>
            </m:e>
            <m:sub>
              <m:r>
                <w:rPr>
                  <w:sz w:val="22"/>
                  <w:szCs w:val="22"/>
                </w:rPr>
                <m:t>j</m:t>
              </m:r>
            </m:sub>
          </m:sSub>
          <m:r>
            <w:rPr>
              <w:sz w:val="22"/>
              <w:szCs w:val="22"/>
            </w:rPr>
            <m:t> = ± γ·</m:t>
          </m:r>
          <m:sSub>
            <m:e>
              <m:r>
                <w:rPr>
                  <w:sz w:val="22"/>
                  <w:szCs w:val="22"/>
                </w:rPr>
                <m:t>s</m:t>
              </m:r>
            </m:e>
            <m:sub>
              <m:r>
                <w:rPr>
                  <w:sz w:val="22"/>
                  <w:szCs w:val="22"/>
                </w:rPr>
                <m:t>j</m:t>
              </m:r>
            </m:sub>
          </m:sSub>
          <m:r>
            <w:rPr>
              <w:sz w:val="22"/>
              <w:szCs w:val="22"/>
            </w:rPr>
            <m:t>·V</m:t>
          </m:r>
          <m:d>
            <m:dPr>
              <m:begChr m:val="("/>
              <m:endChr m:val=")"/>
            </m:dPr>
            <m:e>
              <m:sSub>
                <m:e>
                  <m:r>
                    <w:rPr>
                      <w:sz w:val="22"/>
                      <w:szCs w:val="22"/>
                    </w:rPr>
                    <m:t>x</m:t>
                  </m:r>
                </m:e>
                <m:sub>
                  <m:r>
                    <w:rPr>
                      <w:sz w:val="22"/>
                      <w:szCs w:val="22"/>
                    </w:rP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This exemption has one boundary case worth flagging: it holds where the clip in Eq. (2) is inactive. If V(xⱼ)(1+γσⱼsⱼ) already falls outside [0,1], the clip absorbs the modulation and pⱼ saturates regardless of γ,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w:rPr>
                  <w:sz w:val="22"/>
                  <w:szCs w:val="22"/>
                </w:rPr>
                <m:t>P</m:t>
              </m:r>
            </m:e>
            <m:sub>
              <m:r>
                <w:rPr>
                  <w:sz w:val="22"/>
                  <w:szCs w:val="22"/>
                </w:rPr>
                <m:t>base</m:t>
              </m:r>
            </m:sub>
          </m:sSub>
          <m:d>
            <m:dPr>
              <m:begChr m:val="("/>
              <m:endChr m:val=")"/>
            </m:dPr>
            <m:e>
              <m:sSub>
                <m:e>
                  <m:r>
                    <w:rPr>
                      <w:sz w:val="22"/>
                      <w:szCs w:val="22"/>
                    </w:rPr>
                    <m:t>b</m:t>
                  </m:r>
                </m:e>
                <m:sub>
                  <m:r>
                    <w:rPr>
                      <w:sz w:val="22"/>
                      <w:szCs w:val="22"/>
                    </w:rPr>
                    <m:t>j</m:t>
                  </m:r>
                </m:sub>
              </m:sSub>
              <m:r>
                <w:rPr>
                  <w:sz w:val="22"/>
                  <w:szCs w:val="22"/>
                </w:rPr>
                <m:t>(t+1)≠</m:t>
              </m:r>
              <m:sSub>
                <m:e>
                  <m:r>
                    <w:rPr>
                      <w:sz w:val="22"/>
                      <w:szCs w:val="22"/>
                    </w:rPr>
                    <m:t>b</m:t>
                  </m:r>
                </m:e>
                <m:sub>
                  <m:r>
                    <w:rPr>
                      <w:sz w:val="22"/>
                      <w:szCs w:val="22"/>
                    </w:rPr>
                    <m:t>j</m:t>
                  </m:r>
                </m:sub>
              </m:sSub>
              <m:r>
                <w:rPr>
                  <w:sz w:val="22"/>
                  <w:szCs w:val="22"/>
                </w:rPr>
                <m:t>(t) | </m:t>
              </m:r>
              <m:sSub>
                <m:e>
                  <m:r>
                    <w:rPr>
                      <w:sz w:val="22"/>
                      <w:szCs w:val="22"/>
                    </w:rPr>
                    <m:t>x</m:t>
                  </m:r>
                </m:e>
                <m:sub>
                  <m:r>
                    <w:rPr>
                      <w:sz w:val="22"/>
                      <w:szCs w:val="22"/>
                    </w:rPr>
                    <m:t>j</m:t>
                  </m:r>
                </m:sub>
              </m:sSub>
              <m:r>
                <w:rPr>
                  <w:sz w:val="22"/>
                  <w:szCs w:val="22"/>
                </w:rPr>
                <m:t>(t)</m:t>
              </m:r>
            </m:e>
          </m:d>
          <m:r>
            <w:rPr>
              <w:sz w:val="22"/>
              <w:szCs w:val="22"/>
            </w:rPr>
            <m:t> = T</m:t>
          </m:r>
          <m:d>
            <m:dPr>
              <m:begChr m:val="("/>
              <m:endChr m:val=")"/>
            </m:dPr>
            <m:e>
              <m:sSub>
                <m:e>
                  <m:r>
                    <w:rPr>
                      <w:sz w:val="22"/>
                      <w:szCs w:val="22"/>
                    </w:rPr>
                    <m:t>x</m:t>
                  </m:r>
                </m:e>
                <m:sub>
                  <m:r>
                    <w:rPr>
                      <w:sz w:val="22"/>
                      <w:szCs w:val="22"/>
                    </w:rPr>
                    <m:t>j</m:t>
                  </m:r>
                </m:sub>
              </m:sSub>
              <m:r>
                <w:rPr>
                  <w:sz w:val="22"/>
                  <w:szCs w:val="22"/>
                </w:rPr>
                <m:t>(t)</m:t>
              </m:r>
            </m:e>
          </m:d>
        </m:oMath>
      </m:oMathPara>
    </w:p>
    <w:p>
      <w:r>
        <w:rPr>
          <w:rFonts w:ascii="Times New Roman" w:hAnsi="Times New Roman" w:cs="Times New Roman" w:eastAsia="Times New Roman"/>
          <w:i/>
        </w:rPr>
        <w:t>Lemma 1's bound on Δ</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w:rPr>
                  <w:sz w:val="22"/>
                  <w:szCs w:val="22"/>
                </w:rPr>
                <m:t>ΔP</m:t>
              </m:r>
              <m:d>
                <m:dPr>
                  <m:begChr m:val="("/>
                  <m:endChr m:val=")"/>
                </m:dPr>
                <m:e>
                  <m:sSub>
                    <m:e>
                      <m:r>
                        <w:rPr>
                          <w:sz w:val="22"/>
                          <w:szCs w:val="22"/>
                        </w:rPr>
                        <m:t>b</m:t>
                      </m:r>
                    </m:e>
                    <m:sub>
                      <m:r>
                        <w:rPr>
                          <w:sz w:val="22"/>
                          <w:szCs w:val="22"/>
                        </w:rPr>
                        <m:t>j</m:t>
                      </m:r>
                    </m:sub>
                  </m:sSub>
                  <m:r>
                    <w:rPr>
                      <w:sz w:val="22"/>
                      <w:szCs w:val="22"/>
                    </w:rPr>
                    <m:t>(t+1)≠</m:t>
                  </m:r>
                  <m:sSub>
                    <m:e>
                      <m:r>
                        <w:rPr>
                          <w:sz w:val="22"/>
                          <w:szCs w:val="22"/>
                        </w:rPr>
                        <m:t>b</m:t>
                      </m:r>
                    </m:e>
                    <m:sub>
                      <m:r>
                        <w:rPr>
                          <w:sz w:val="22"/>
                          <w:szCs w:val="22"/>
                        </w:rPr>
                        <m:t>j</m:t>
                      </m:r>
                    </m:sub>
                  </m:sSub>
                  <m:r>
                    <w:rPr>
                      <w:sz w:val="22"/>
                      <w:szCs w:val="22"/>
                    </w:rPr>
                    <m:t>(t)</m:t>
                  </m:r>
                </m:e>
              </m:d>
            </m:e>
          </m:d>
          <m:r>
            <w:rPr>
              <w:sz w:val="22"/>
              <w:szCs w:val="22"/>
            </w:rPr>
            <m:t> ≤ </m:t>
          </m:r>
          <m:sSub>
            <m:e>
              <m:d>
                <m:dPr>
                  <m:begChr m:val="‖"/>
                  <m:endChr m:val="‖"/>
                </m:dPr>
                <m:e>
                  <m:r>
                    <w:rPr>
                      <w:sz w:val="22"/>
                      <w:szCs w:val="22"/>
                    </w:rPr>
                    <m:t>T′</m:t>
                  </m:r>
                </m:e>
              </m:d>
            </m:e>
            <m:sub>
              <m:r>
                <w:rPr>
                  <w:sz w:val="22"/>
                  <w:szCs w:val="22"/>
                </w:rPr>
                <m:t>∞</m:t>
              </m:r>
            </m:sub>
          </m:sSub>
          <m:r>
            <w:rPr>
              <w:sz w:val="22"/>
              <w:szCs w:val="22"/>
            </w:rPr>
            <m:t> · </m:t>
          </m:r>
          <m:d>
            <m:dPr>
              <m:begChr m:val="|"/>
              <m:endChr m:val="|"/>
            </m:dPr>
            <m:e>
              <m:sSub>
                <m:e>
                  <m:r>
                    <w:rPr>
                      <w:sz w:val="22"/>
                      <w:szCs w:val="22"/>
                    </w:rPr>
                    <m:t>δ</m:t>
                  </m:r>
                </m:e>
                <m:sub>
                  <m:r>
                    <w:rPr>
                      <w:sz w:val="22"/>
                      <w:szCs w:val="22"/>
                    </w:rPr>
                    <m:t>j</m:t>
                  </m:r>
                </m:sub>
              </m:sSub>
            </m:e>
          </m:d>
        </m:oMath>
      </m:oMathPara>
    </w:p>
    <w:p>
      <w:r>
        <w:rPr>
          <w:rFonts w:ascii="Times New Roman" w:hAnsi="Times New Roman" w:cs="Times New Roman" w:eastAsia="Times New Roman"/>
          <w:i/>
        </w:rPr>
        <w:t>Moreover, if a coordinate's trajectory and a δ-perturbed twin trajectory differ by δ</w:t>
      </w:r>
      <w:r>
        <w:rPr>
          <w:rFonts w:ascii="Times New Roman" w:hAnsi="Times New Roman" w:cs="Times New Roman" w:eastAsia="Times New Roman"/>
          <w:i/>
          <w:vertAlign w:val="subscript"/>
        </w:rPr>
        <w:t>j</w:t>
      </w:r>
      <w:r>
        <w:rPr>
          <w:rFonts w:ascii="Times New Roman" w:hAnsi="Times New Roman" w:cs="Times New Roman" w:eastAsia="Times New Roman"/>
          <w:i/>
        </w:rPr>
        <w:t>(t) at each of N successive iterations, and T′≤ε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w:rPr>
                  <w:sz w:val="22"/>
                  <w:szCs w:val="22"/>
                </w:rPr>
                <m:t>Σ</m:t>
              </m:r>
              <m:d>
                <m:dPr>
                  <m:begChr m:val="("/>
                  <m:endChr m:val=")"/>
                </m:dPr>
                <m:e>
                  <m:r>
                    <w:rPr>
                      <w:sz w:val="22"/>
                      <w:szCs w:val="22"/>
                    </w:rPr>
                    <m:t>t=1..N</m:t>
                  </m:r>
                </m:e>
              </m:d>
              <m:r>
                <w:rPr>
                  <w:sz w:val="22"/>
                  <w:szCs w:val="22"/>
                </w:rPr>
                <m:t> ΔP</m:t>
              </m:r>
              <m:d>
                <m:dPr>
                  <m:begChr m:val="("/>
                  <m:endChr m:val=")"/>
                </m:dPr>
                <m:e>
                  <m:sSub>
                    <m:e>
                      <m:r>
                        <w:rPr>
                          <w:sz w:val="22"/>
                          <w:szCs w:val="22"/>
                        </w:rPr>
                        <m:t>b</m:t>
                      </m:r>
                    </m:e>
                    <m:sub>
                      <m:r>
                        <w:rPr>
                          <w:sz w:val="22"/>
                          <w:szCs w:val="22"/>
                        </w:rPr>
                        <m:t>j</m:t>
                      </m:r>
                    </m:sub>
                  </m:sSub>
                  <m:r>
                    <w:rPr>
                      <w:sz w:val="22"/>
                      <w:szCs w:val="22"/>
                    </w:rPr>
                    <m:t>(t+1)≠</m:t>
                  </m:r>
                  <m:sSub>
                    <m:e>
                      <m:r>
                        <w:rPr>
                          <w:sz w:val="22"/>
                          <w:szCs w:val="22"/>
                        </w:rPr>
                        <m:t>b</m:t>
                      </m:r>
                    </m:e>
                    <m:sub>
                      <m:r>
                        <w:rPr>
                          <w:sz w:val="22"/>
                          <w:szCs w:val="22"/>
                        </w:rPr>
                        <m:t>j</m:t>
                      </m:r>
                    </m:sub>
                  </m:sSub>
                  <m:r>
                    <w:rPr>
                      <w:sz w:val="22"/>
                      <w:szCs w:val="22"/>
                    </w:rPr>
                    <m:t>(t)</m:t>
                  </m:r>
                </m:e>
              </m:d>
            </m:e>
          </m:d>
          <m:r>
            <w:rPr>
              <w:sz w:val="22"/>
              <w:szCs w:val="22"/>
            </w:rPr>
            <m:t> ≤ ε·Σ</m:t>
          </m:r>
          <m:d>
            <m:dPr>
              <m:begChr m:val="("/>
              <m:endChr m:val=")"/>
            </m:dPr>
            <m:e>
              <m:r>
                <w:rPr>
                  <w:sz w:val="22"/>
                  <w:szCs w:val="22"/>
                </w:rPr>
                <m:t>t=1..N</m:t>
              </m:r>
            </m:e>
          </m:d>
          <m:d>
            <m:dPr>
              <m:begChr m:val="|"/>
              <m:endChr m:val="|"/>
            </m:dPr>
            <m:e>
              <m:sSub>
                <m:e>
                  <m:r>
                    <w:rPr>
                      <w:sz w:val="22"/>
                      <w:szCs w:val="22"/>
                    </w:rPr>
                    <m:t>δ</m:t>
                  </m:r>
                </m:e>
                <m:sub>
                  <m:r>
                    <w:rPr>
                      <w:sz w:val="22"/>
                      <w:szCs w:val="22"/>
                    </w:rP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With relevance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0.5 else 0, and strength s</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2|ρ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− 0.5|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w:rPr>
                  <w:sz w:val="22"/>
                  <w:szCs w:val="22"/>
                </w:rPr>
                <m:t>p</m:t>
              </m:r>
            </m:e>
            <m:sub>
              <m:r>
                <w:rPr>
                  <w:sz w:val="22"/>
                  <w:szCs w:val="22"/>
                </w:rPr>
                <m:t>j</m:t>
              </m:r>
            </m:sub>
          </m:sSub>
          <m:r>
            <w:rPr>
              <w:sz w:val="22"/>
              <w:szCs w:val="22"/>
            </w:rPr>
            <m:t> = clip</m:t>
          </m:r>
          <m:d>
            <m:dPr>
              <m:begChr m:val="("/>
              <m:endChr m:val=")"/>
            </m:dPr>
            <m:e>
              <m:r>
                <w:rPr>
                  <w:sz w:val="22"/>
                  <w:szCs w:val="22"/>
                </w:rPr>
                <m:t>|tanh</m:t>
              </m:r>
              <m:d>
                <m:dPr>
                  <m:begChr m:val="("/>
                  <m:endChr m:val=")"/>
                </m:dPr>
                <m:e>
                  <m:sSub>
                    <m:e>
                      <m:r>
                        <w:rPr>
                          <w:sz w:val="22"/>
                          <w:szCs w:val="22"/>
                        </w:rPr>
                        <m:t>x</m:t>
                      </m:r>
                    </m:e>
                    <m:sub>
                      <m:r>
                        <w:rPr>
                          <w:sz w:val="22"/>
                          <w:szCs w:val="22"/>
                        </w:rPr>
                        <m:t>j</m:t>
                      </m:r>
                    </m:sub>
                  </m:sSub>
                </m:e>
              </m:d>
              <m:r>
                <w:rPr>
                  <w:sz w:val="22"/>
                  <w:szCs w:val="22"/>
                </w:rPr>
                <m:t>|·</m:t>
              </m:r>
              <m:d>
                <m:dPr>
                  <m:begChr m:val="("/>
                  <m:endChr m:val=")"/>
                </m:dPr>
                <m:e>
                  <m:r>
                    <w:rPr>
                      <w:sz w:val="22"/>
                      <w:szCs w:val="22"/>
                    </w:rPr>
                    <m:t>1+γ·</m:t>
                  </m:r>
                  <m:sSub>
                    <m:e>
                      <m:r>
                        <w:rPr>
                          <w:sz w:val="22"/>
                          <w:szCs w:val="22"/>
                        </w:rPr>
                        <m:t>σ</m:t>
                      </m:r>
                    </m:e>
                    <m:sub>
                      <m:r>
                        <w:rPr>
                          <w:sz w:val="22"/>
                          <w:szCs w:val="22"/>
                        </w:rPr>
                        <m:t>j</m:t>
                      </m:r>
                    </m:sub>
                  </m:sSub>
                  <m:r>
                    <w:rPr>
                      <w:sz w:val="22"/>
                      <w:szCs w:val="22"/>
                    </w:rPr>
                    <m:t>·</m:t>
                  </m:r>
                  <m:sSub>
                    <m:e>
                      <m:r>
                        <w:rPr>
                          <w:sz w:val="22"/>
                          <w:szCs w:val="22"/>
                        </w:rPr>
                        <m:t>s</m:t>
                      </m:r>
                    </m:e>
                    <m:sub>
                      <m:r>
                        <w:rPr>
                          <w:sz w:val="22"/>
                          <w:szCs w:val="22"/>
                        </w:rPr>
                        <m:t>j</m:t>
                      </m:r>
                    </m:sub>
                  </m:sSub>
                </m:e>
              </m:d>
              <m:r>
                <w:rPr>
                  <w:sz w:val="22"/>
                  <w:szCs w:val="22"/>
                </w:rPr>
                <m:t>, 0, 1</m:t>
              </m:r>
            </m:e>
          </m:d>
        </m:oMath>
      </m:oMathPara>
    </w:p>
    <w:p>
      <w:pPr>
        <w:spacing w:line="360" w:lineRule="auto" w:after="200"/>
        <w:jc w:val="both"/>
      </w:pPr>
      <w:r>
        <w:rPr>
          <w:rFonts w:ascii="Times New Roman" w:hAnsi="Times New Roman" w:cs="Times New Roman" w:eastAsia="Times New Roman"/>
          <w:i w:val="0"/>
          <w:sz w:val="22"/>
        </w:rPr>
        <w:t>where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otherwise. Setting γ = 0 recovers a plain V-shaped operator (the NoRMS ablation). The 0.5 threshold that separates preferred from disfavored bits is a convenience, not a theoretically grounded neutral point: with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(τ in {0.4, 0.5, 0.6}, Results Section 3.5) supports this choice as reasonable rather than arbitrary: τ=0.5 attains the highest accuracy on two of five datasets tested, and every value trades a modest, dataset-dependent accuracy shift for a monotonic reduction in feature count as τ increases, with no single value dominating uniformly.</w:t>
      </w:r>
    </w:p>
    <w:p>
      <w:pPr>
        <w:jc w:val="both"/>
      </w:pPr>
      <w:r>
        <w:rPr>
          <w:rFonts w:ascii="Times New Roman" w:hAnsi="Times New Roman" w:cs="Times New Roman" w:eastAsia="Times New Roman"/>
          <w:sz w:val="22"/>
        </w:rPr>
        <w:t xml:space="preserve">The field ρ that drives this mechanism is, in the final method, the static prior ρstatic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w:rPr>
              <w:sz w:val="22"/>
              <w:szCs w:val="22"/>
            </w:rPr>
            <m:t>N</m:t>
          </m:r>
          <m:r>
            <w:rPr>
              <w:sz w:val="22"/>
              <w:szCs w:val="22"/>
            </w:rPr>
            <m:t> × </m:t>
          </m:r>
          <m:sSub>
            <m:e>
              <m:r>
                <w:rPr>
                  <w:sz w:val="22"/>
                  <w:szCs w:val="22"/>
                </w:rPr>
                <m:t>T</m:t>
              </m:r>
            </m:e>
            <m:sub>
              <m:r>
                <w:rPr>
                  <w:sz w:val="22"/>
                  <w:szCs w:val="22"/>
                </w:rPr>
                <m:t>max</m:t>
              </m:r>
            </m:sub>
          </m:sSub>
          <m:r>
            <w:rPr>
              <w:sz w:val="22"/>
              <w:szCs w:val="22"/>
            </w:rP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footerReference w:type="default" r:id="rId48"/>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Table 9 Per-iteration computational cost of the seven compared algorithms. N = population size (30), d = search-space dimension (number of features), K = number of UMR memetic probes per iteration (8). Position-update cost is the standard O(N·d)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w:rPr>
              <w:sz w:val="22"/>
              <w:szCs w:val="22"/>
            </w:rPr>
            <m:t>N</m:t>
          </m:r>
          <m:r>
            <w:rPr>
              <w:sz w:val="22"/>
              <w:szCs w:val="22"/>
            </w:rPr>
            <m:t> × </m:t>
          </m:r>
          <m:sSub>
            <m:e>
              <m:r>
                <w:rPr>
                  <w:sz w:val="22"/>
                  <w:szCs w:val="22"/>
                </w:rPr>
                <m:t>T</m:t>
              </m:r>
            </m:e>
            <m:sub>
              <m:r>
                <w:rPr>
                  <w:sz w:val="22"/>
                  <w:szCs w:val="22"/>
                </w:rPr>
                <m:t>max</m:t>
              </m:r>
            </m:sub>
          </m:sSub>
          <m:r>
            <w:rPr>
              <w:sz w:val="22"/>
              <w:szCs w:val="22"/>
            </w:rP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footerReference w:type="default" r:id="rId49"/>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The λ = 0.01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λ values spanning zero cardinality penalty to 5× the deployed weight. Table 10 reports the sweep.</w:t>
      </w:r>
    </w:p>
    <w:p>
      <w:pPr>
        <w:sectPr>
          <w:footerReference w:type="default" r:id="rId50"/>
          <w:type w:val="continuous"/>
          <w:pgSz w:w="11906" w:h="16838"/>
          <w:pgMar w:top="1417" w:right="1417" w:bottom="1417" w:left="1417"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w:r>
              <w:rPr>
                <w:rFonts w:ascii="Times New Roman" w:hAnsi="Times New Roman" w:cs="Times New Roman" w:eastAsia="Times New Roman"/>
                <w:b/>
                <w:sz w:val="16"/>
              </w:rPr>
              <w:t>λ</w:t>
            </w:r>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(λ in {0, 0.001, 0.005, 0.01, 0.02, 0.05} in Eq. (1); 30 independent runs per cell, same protocol and five of the 18 datasets used elsewhere in this section). Highest accuracy per dataset in bold. Accuracy is essentially flat across the sweep: λ=0.01, the value deployed throughout this paper, attains the highest accuracy on one of five datasets and is within 0.3 percentage points of the best value on the remaining four, well inside the run-to-run standard deviation. Mean selected-feature count trends downward as λ increases on every dataset (cleanest on WDBC, noisier on the higher-dimensional ColonCancer and Sonar sets), so λ mainly trades a modest, dataset-dependent subset reduction against a negligible accuracy change; 0.01 sits inside this flat region rather than at either extreme.</w:t>
      </w:r>
    </w:p>
    <w:p>
      <w:pPr>
        <w:sectPr>
          <w:footerReference w:type="default" r:id="rId51"/>
          <w:type w:val="continuous"/>
          <w:pgSz w:w="11906" w:h="16838"/>
          <w:pgMar w:top="1417" w:right="1417" w:bottom="1417" w:left="1417"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preregistered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γ = 0.5, τ = 0.5, and K = 8 are likewise fixed before the full run; τ and the cardinality weight λ are additionally characterized by the sensitivity sweeps in Supplementary Information, while γ and K were frozen from the preregistration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α = 0.05.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preregistered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The relevance prior, the binarization threshold τ, the cardinality weight λ,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Use of AI tools</w:t>
      </w:r>
    </w:p>
    <w:p>
      <w:pPr>
        <w:spacing w:line="360" w:lineRule="auto" w:after="200"/>
        <w:jc w:val="both"/>
      </w:pPr>
      <w:r>
        <w:rPr>
          <w:rFonts w:ascii="Times New Roman" w:hAnsi="Times New Roman" w:cs="Times New Roman" w:eastAsia="Times New Roman"/>
          <w:i w:val="0"/>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preregistration,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footerReference w:type="default" r:id="rId52"/>
      <w:type w:val="continuous"/>
      <w:pgSz w:w="11906" w:h="16838"/>
      <w:pgMar w:top="1417" w:right="1417" w:bottom="1417" w:left="1417"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hyphenationZone w:val="357"/>
  <w:doNotHyphenateCaps w:val="true"/>
  <w:autoHyphenation w:val="true"/>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 Id="rId46" Type="http://schemas.openxmlformats.org/officeDocument/2006/relationships/footer" Target="footer31.xml"/><Relationship Id="rId47" Type="http://schemas.openxmlformats.org/officeDocument/2006/relationships/footer" Target="footer32.xml"/><Relationship Id="rId48" Type="http://schemas.openxmlformats.org/officeDocument/2006/relationships/footer" Target="footer33.xml"/><Relationship Id="rId49" Type="http://schemas.openxmlformats.org/officeDocument/2006/relationships/footer" Target="footer34.xml"/><Relationship Id="rId50" Type="http://schemas.openxmlformats.org/officeDocument/2006/relationships/footer" Target="footer35.xml"/><Relationship Id="rId51" Type="http://schemas.openxmlformats.org/officeDocument/2006/relationships/footer" Target="footer36.xml"/><Relationship Id="rId52" Type="http://schemas.openxmlformats.org/officeDocument/2006/relationships/footer" Target="footer3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