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r>
        <w:rPr>
          <w:i/>
        </w:rPr>
        <w:t>Relevance-Guided Binarization for Parsimonious Feature Selection with Sand Cat Swarm Optimization</w:t>
      </w:r>
    </w:p>
    <w:p>
      <w:r>
        <w:t>Bui Quang Huy, Duong Minh Son</w:t>
      </w:r>
    </w:p>
    <w:p>
      <w:pPr>
        <w:pStyle w:val="ListBullet"/>
      </w:pPr>
      <w:r>
        <w:t>Transfer-function binarization discards swarm search detail; we name it washout</w:t>
      </w:r>
    </w:p>
    <w:p>
      <w:pPr>
        <w:pStyle w:val="ListBullet"/>
      </w:pPr>
      <w:r>
        <w:t>RG-SCSO injects per-feature MI relevance into the binarization decision of SCSO</w:t>
      </w:r>
    </w:p>
    <w:p>
      <w:pPr>
        <w:pStyle w:val="ListBullet"/>
      </w:pPr>
      <w:r>
        <w:t>Best mean accuracy and second-smallest subsets across 18 datasets at equal budget</w:t>
      </w:r>
    </w:p>
    <w:p>
      <w:pPr>
        <w:pStyle w:val="ListBullet"/>
      </w:pPr>
      <w:r>
        <w:t>Ablation localizes the gain to the binarization step, not init or the objective</w:t>
      </w:r>
    </w:p>
    <w:p>
      <w:pPr>
        <w:pStyle w:val="ListBullet"/>
      </w:pPr>
      <w:r>
        <w:t>Leak-free gain holds across KNN/SVM/RF wrappers; bounded on p&gt;&gt;n gene-expression</w:t>
      </w:r>
    </w:p>
    <w:p>
      <w:pPr>
        <w:pStyle w:val="Heading1"/>
      </w:pPr>
      <w:r>
        <w:t>Graphical Abstract</w:t>
      </w:r>
    </w:p>
    <w:p>
      <w:r>
        <w:drawing>
          <wp:inline xmlns:a="http://schemas.openxmlformats.org/drawingml/2006/main" xmlns:pic="http://schemas.openxmlformats.org/drawingml/2006/picture">
            <wp:extent cx="2377440" cy="59458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cal_abstr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94583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