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36"/>
        </w:rPr>
        <w:t>Relevance-Guided Binarization for Parsimonious Feature Selection with Sand Cat Swarm Optimization</w:t>
      </w:r>
    </w:p>
    <w:p>
      <w:pPr>
        <w:jc w:val="center"/>
      </w:pPr>
      <w:r>
        <w:rPr>
          <w:rFonts w:ascii="Times New Roman" w:hAnsi="Times New Roman" w:cs="Times New Roman" w:eastAsia="Times New Roman"/>
          <w:sz w:val="22"/>
        </w:rPr>
        <w:t>Bui Quang Huy</w:t>
      </w: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 xml:space="preserve"> and Duong Minh Son</w:t>
      </w:r>
      <w:r>
        <w:rPr>
          <w:rFonts w:ascii="Times New Roman" w:hAnsi="Times New Roman" w:cs="Times New Roman" w:eastAsia="Times New Roman"/>
          <w:sz w:val="22"/>
          <w:vertAlign w:val="superscript"/>
        </w:rPr>
        <w:t>1</w:t>
      </w:r>
    </w:p>
    <w:p>
      <w:pPr>
        <w:jc w:val="center"/>
      </w:pPr>
      <w:r>
        <w:rPr>
          <w:rFonts w:ascii="Times New Roman" w:hAnsi="Times New Roman" w:cs="Times New Roman" w:eastAsia="Times New Roman"/>
          <w:i/>
          <w:sz w:val="19"/>
          <w:vertAlign w:val="superscript"/>
        </w:rPr>
        <w:t>1</w:t>
      </w:r>
      <w:r>
        <w:rPr>
          <w:rFonts w:ascii="Times New Roman" w:hAnsi="Times New Roman" w:cs="Times New Roman" w:eastAsia="Times New Roman"/>
          <w:i/>
          <w:sz w:val="19"/>
        </w:rPr>
        <w:t>Dong A University, Da Nang, Vietnam</w:t>
      </w:r>
    </w:p>
    <w:p>
      <w:pPr>
        <w:jc w:val="center"/>
      </w:pPr>
      <w:r>
        <w:rPr>
          <w:rFonts w:ascii="Times New Roman" w:hAnsi="Times New Roman" w:cs="Times New Roman" w:eastAsia="Times New Roman"/>
          <w:i/>
          <w:sz w:val="19"/>
        </w:rPr>
        <w:t>*Corresponding author(s). E-mail(s): huybq@donga.edu.vn; Contributing authors: sondm@donga.edu.vn</w:t>
      </w:r>
    </w:p>
    <w:p>
      <w:pPr>
        <w:jc w:val="both"/>
      </w:pPr>
      <w:r>
        <w:rPr>
          <w:rFonts w:ascii="Times New Roman" w:hAnsi="Times New Roman" w:cs="Times New Roman" w:eastAsia="Times New Roman"/>
          <w:b/>
          <w:sz w:val="18"/>
        </w:rPr>
        <w:t xml:space="preserve">Abstract </w:t>
      </w:r>
      <w:r>
        <w:rPr>
          <w:rFonts w:ascii="Times New Roman" w:hAnsi="Times New Roman" w:cs="Times New Roman" w:eastAsia="Times New Roman"/>
          <w:sz w:val="18"/>
        </w:rPr>
        <w:t>Wrapper feature selection with swarm intelligence typically searches in continuous space and crosses into the binary domain through a fixed transfer function, a feature-agnostic quantization that discards the continuous operators' fine adjustments, a failure mode we identify and name washout. We diagnose washout as the reason continuous-space enhancements stop helping at the binarization boundary, and address it at that boundary: RG-SCSO replaces the fixed transfer with a per-feature, relevance-modulated binarization in which a mutual-information field biases each feature's bit-flip probability, so informative features resist removal and noise resists inclusion, while SCSO's continuous search is left otherwise unchanged. The design targets low- to medium-dimensional wrapper feature selection, where the practical goal is a smaller subset at matched accuracy. Evaluated on 18 datasets under a fixed-budget, leak-free protocol that computes the relevance prior, the search, and the cross-validated fitness only on the training partition, RG-SCSO attains the best mean held-out accuracy of the seven metaheuristics compared while selecting the second-smallest feature subsets of any method, trailing only the less-accurate COA. A controlled ablation localizes the gain to the binarization decision, not initialization or the objective, and it persists across classifier wrappers and relevance priors, with more stable subsets than the base search. On the two gene-expression (p &gt;&gt; n) sets a classical LASSO baseline is preferable, bounding the method's envelope to data without that extreme structure.</w:t>
      </w:r>
    </w:p>
    <w:p>
      <w:r>
        <w:rPr>
          <w:rFonts w:ascii="Times New Roman" w:hAnsi="Times New Roman" w:cs="Times New Roman" w:eastAsia="Times New Roman"/>
          <w:b/>
          <w:sz w:val="18"/>
        </w:rPr>
        <w:t xml:space="preserve">Keywords </w:t>
      </w:r>
      <w:r>
        <w:rPr>
          <w:rFonts w:ascii="Times New Roman" w:hAnsi="Times New Roman" w:cs="Times New Roman" w:eastAsia="Times New Roman"/>
          <w:i/>
          <w:sz w:val="18"/>
        </w:rPr>
        <w:t>Feature selection, Sand Cat Swarm Optimization, binary optimization, relevance-guided binarization, parsimony.</w:t>
      </w:r>
    </w:p>
    <w:p>
      <w:pPr>
        <w:pStyle w:val="Heading1"/>
      </w:pPr>
      <w:r>
        <w:rPr>
          <w:rFonts w:ascii="Times New Roman" w:hAnsi="Times New Roman" w:cs="Times New Roman" w:eastAsia="Times New Roman"/>
        </w:rPr>
        <w:t>1. Introduction</w:t>
      </w:r>
    </w:p>
    <w:p>
      <w:pPr>
        <w:spacing w:line="360" w:lineRule="auto" w:after="200"/>
        <w:jc w:val="both"/>
      </w:pPr>
      <w:r>
        <w:rPr>
          <w:rFonts w:ascii="Times New Roman" w:hAnsi="Times New Roman" w:cs="Times New Roman" w:eastAsia="Times New Roman"/>
          <w:sz w:val="22"/>
        </w:rP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Wrapper selection, which scores a subset by the performance of a downstream classifier, is frequently cast as a combinatorial problem solved by swarm-intelligence metaheuristics,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Most such methods were conceived for continuous optimization and are adapted to the binary space through a transfer function, most commonly an S-shaped or V-shaped map, that converts a real-valued position into a selection probability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failed to beat the base algorithm under an identical feature-selection protocol (0 wins, 1 loss, 17 ties by Wilcoxon signed-rank; Supplementary Table S5, preliminary washout study).</w:t>
      </w:r>
    </w:p>
    <w:p>
      <w:pPr>
        <w:spacing w:line="360" w:lineRule="auto" w:after="200"/>
        <w:jc w:val="both"/>
      </w:pPr>
      <w:r>
        <w:rPr>
          <w:rFonts w:ascii="Times New Roman" w:hAnsi="Times New Roman" w:cs="Times New Roman" w:eastAsia="Times New Roman"/>
          <w:i w:val="0"/>
          <w:sz w:val="22"/>
        </w:rP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pPr>
        <w:spacing w:line="360" w:lineRule="auto" w:after="200"/>
        <w:jc w:val="both"/>
      </w:pPr>
      <w:r>
        <w:rPr>
          <w:rFonts w:ascii="Times New Roman" w:hAnsi="Times New Roman" w:cs="Times New Roman" w:eastAsia="Times New Roman"/>
          <w:i w:val="0"/>
          <w:sz w:val="22"/>
        </w:rPr>
        <w:t>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range, is retained unchanged; the novelty resides entirely in the binarization (Fig. 1). The method is designed for the regime where wrapper feature selection is most often applied in practice, low- to medium-dimensional problems in which the goal is a smaller, more deployable feature subset at matched accuracy, and we evaluate it, and bound it, against that intended use rather than claiming universal dominance; on extreme p &gt;&gt; n gene-expression data a classical embedded selector remains preferable, a boundary we report as a scope of the design, not a hidden caveat. This paper makes four contributions. First, we identify washout as a mechanistic failure mode and derive a diagnostic bound, together with a cumulative extension linking it to discrete transition dynamics. Second, we propose RG-SCSO, whose ablation-confirmed centerpiece is relevance-modulated sensitivity (RMS), supplemented by a smaller, budget-neutral memetic refinement step (UMR) that a sensitivity sweep shows contributes far less than RMS; an online-learning variant of the relevance field is examined and pruned entirely by ablation. Third, we evaluate under a preregistered, fixed-budget, leak-free protocol that denies the relevance prior any access to test labels. Fourth, we report a full statistical treatment, a component ablation, and a size-fair enrichment analysis correlating the observed parsimony with relevance guidance.</w:t>
      </w:r>
    </w:p>
    <w:p>
      <w:pPr>
        <w:pStyle w:val="Heading2"/>
      </w:pPr>
      <w:r>
        <w:rPr>
          <w:rFonts w:ascii="Times New Roman" w:hAnsi="Times New Roman" w:cs="Times New Roman" w:eastAsia="Times New Roman"/>
        </w:rPr>
        <w:t>1.1 Research questions</w:t>
      </w:r>
    </w:p>
    <w:p>
      <w:pPr>
        <w:spacing w:line="360" w:lineRule="auto" w:after="200"/>
        <w:jc w:val="both"/>
      </w:pPr>
      <w:r>
        <w:rPr>
          <w:rFonts w:ascii="Times New Roman" w:hAnsi="Times New Roman" w:cs="Times New Roman" w:eastAsia="Times New Roman"/>
          <w:i w:val="0"/>
          <w:sz w:val="22"/>
        </w:rPr>
        <w:t>This study is organized around four research questions, each answered directly by a specific part of Results or Discussion below.</w:t>
      </w:r>
    </w:p>
    <w:p>
      <w:pPr>
        <w:pStyle w:val="ListBullet"/>
        <w:jc w:val="both"/>
      </w:pPr>
      <w:r>
        <w:rPr>
          <w:rFonts w:ascii="Times New Roman" w:hAnsi="Times New Roman" w:cs="Times New Roman" w:eastAsia="Times New Roman"/>
          <w:sz w:val="22"/>
        </w:rPr>
        <w:t>RQ1. Does relevance-modulated binarization improve held-out feature-selection performance under a fixed computational budget? Addressed in Section 3.1 (Table 2, Fig. 3).</w:t>
      </w:r>
    </w:p>
    <w:p>
      <w:pPr>
        <w:pStyle w:val="ListBullet"/>
        <w:jc w:val="both"/>
      </w:pPr>
      <w:r>
        <w:rPr>
          <w:rFonts w:ascii="Times New Roman" w:hAnsi="Times New Roman" w:cs="Times New Roman" w:eastAsia="Times New Roman"/>
          <w:sz w:val="22"/>
        </w:rPr>
        <w:t>RQ2. Can RG-SCSO reduce the number of selected features while preserving competitive generalization accuracy? Addressed in Section 3.2.</w:t>
      </w:r>
    </w:p>
    <w:p>
      <w:pPr>
        <w:pStyle w:val="ListBullet"/>
        <w:jc w:val="both"/>
      </w:pPr>
      <w:r>
        <w:rPr>
          <w:rFonts w:ascii="Times New Roman" w:hAnsi="Times New Roman" w:cs="Times New Roman" w:eastAsia="Times New Roman"/>
          <w:sz w:val="22"/>
        </w:rPr>
        <w:t>RQ3. Is direct relevance injection at the binarization interface more effective than relevance-guided initialization or objective weighting? Addressed in Section 3.4 (Table 4).</w:t>
      </w:r>
    </w:p>
    <w:p>
      <w:pPr>
        <w:pStyle w:val="ListBullet"/>
        <w:jc w:val="both"/>
      </w:pPr>
      <w:r>
        <w:rPr>
          <w:rFonts w:ascii="Times New Roman" w:hAnsi="Times New Roman" w:cs="Times New Roman" w:eastAsia="Times New Roman"/>
          <w:sz w:val="22"/>
        </w:rPr>
        <w:t>RQ4. How robust is the proposed mechanism across classifiers, relevance priors, and dataset dimensionalities? Addressed in Section 3.6 (Table 7) and Discussion.</w:t>
      </w:r>
    </w:p>
    <w:p>
      <w:pPr>
        <w:spacing w:line="360" w:lineRule="auto" w:after="200"/>
        <w:jc w:val="both"/>
      </w:pPr>
      <w:r>
        <w:rPr>
          <w:rFonts w:ascii="Times New Roman" w:hAnsi="Times New Roman" w:cs="Times New Roman" w:eastAsia="Times New Roman"/>
          <w:i w:val="0"/>
          <w:sz w:val="22"/>
        </w:rPr>
        <w:t>The remainder of the paper reviews existing approaches along three axes: (i) binary transfer functions in swarm-based feature selection, (ii) relevance-guided search mechanisms, and (iii) SCSO variants (Section 2).</w:t>
      </w:r>
    </w:p>
    <w:p>
      <w:pPr>
        <w:sectPr>
          <w:pgSz w:w="11906" w:h="16838"/>
          <w:pgMar w:top="1134" w:right="1134" w:bottom="1134" w:left="1134" w:header="720" w:footer="720" w:gutter="0"/>
          <w:cols w:space="720"/>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792637"/>
            <wp:docPr id="1" name="Picture 1"/>
            <wp:cNvGraphicFramePr>
              <a:graphicFrameLocks noChangeAspect="1"/>
            </wp:cNvGraphicFramePr>
            <a:graphic>
              <a:graphicData uri="http://schemas.openxmlformats.org/drawingml/2006/picture">
                <pic:pic>
                  <pic:nvPicPr>
                    <pic:cNvPr id="0" name="concept.png"/>
                    <pic:cNvPicPr/>
                  </pic:nvPicPr>
                  <pic:blipFill>
                    <a:blip r:embed="rId9"/>
                    <a:stretch>
                      <a:fillRect/>
                    </a:stretch>
                  </pic:blipFill>
                  <pic:spPr>
                    <a:xfrm>
                      <a:off x="0" y="0"/>
                      <a:ext cx="4846320" cy="2792637"/>
                    </a:xfrm>
                    <a:prstGeom prst="rect"/>
                  </pic:spPr>
                </pic:pic>
              </a:graphicData>
            </a:graphic>
          </wp:inline>
        </w:drawing>
      </w:r>
    </w:p>
    <w:p>
      <w:pPr>
        <w:jc w:val="center"/>
      </w:pPr>
      <w:r>
        <w:rPr>
          <w:rFonts w:ascii="Times New Roman" w:hAnsi="Times New Roman" w:cs="Times New Roman" w:eastAsia="Times New Roman"/>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2. Related work</w:t>
      </w:r>
    </w:p>
    <w:p>
      <w:pPr>
        <w:pStyle w:val="Heading2"/>
      </w:pPr>
      <w:r>
        <w:rPr>
          <w:rFonts w:ascii="Times New Roman" w:hAnsi="Times New Roman" w:cs="Times New Roman" w:eastAsia="Times New Roman"/>
        </w:rPr>
        <w:t>2.1 Binary transfer functions in swarm-based feature selection</w:t>
      </w:r>
    </w:p>
    <w:p>
      <w:pPr>
        <w:spacing w:line="360" w:lineRule="auto" w:after="200"/>
        <w:jc w:val="both"/>
      </w:pPr>
      <w:r>
        <w:rPr>
          <w:rFonts w:ascii="Times New Roman" w:hAnsi="Times New Roman" w:cs="Times New Roman" w:eastAsia="Times New Roman"/>
          <w:sz w:val="22"/>
        </w:rPr>
        <w:t xml:space="preserve">Swarm-intelligence wrapper selectors,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are conceived for continuous optimization and cross into the binary search space through a transfer function, most commonly an S-shaped or V-shaped map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A substantial recent line of work makes this interface adaptive rather than static: time-varying transfer functions that reshape the squashing curve as the search progresses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w:t>
      </w:r>
      <w:hyperlink w:anchor="ref26">
        <w:r>
          <w:rPr>
            <w:rFonts w:ascii="Times New Roman" w:hAnsi="Times New Roman" w:cs="Times New Roman" w:eastAsia="Times New Roman"/>
            <w:sz w:val="22"/>
            <w:color w:val="000000"/>
          </w:rPr>
          <w:t xml:space="preserve">[26]</w:t>
        </w:r>
      </w:hyperlink>
      <w:r>
        <w:rPr>
          <w:rFonts w:ascii="Times New Roman" w:hAnsi="Times New Roman" w:cs="Times New Roman" w:eastAsia="Times New Roman"/>
          <w:sz w:val="22"/>
        </w:rPr>
        <w:t xml:space="preserve">, and fitness- or history-driven schemes that tune it from the swarm's own progress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w:t>
      </w:r>
      <w:hyperlink w:anchor="ref27">
        <w:r>
          <w:rPr>
            <w:rFonts w:ascii="Times New Roman" w:hAnsi="Times New Roman" w:cs="Times New Roman" w:eastAsia="Times New Roman"/>
            <w:sz w:val="22"/>
            <w:color w:val="000000"/>
          </w:rPr>
          <w:t xml:space="preserve">[27]</w:t>
        </w:r>
      </w:hyperlink>
      <w:r>
        <w:rPr>
          <w:rFonts w:ascii="Times New Roman" w:hAnsi="Times New Roman" w:cs="Times New Roman" w:eastAsia="Times New Roman"/>
          <w:sz w:val="22"/>
        </w:rPr>
        <w:t xml:space="preserve">. Crucially, all of these remain feature-agnostic: the same (possibly time-varying) transfer is applied identically to every dimension regardless of that feature's relevance, the structural weakness this paper terms washout (Introduction, Methods). RG-SCSO is orthogonal to this line: it modulates the binarization per feature by a relevance prior, and could in principle be combined with an adaptive transfer rather than replacing one.</w:t>
      </w:r>
    </w:p>
    <w:p>
      <w:pPr>
        <w:pStyle w:val="Heading2"/>
      </w:pPr>
      <w:r>
        <w:rPr>
          <w:rFonts w:ascii="Times New Roman" w:hAnsi="Times New Roman" w:cs="Times New Roman" w:eastAsia="Times New Roman"/>
        </w:rPr>
        <w:t>2.2 Relevance-guided mechanisms in feature selection</w:t>
      </w:r>
    </w:p>
    <w:p>
      <w:pPr>
        <w:spacing w:line="360" w:lineRule="auto" w:after="200"/>
        <w:jc w:val="both"/>
      </w:pPr>
      <w:r>
        <w:rPr>
          <w:rFonts w:ascii="Times New Roman" w:hAnsi="Times New Roman" w:cs="Times New Roman" w:eastAsia="Times New Roman"/>
          <w:sz w:val="22"/>
        </w:rPr>
        <w:t xml:space="preserve">Filter criteria such as mutual information and mRMR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encode problem knowledge cheaply but are decoupled from the wrapper search; memetic hybridization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adds local refinement without addressing the binarization interface. A large family of knowledge-guided metaheuristics injects filter information upstream of the binary decision, into initialization or the objective. In other swarm families this takes the form of correlation- or mutual-information-guided population initialization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filter-guided PSO for cancer-genome selection </w:t>
      </w:r>
      <w:hyperlink w:anchor="ref12">
        <w:r>
          <w:rPr>
            <w:rFonts w:ascii="Times New Roman" w:hAnsi="Times New Roman" w:cs="Times New Roman" w:eastAsia="Times New Roman"/>
            <w:sz w:val="22"/>
            <w:color w:val="000000"/>
          </w:rPr>
          <w:t xml:space="preserve">[12]</w:t>
        </w:r>
      </w:hyperlink>
      <w:r>
        <w:rPr>
          <w:rFonts w:ascii="Times New Roman" w:hAnsi="Times New Roman" w:cs="Times New Roman" w:eastAsia="Times New Roman"/>
          <w:sz w:val="22"/>
        </w:rPr>
        <w:t xml:space="preserve">, and memetic hybridization of binary Harris-hawks and whale operators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a parallel, deep-learning-oriented direction drives selection from post-hoc attribution or attention, for example SHAP-guided deep feature selection </w:t>
      </w:r>
      <w:hyperlink w:anchor="ref31">
        <w:r>
          <w:rPr>
            <w:rFonts w:ascii="Times New Roman" w:hAnsi="Times New Roman" w:cs="Times New Roman" w:eastAsia="Times New Roman"/>
            <w:sz w:val="22"/>
            <w:color w:val="000000"/>
          </w:rPr>
          <w:t xml:space="preserve">[31]</w:t>
        </w:r>
      </w:hyperlink>
      <w:r>
        <w:rPr>
          <w:rFonts w:ascii="Times New Roman" w:hAnsi="Times New Roman" w:cs="Times New Roman" w:eastAsia="Times New Roman"/>
          <w:sz w:val="22"/>
        </w:rPr>
        <w:t xml:space="preserve">. All of these bias where the search starts, what it optimizes, or which features a separately trained model highlights, yet leave the binarization operator itself knowledge-agnostic. RG-SCSO differs by injecting the relevance signal at the binarization interface itself rather than upstream of it; the signal-position experiment in Results (Table 4) tests this design choice directly against both the initialization and objective alternatives.</w:t>
      </w:r>
    </w:p>
    <w:p>
      <w:pPr>
        <w:spacing w:line="360" w:lineRule="auto" w:after="200"/>
        <w:jc w:val="both"/>
      </w:pPr>
      <w:r>
        <w:rPr>
          <w:rFonts w:ascii="Times New Roman" w:hAnsi="Times New Roman" w:cs="Times New Roman" w:eastAsia="Times New Roman"/>
          <w:sz w:val="22"/>
        </w:rPr>
        <w:t xml:space="preserve">Positioning against relevance-injecting binary GWO/WOA/HHO variants. The closest competitors are binary grey-wolf, whale, and Harris-hawks selectors that already carry a relevance signal: MOBGWO-GMS initializes its population from feature correlation and guides mutation with it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the enhanced Harris-hawks optimizer seeds the search with filter-ranked features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and hybrid binary whale/Harris-hawks memetics combine two operators for stronger local search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Each injects relevance at initialization, mutation, or hybridization; none makes the per-feature binarization operator itself relevance-aware, which is the specific interface RG-SCSO modifies and the reason its parsimony gain (Results) is not reproduced by these variants' upstream injections.</w:t>
      </w:r>
    </w:p>
    <w:p>
      <w:pPr>
        <w:pStyle w:val="Heading2"/>
      </w:pPr>
      <w:r>
        <w:rPr>
          <w:rFonts w:ascii="Times New Roman" w:hAnsi="Times New Roman" w:cs="Times New Roman" w:eastAsia="Times New Roman"/>
        </w:rPr>
        <w:t>2.3 Sand Cat Swarm Optimization and its variants</w:t>
      </w:r>
    </w:p>
    <w:p>
      <w:pPr>
        <w:spacing w:line="360" w:lineRule="auto" w:after="200"/>
        <w:jc w:val="both"/>
      </w:pPr>
      <w:r>
        <w:rPr>
          <w:rFonts w:ascii="Times New Roman" w:hAnsi="Times New Roman" w:cs="Times New Roman" w:eastAsia="Times New Roman"/>
          <w:sz w:val="22"/>
        </w:rPr>
        <w:t xml:space="preserve">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is a comparatively recent continuous metaheuristic. The existing binary SCSO feature selectors </w:t>
      </w:r>
      <w:hyperlink w:anchor="ref13">
        <w:r>
          <w:rPr>
            <w:rFonts w:ascii="Times New Roman" w:hAnsi="Times New Roman" w:cs="Times New Roman" w:eastAsia="Times New Roman"/>
            <w:sz w:val="22"/>
            <w:color w:val="000000"/>
          </w:rPr>
          <w:t xml:space="preserve">[13]</w:t>
        </w:r>
      </w:hyperlink>
      <w:r>
        <w:rPr>
          <w:rFonts w:ascii="Times New Roman" w:hAnsi="Times New Roman" w:cs="Times New Roman" w:eastAsia="Times New Roman"/>
          <w:sz w:val="22"/>
        </w:rPr>
        <w:t xml:space="preserve">, </w:t>
      </w:r>
      <w:hyperlink w:anchor="ref14">
        <w:r>
          <w:rPr>
            <w:rFonts w:ascii="Times New Roman" w:hAnsi="Times New Roman" w:cs="Times New Roman" w:eastAsia="Times New Roman"/>
            <w:sz w:val="22"/>
            <w:color w:val="000000"/>
          </w:rPr>
          <w:t xml:space="preserve">[14]</w:t>
        </w:r>
      </w:hyperlink>
      <w:r>
        <w:rPr>
          <w:rFonts w:ascii="Times New Roman" w:hAnsi="Times New Roman" w:cs="Times New Roman" w:eastAsia="Times New Roman"/>
          <w:sz w:val="22"/>
        </w:rPr>
        <w:t xml:space="preserve">, </w:t>
      </w:r>
      <w:hyperlink w:anchor="ref15">
        <w:r>
          <w:rPr>
            <w:rFonts w:ascii="Times New Roman" w:hAnsi="Times New Roman" w:cs="Times New Roman" w:eastAsia="Times New Roman"/>
            <w:sz w:val="22"/>
            <w:color w:val="000000"/>
          </w:rPr>
          <w:t xml:space="preserve">[15]</w:t>
        </w:r>
      </w:hyperlink>
      <w:r>
        <w:rPr>
          <w:rFonts w:ascii="Times New Roman" w:hAnsi="Times New Roman" w:cs="Times New Roman" w:eastAsia="Times New Roman"/>
          <w:sz w:val="22"/>
        </w:rPr>
        <w:t xml:space="preserve"> apply standard transfer functions without a relevance-aware binarization step, and the broader recent SCSO literature that adds chaotic initialization, differential mutation, or hybridized search strategies </w:t>
      </w:r>
      <w:hyperlink w:anchor="ref16">
        <w:r>
          <w:rPr>
            <w:rFonts w:ascii="Times New Roman" w:hAnsi="Times New Roman" w:cs="Times New Roman" w:eastAsia="Times New Roman"/>
            <w:sz w:val="22"/>
            <w:color w:val="000000"/>
          </w:rPr>
          <w:t xml:space="preserve">[16]</w:t>
        </w:r>
      </w:hyperlink>
      <w:r>
        <w:rPr>
          <w:rFonts w:ascii="Times New Roman" w:hAnsi="Times New Roman" w:cs="Times New Roman" w:eastAsia="Times New Roman"/>
          <w:sz w:val="22"/>
        </w:rPr>
        <w:t xml:space="preserve">, </w:t>
      </w:r>
      <w:hyperlink w:anchor="ref17">
        <w:r>
          <w:rPr>
            <w:rFonts w:ascii="Times New Roman" w:hAnsi="Times New Roman" w:cs="Times New Roman" w:eastAsia="Times New Roman"/>
            <w:sz w:val="22"/>
            <w:color w:val="000000"/>
          </w:rPr>
          <w:t xml:space="preserve">[17]</w:t>
        </w:r>
      </w:hyperlink>
      <w:r>
        <w:rPr>
          <w:rFonts w:ascii="Times New Roman" w:hAnsi="Times New Roman" w:cs="Times New Roman" w:eastAsia="Times New Roman"/>
          <w:sz w:val="22"/>
        </w:rPr>
        <w:t xml:space="preserve">, </w:t>
      </w:r>
      <w:hyperlink w:anchor="ref18">
        <w:r>
          <w:rPr>
            <w:rFonts w:ascii="Times New Roman" w:hAnsi="Times New Roman" w:cs="Times New Roman" w:eastAsia="Times New Roman"/>
            <w:sz w:val="22"/>
            <w:color w:val="000000"/>
          </w:rPr>
          <w:t xml:space="preserve">[18]</w:t>
        </w:r>
      </w:hyperlink>
      <w:r>
        <w:rPr>
          <w:rFonts w:ascii="Times New Roman" w:hAnsi="Times New Roman" w:cs="Times New Roman" w:eastAsia="Times New Roman"/>
          <w:sz w:val="22"/>
        </w:rPr>
        <w:t xml:space="preserve">, </w:t>
      </w:r>
      <w:hyperlink w:anchor="ref19">
        <w:r>
          <w:rPr>
            <w:rFonts w:ascii="Times New Roman" w:hAnsi="Times New Roman" w:cs="Times New Roman" w:eastAsia="Times New Roman"/>
            <w:sz w:val="22"/>
            <w:color w:val="000000"/>
          </w:rPr>
          <w:t xml:space="preserve">[19]</w:t>
        </w:r>
      </w:hyperlink>
      <w:r>
        <w:rPr>
          <w:rFonts w:ascii="Times New Roman" w:hAnsi="Times New Roman" w:cs="Times New Roman" w:eastAsia="Times New Roman"/>
          <w:sz w:val="22"/>
        </w:rPr>
        <w:t xml:space="preserve"> improves continuous-space search dynamics while leaving the binarization interface itself untouched; across the SCSO-family literature we screened, we found none that makes the binarization operator itself per-feature and relevance-aware. A per-reference audit of the binarization mechanism is released with the code; notably, the closest binary SCSO selector that uses relevance injects it at initialization (a differential-expression pre-filter), not at the binarization operator, which is precisely the distinction our signal-position experiment isolates. Table 1 below positions each of these works against this claim directly.</w:t>
      </w:r>
    </w:p>
    <w:p>
      <w:pPr>
        <w:pStyle w:val="Heading2"/>
      </w:pPr>
      <w:r>
        <w:rPr>
          <w:rFonts w:ascii="Times New Roman" w:hAnsi="Times New Roman" w:cs="Times New Roman" w:eastAsia="Times New Roman"/>
        </w:rPr>
        <w:t>2.4 Literature-positioning summary</w:t>
      </w:r>
    </w:p>
    <w:p>
      <w:pPr>
        <w:spacing w:line="360" w:lineRule="auto" w:after="200"/>
        <w:jc w:val="both"/>
      </w:pPr>
      <w:r>
        <w:rPr>
          <w:rFonts w:ascii="Times New Roman" w:hAnsi="Times New Roman" w:cs="Times New Roman" w:eastAsia="Times New Roman"/>
          <w:i w:val="0"/>
          <w:sz w:val="22"/>
        </w:rPr>
        <w:t>Table 1 makes this gap concrete across every SCSO-family work cited above; the caption details how each is scored.</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Year</w:t>
            </w:r>
          </w:p>
        </w:tc>
        <w:tc>
          <w:tcPr>
            <w:tcW w:type="dxa" w:w="2409"/>
            <w:tcBorders>
              <w:bottom w:val="single" w:sz="6" w:space="0" w:color="000000"/>
            </w:tcBorders>
          </w:tcPr>
          <w:p>
            <w:r>
              <w:rPr>
                <w:rFonts w:ascii="Times New Roman" w:hAnsi="Times New Roman" w:cs="Times New Roman" w:eastAsia="Times New Roman"/>
                <w:b/>
                <w:sz w:val="16"/>
              </w:rPr>
              <w:t>What it modifies</w:t>
            </w:r>
          </w:p>
        </w:tc>
        <w:tc>
          <w:tcPr>
            <w:tcW w:type="dxa" w:w="2409"/>
            <w:tcBorders>
              <w:bottom w:val="single" w:sz="6" w:space="0" w:color="000000"/>
            </w:tcBorders>
          </w:tcPr>
          <w:p>
            <w:r>
              <w:rPr>
                <w:rFonts w:ascii="Times New Roman" w:hAnsi="Times New Roman" w:cs="Times New Roman" w:eastAsia="Times New Roman"/>
                <w:b/>
                <w:sz w:val="16"/>
              </w:rPr>
              <w:t>Comparable to this protocol?</w:t>
            </w:r>
          </w:p>
        </w:tc>
      </w:tr>
      <w:tr>
        <w:tc>
          <w:tcPr>
            <w:tcW w:type="dxa" w:w="2409"/>
          </w:tcPr>
          <w:p>
            <w:r>
              <w:rPr>
                <w:rFonts w:ascii="Times New Roman" w:hAnsi="Times New Roman" w:cs="Times New Roman" w:eastAsia="Times New Roman"/>
                <w:sz w:val="16"/>
              </w:rPr>
              <w:t>Seyyedabbasi &amp; Kiani [10]</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Base continuous SCSO (no FS)</w:t>
            </w:r>
          </w:p>
        </w:tc>
        <w:tc>
          <w:tcPr>
            <w:tcW w:type="dxa" w:w="2409"/>
          </w:tcPr>
          <w:p>
            <w:r>
              <w:rPr>
                <w:rFonts w:ascii="Times New Roman" w:hAnsi="Times New Roman" w:cs="Times New Roman" w:eastAsia="Times New Roman"/>
                <w:sz w:val="16"/>
              </w:rPr>
              <w:t>Baseline (Table 1)</w:t>
            </w:r>
          </w:p>
        </w:tc>
      </w:tr>
      <w:tr>
        <w:tc>
          <w:tcPr>
            <w:tcW w:type="dxa" w:w="2409"/>
          </w:tcPr>
          <w:p>
            <w:r>
              <w:rPr>
                <w:rFonts w:ascii="Times New Roman" w:hAnsi="Times New Roman" w:cs="Times New Roman" w:eastAsia="Times New Roman"/>
                <w:sz w:val="16"/>
              </w:rPr>
              <w:t>bSCSO [13]</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Binary SCSO (biomedical) [14]</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Adaptive SCSO [15]</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IMSCSO [16]</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SCSO+Lens-OBL+SSA [18]</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(lens-OBL init)</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Improved SCSO [19]</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dynamics</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MESCSO [17]</w:t>
            </w:r>
          </w:p>
        </w:tc>
        <w:tc>
          <w:tcPr>
            <w:tcW w:type="dxa" w:w="2409"/>
          </w:tcPr>
          <w:p>
            <w:r>
              <w:rPr>
                <w:rFonts w:ascii="Times New Roman" w:hAnsi="Times New Roman" w:cs="Times New Roman" w:eastAsia="Times New Roman"/>
                <w:sz w:val="16"/>
              </w:rPr>
              <w:t>2025</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bl>
    <w:p>
      <w:pPr>
        <w:jc w:val="left"/>
      </w:pPr>
      <w:r>
        <w:rPr>
          <w:rFonts w:ascii="Times New Roman" w:hAnsi="Times New Roman" w:cs="Times New Roman" w:eastAsia="Times New Roman"/>
          <w:sz w:val="18"/>
        </w:rPr>
        <w:t>Table 1 Positioning of RG-SCSO against recent SCSO-family literature cited in this paper. The four 2024–2025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listed here motivate two representative configurations we directly re-implement and evaluate in Results and Discussion, a standard S-shaped transfer and a V-shaped transfer combined with opposition-based learning, the two most commonly reused binarization recipes in this literature, rather than a claimed one-to-one reproduction of any single one of these three papers' exact reported parameters.</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3. Results</w:t>
      </w:r>
    </w:p>
    <w:p>
      <w:pPr>
        <w:pStyle w:val="Heading2"/>
      </w:pPr>
      <w:r>
        <w:rPr>
          <w:rFonts w:ascii="Times New Roman" w:hAnsi="Times New Roman" w:cs="Times New Roman" w:eastAsia="Times New Roman"/>
        </w:rPr>
        <w:t>3.1 Held-out generalization</w:t>
      </w:r>
    </w:p>
    <w:p>
      <w:pPr>
        <w:spacing w:line="360" w:lineRule="auto" w:after="200"/>
        <w:jc w:val="both"/>
      </w:pPr>
      <w:r>
        <w:rPr>
          <w:rFonts w:ascii="Times New Roman" w:hAnsi="Times New Roman" w:cs="Times New Roman" w:eastAsia="Times New Roman"/>
          <w:i w:val="0"/>
          <w:sz w:val="22"/>
        </w:rPr>
        <w:t xml:space="preserve">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fixed evaluation budget of 15,000 fitness evaluations for every algorithm compared. RG-SCSO attains the best average Friedman rank (1.33, ahead of the second-placed AOA at 2.03; </w:t>
      </w:r>
      <m:oMath>
        <m:sSup>
          <m:e>
            <m:r>
              <w:rPr>
                <w:sz w:val="22"/>
                <w:szCs w:val="22"/>
              </w:rPr>
              <m:t xml:space="preserve">χ</m:t>
            </m:r>
          </m:e>
          <m:sup>
            <m:r>
              <w:rPr>
                <w:sz w:val="22"/>
                <w:szCs w:val="22"/>
              </w:rPr>
              <m:t xml:space="preserve">2</m:t>
            </m:r>
          </m:sup>
        </m:sSup>
        <m:r>
          <w:rPr>
            <w:sz w:val="22"/>
            <w:szCs w:val="22"/>
          </w:rPr>
          <m:t xml:space="preserve">=67.25</m:t>
        </m:r>
      </m:oMath>
      <w:r>
        <w:rPr>
          <w:rFonts w:ascii="Times New Roman" w:hAnsi="Times New Roman" w:cs="Times New Roman" w:eastAsia="Times New Roman"/>
          <w:i w:val="0"/>
          <w:sz w:val="22"/>
        </w:rPr>
        <w:t>, p &lt; 0.001). A Holm-corrected Wilcoxon signed-rank test across all pairwise comparisons gives RG-SCSO 64 significant wins, 1 loss, and 43 ties; the only close competitor is AOA, against which the advantage is genuine but moderate (median |d|=0.30), RG-SCSO still leading on mean accuracy. Over the 18 datasets the paired accuracy difference against AOA is +0.017 (95% bootstrap CI [+0.003, +0.034], excluding zero), confirming a small but consistent aggregate edge; against every other baseline the paired difference is larger (all 95% CIs excluding zero).</w:t>
      </w:r>
    </w:p>
    <w:p>
      <w:pPr>
        <w:spacing w:line="360" w:lineRule="auto" w:after="200"/>
        <w:jc w:val="both"/>
      </w:pPr>
      <w:r>
        <w:rPr>
          <w:rFonts w:ascii="Times New Roman" w:hAnsi="Times New Roman" w:cs="Times New Roman" w:eastAsia="Times New Roman"/>
          <w:i w:val="0"/>
          <w:sz w:val="22"/>
        </w:rPr>
        <w:t>As a further, distribution-free uncertainty estimate beyond the point ranks above, a dataset-level cluster bootstrap (2000 resamples over the 18 datasets) gives a 95% CI of [0.825, 0.907] on RG-SCSO's mean held-out accuracy (0.866) and [0.812, 0.886] for AOA (0.849); the intervals overlap, consistent with the moderate effect size reported above rather than an overwhelming one.</w:t>
      </w:r>
    </w:p>
    <w:p>
      <w:pPr>
        <w:sectPr>
          <w:type w:val="continuous"/>
          <w:pgSz w:w="11906" w:h="16838"/>
          <w:pgMar w:top="1134" w:right="1134" w:bottom="1134" w:left="1134" w:header="720" w:footer="720" w:gutter="0"/>
          <w:cols w:space="460" w:num="1"/>
          <w:docGrid w:linePitch="360"/>
        </w:sectPr>
      </w:pP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AOA</w:t>
            </w:r>
          </w:p>
        </w:tc>
        <w:tc>
          <w:tcPr>
            <w:tcW w:type="dxa" w:w="1205"/>
            <w:tcBorders>
              <w:bottom w:val="single" w:sz="6" w:space="0" w:color="000000"/>
            </w:tcBorders>
          </w:tcPr>
          <w:p>
            <w:r>
              <w:rPr>
                <w:rFonts w:ascii="Times New Roman" w:hAnsi="Times New Roman" w:cs="Times New Roman" w:eastAsia="Times New Roman"/>
                <w:b/>
                <w:sz w:val="14"/>
              </w:rPr>
              <w:t>COA</w:t>
            </w:r>
          </w:p>
        </w:tc>
        <w:tc>
          <w:tcPr>
            <w:tcW w:type="dxa" w:w="1205"/>
            <w:tcBorders>
              <w:bottom w:val="single" w:sz="6" w:space="0" w:color="000000"/>
            </w:tcBorders>
          </w:tcPr>
          <w:p>
            <w:r>
              <w:rPr>
                <w:rFonts w:ascii="Times New Roman" w:hAnsi="Times New Roman" w:cs="Times New Roman" w:eastAsia="Times New Roman"/>
                <w:b/>
                <w:sz w:val="14"/>
              </w:rPr>
              <w:t>SCSO</w:t>
            </w:r>
          </w:p>
        </w:tc>
        <w:tc>
          <w:tcPr>
            <w:tcW w:type="dxa" w:w="1205"/>
            <w:tcBorders>
              <w:bottom w:val="single" w:sz="6" w:space="0" w:color="000000"/>
            </w:tcBorders>
          </w:tcPr>
          <w:p>
            <w:r>
              <w:rPr>
                <w:rFonts w:ascii="Times New Roman" w:hAnsi="Times New Roman" w:cs="Times New Roman" w:eastAsia="Times New Roman"/>
                <w:b/>
                <w:sz w:val="14"/>
              </w:rPr>
              <w:t>RIME</w:t>
            </w:r>
          </w:p>
        </w:tc>
        <w:tc>
          <w:tcPr>
            <w:tcW w:type="dxa" w:w="1205"/>
            <w:tcBorders>
              <w:bottom w:val="single" w:sz="6" w:space="0" w:color="000000"/>
            </w:tcBorders>
          </w:tcPr>
          <w:p>
            <w:r>
              <w:rPr>
                <w:rFonts w:ascii="Times New Roman" w:hAnsi="Times New Roman" w:cs="Times New Roman" w:eastAsia="Times New Roman"/>
                <w:b/>
                <w:sz w:val="14"/>
              </w:rPr>
              <w:t>PSO</w:t>
            </w:r>
          </w:p>
        </w:tc>
        <w:tc>
          <w:tcPr>
            <w:tcW w:type="dxa" w:w="1205"/>
            <w:tcBorders>
              <w:bottom w:val="single" w:sz="6" w:space="0" w:color="000000"/>
            </w:tcBorders>
          </w:tcPr>
          <w:p>
            <w:r>
              <w:rPr>
                <w:rFonts w:ascii="Times New Roman" w:hAnsi="Times New Roman" w:cs="Times New Roman" w:eastAsia="Times New Roman"/>
                <w:b/>
                <w:sz w:val="14"/>
              </w:rPr>
              <w:t>GWO</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sz w:val="14"/>
              </w:rPr>
              <w:t>0.963±0.014 (5)</w:t>
            </w:r>
          </w:p>
        </w:tc>
        <w:tc>
          <w:tcPr>
            <w:tcW w:type="dxa" w:w="1205"/>
          </w:tcPr>
          <w:p>
            <w:r>
              <w:rPr>
                <w:rFonts w:ascii="Times New Roman" w:hAnsi="Times New Roman" w:cs="Times New Roman" w:eastAsia="Times New Roman"/>
                <w:b/>
                <w:sz w:val="14"/>
              </w:rPr>
              <w:t>0.968±0.013 (9)</w:t>
            </w:r>
          </w:p>
        </w:tc>
        <w:tc>
          <w:tcPr>
            <w:tcW w:type="dxa" w:w="1205"/>
          </w:tcPr>
          <w:p>
            <w:r>
              <w:rPr>
                <w:rFonts w:ascii="Times New Roman" w:hAnsi="Times New Roman" w:cs="Times New Roman" w:eastAsia="Times New Roman"/>
                <w:sz w:val="14"/>
              </w:rPr>
              <w:t>0.949±0.025 (5)</w:t>
            </w:r>
          </w:p>
        </w:tc>
        <w:tc>
          <w:tcPr>
            <w:tcW w:type="dxa" w:w="1205"/>
          </w:tcPr>
          <w:p>
            <w:r>
              <w:rPr>
                <w:rFonts w:ascii="Times New Roman" w:hAnsi="Times New Roman" w:cs="Times New Roman" w:eastAsia="Times New Roman"/>
                <w:sz w:val="14"/>
              </w:rPr>
              <w:t>0.951±0.020 (4)</w:t>
            </w:r>
          </w:p>
        </w:tc>
        <w:tc>
          <w:tcPr>
            <w:tcW w:type="dxa" w:w="1205"/>
          </w:tcPr>
          <w:p>
            <w:r>
              <w:rPr>
                <w:rFonts w:ascii="Times New Roman" w:hAnsi="Times New Roman" w:cs="Times New Roman" w:eastAsia="Times New Roman"/>
                <w:sz w:val="14"/>
              </w:rPr>
              <w:t>0.952±0.021 (4)</w:t>
            </w:r>
          </w:p>
        </w:tc>
        <w:tc>
          <w:tcPr>
            <w:tcW w:type="dxa" w:w="1205"/>
          </w:tcPr>
          <w:p>
            <w:r>
              <w:rPr>
                <w:rFonts w:ascii="Times New Roman" w:hAnsi="Times New Roman" w:cs="Times New Roman" w:eastAsia="Times New Roman"/>
                <w:sz w:val="14"/>
              </w:rPr>
              <w:t>0.943±0.041 (5)</w:t>
            </w:r>
          </w:p>
        </w:tc>
        <w:tc>
          <w:tcPr>
            <w:tcW w:type="dxa" w:w="1205"/>
          </w:tcPr>
          <w:p>
            <w:r>
              <w:rPr>
                <w:rFonts w:ascii="Times New Roman" w:hAnsi="Times New Roman" w:cs="Times New Roman" w:eastAsia="Times New Roman"/>
                <w:sz w:val="14"/>
              </w:rPr>
              <w:t>0.951±0.016 (4)</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b/>
                <w:sz w:val="14"/>
              </w:rPr>
              <w:t>0.762±0.096 (555)</w:t>
            </w:r>
          </w:p>
        </w:tc>
        <w:tc>
          <w:tcPr>
            <w:tcW w:type="dxa" w:w="1205"/>
          </w:tcPr>
          <w:p>
            <w:r>
              <w:rPr>
                <w:rFonts w:ascii="Times New Roman" w:hAnsi="Times New Roman" w:cs="Times New Roman" w:eastAsia="Times New Roman"/>
                <w:sz w:val="14"/>
              </w:rPr>
              <w:t>0.741±0.098 (1958)</w:t>
            </w:r>
          </w:p>
        </w:tc>
        <w:tc>
          <w:tcPr>
            <w:tcW w:type="dxa" w:w="1205"/>
          </w:tcPr>
          <w:p>
            <w:r>
              <w:rPr>
                <w:rFonts w:ascii="Times New Roman" w:hAnsi="Times New Roman" w:cs="Times New Roman" w:eastAsia="Times New Roman"/>
                <w:sz w:val="14"/>
              </w:rPr>
              <w:t>0.710±0.157 (535)</w:t>
            </w:r>
          </w:p>
        </w:tc>
        <w:tc>
          <w:tcPr>
            <w:tcW w:type="dxa" w:w="1205"/>
          </w:tcPr>
          <w:p>
            <w:r>
              <w:rPr>
                <w:rFonts w:ascii="Times New Roman" w:hAnsi="Times New Roman" w:cs="Times New Roman" w:eastAsia="Times New Roman"/>
                <w:sz w:val="14"/>
              </w:rPr>
              <w:t>0.741±0.087 (1002)</w:t>
            </w:r>
          </w:p>
        </w:tc>
        <w:tc>
          <w:tcPr>
            <w:tcW w:type="dxa" w:w="1205"/>
          </w:tcPr>
          <w:p>
            <w:r>
              <w:rPr>
                <w:rFonts w:ascii="Times New Roman" w:hAnsi="Times New Roman" w:cs="Times New Roman" w:eastAsia="Times New Roman"/>
                <w:sz w:val="14"/>
              </w:rPr>
              <w:t>0.731±0.090 (999)</w:t>
            </w:r>
          </w:p>
        </w:tc>
        <w:tc>
          <w:tcPr>
            <w:tcW w:type="dxa" w:w="1205"/>
          </w:tcPr>
          <w:p>
            <w:r>
              <w:rPr>
                <w:rFonts w:ascii="Times New Roman" w:hAnsi="Times New Roman" w:cs="Times New Roman" w:eastAsia="Times New Roman"/>
                <w:sz w:val="14"/>
              </w:rPr>
              <w:t>0.733±0.114 (1007)</w:t>
            </w:r>
          </w:p>
        </w:tc>
        <w:tc>
          <w:tcPr>
            <w:tcW w:type="dxa" w:w="1205"/>
          </w:tcPr>
          <w:p>
            <w:r>
              <w:rPr>
                <w:rFonts w:ascii="Times New Roman" w:hAnsi="Times New Roman" w:cs="Times New Roman" w:eastAsia="Times New Roman"/>
                <w:sz w:val="14"/>
              </w:rPr>
              <w:t>0.751±0.087 (1007)</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sz w:val="14"/>
              </w:rPr>
              <w:t>0.723±0.031 (5)</w:t>
            </w:r>
          </w:p>
        </w:tc>
        <w:tc>
          <w:tcPr>
            <w:tcW w:type="dxa" w:w="1205"/>
          </w:tcPr>
          <w:p>
            <w:r>
              <w:rPr>
                <w:rFonts w:ascii="Times New Roman" w:hAnsi="Times New Roman" w:cs="Times New Roman" w:eastAsia="Times New Roman"/>
                <w:b/>
                <w:sz w:val="14"/>
              </w:rPr>
              <w:t>0.728±0.033 (7)</w:t>
            </w:r>
          </w:p>
        </w:tc>
        <w:tc>
          <w:tcPr>
            <w:tcW w:type="dxa" w:w="1205"/>
          </w:tcPr>
          <w:p>
            <w:r>
              <w:rPr>
                <w:rFonts w:ascii="Times New Roman" w:hAnsi="Times New Roman" w:cs="Times New Roman" w:eastAsia="Times New Roman"/>
                <w:sz w:val="14"/>
              </w:rPr>
              <w:t>0.700±0.054 (5)</w:t>
            </w:r>
          </w:p>
        </w:tc>
        <w:tc>
          <w:tcPr>
            <w:tcW w:type="dxa" w:w="1205"/>
          </w:tcPr>
          <w:p>
            <w:r>
              <w:rPr>
                <w:rFonts w:ascii="Times New Roman" w:hAnsi="Times New Roman" w:cs="Times New Roman" w:eastAsia="Times New Roman"/>
                <w:sz w:val="14"/>
              </w:rPr>
              <w:t>0.703±0.061 (4)</w:t>
            </w:r>
          </w:p>
        </w:tc>
        <w:tc>
          <w:tcPr>
            <w:tcW w:type="dxa" w:w="1205"/>
          </w:tcPr>
          <w:p>
            <w:r>
              <w:rPr>
                <w:rFonts w:ascii="Times New Roman" w:hAnsi="Times New Roman" w:cs="Times New Roman" w:eastAsia="Times New Roman"/>
                <w:sz w:val="14"/>
              </w:rPr>
              <w:t>0.688±0.055 (3)</w:t>
            </w:r>
          </w:p>
        </w:tc>
        <w:tc>
          <w:tcPr>
            <w:tcW w:type="dxa" w:w="1205"/>
          </w:tcPr>
          <w:p>
            <w:r>
              <w:rPr>
                <w:rFonts w:ascii="Times New Roman" w:hAnsi="Times New Roman" w:cs="Times New Roman" w:eastAsia="Times New Roman"/>
                <w:sz w:val="14"/>
              </w:rPr>
              <w:t>0.669±0.042 (4)</w:t>
            </w:r>
          </w:p>
        </w:tc>
        <w:tc>
          <w:tcPr>
            <w:tcW w:type="dxa" w:w="1205"/>
          </w:tcPr>
          <w:p>
            <w:r>
              <w:rPr>
                <w:rFonts w:ascii="Times New Roman" w:hAnsi="Times New Roman" w:cs="Times New Roman" w:eastAsia="Times New Roman"/>
                <w:sz w:val="14"/>
              </w:rPr>
              <w:t>0.671±0.055 (4)</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sz w:val="14"/>
              </w:rPr>
              <w:t>0.726±0.029 (8)</w:t>
            </w:r>
          </w:p>
        </w:tc>
        <w:tc>
          <w:tcPr>
            <w:tcW w:type="dxa" w:w="1205"/>
          </w:tcPr>
          <w:p>
            <w:r>
              <w:rPr>
                <w:rFonts w:ascii="Times New Roman" w:hAnsi="Times New Roman" w:cs="Times New Roman" w:eastAsia="Times New Roman"/>
                <w:b/>
                <w:sz w:val="14"/>
              </w:rPr>
              <w:t>0.735±0.027 (20)</w:t>
            </w:r>
          </w:p>
        </w:tc>
        <w:tc>
          <w:tcPr>
            <w:tcW w:type="dxa" w:w="1205"/>
          </w:tcPr>
          <w:p>
            <w:r>
              <w:rPr>
                <w:rFonts w:ascii="Times New Roman" w:hAnsi="Times New Roman" w:cs="Times New Roman" w:eastAsia="Times New Roman"/>
                <w:sz w:val="14"/>
              </w:rPr>
              <w:t>0.702±0.031 (11)</w:t>
            </w:r>
          </w:p>
        </w:tc>
        <w:tc>
          <w:tcPr>
            <w:tcW w:type="dxa" w:w="1205"/>
          </w:tcPr>
          <w:p>
            <w:r>
              <w:rPr>
                <w:rFonts w:ascii="Times New Roman" w:hAnsi="Times New Roman" w:cs="Times New Roman" w:eastAsia="Times New Roman"/>
                <w:sz w:val="14"/>
              </w:rPr>
              <w:t>0.704±0.044 (10)</w:t>
            </w:r>
          </w:p>
        </w:tc>
        <w:tc>
          <w:tcPr>
            <w:tcW w:type="dxa" w:w="1205"/>
          </w:tcPr>
          <w:p>
            <w:r>
              <w:rPr>
                <w:rFonts w:ascii="Times New Roman" w:hAnsi="Times New Roman" w:cs="Times New Roman" w:eastAsia="Times New Roman"/>
                <w:sz w:val="14"/>
              </w:rPr>
              <w:t>0.705±0.028 (10)</w:t>
            </w:r>
          </w:p>
        </w:tc>
        <w:tc>
          <w:tcPr>
            <w:tcW w:type="dxa" w:w="1205"/>
          </w:tcPr>
          <w:p>
            <w:r>
              <w:rPr>
                <w:rFonts w:ascii="Times New Roman" w:hAnsi="Times New Roman" w:cs="Times New Roman" w:eastAsia="Times New Roman"/>
                <w:sz w:val="14"/>
              </w:rPr>
              <w:t>0.698±0.037 (10)</w:t>
            </w:r>
          </w:p>
        </w:tc>
        <w:tc>
          <w:tcPr>
            <w:tcW w:type="dxa" w:w="1205"/>
          </w:tcPr>
          <w:p>
            <w:r>
              <w:rPr>
                <w:rFonts w:ascii="Times New Roman" w:hAnsi="Times New Roman" w:cs="Times New Roman" w:eastAsia="Times New Roman"/>
                <w:sz w:val="14"/>
              </w:rPr>
              <w:t>0.695±0.038 (10)</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sz w:val="14"/>
              </w:rPr>
              <w:t>0.809±0.047 (6)</w:t>
            </w:r>
          </w:p>
        </w:tc>
        <w:tc>
          <w:tcPr>
            <w:tcW w:type="dxa" w:w="1205"/>
          </w:tcPr>
          <w:p>
            <w:r>
              <w:rPr>
                <w:rFonts w:ascii="Times New Roman" w:hAnsi="Times New Roman" w:cs="Times New Roman" w:eastAsia="Times New Roman"/>
                <w:b/>
                <w:sz w:val="14"/>
              </w:rPr>
              <w:t>0.826±0.051 (13)</w:t>
            </w:r>
          </w:p>
        </w:tc>
        <w:tc>
          <w:tcPr>
            <w:tcW w:type="dxa" w:w="1205"/>
          </w:tcPr>
          <w:p>
            <w:r>
              <w:rPr>
                <w:rFonts w:ascii="Times New Roman" w:hAnsi="Times New Roman" w:cs="Times New Roman" w:eastAsia="Times New Roman"/>
                <w:sz w:val="14"/>
              </w:rPr>
              <w:t>0.782±0.063 (7)</w:t>
            </w:r>
          </w:p>
        </w:tc>
        <w:tc>
          <w:tcPr>
            <w:tcW w:type="dxa" w:w="1205"/>
          </w:tcPr>
          <w:p>
            <w:r>
              <w:rPr>
                <w:rFonts w:ascii="Times New Roman" w:hAnsi="Times New Roman" w:cs="Times New Roman" w:eastAsia="Times New Roman"/>
                <w:sz w:val="14"/>
              </w:rPr>
              <w:t>0.766±0.064 (7)</w:t>
            </w:r>
          </w:p>
        </w:tc>
        <w:tc>
          <w:tcPr>
            <w:tcW w:type="dxa" w:w="1205"/>
          </w:tcPr>
          <w:p>
            <w:r>
              <w:rPr>
                <w:rFonts w:ascii="Times New Roman" w:hAnsi="Times New Roman" w:cs="Times New Roman" w:eastAsia="Times New Roman"/>
                <w:sz w:val="14"/>
              </w:rPr>
              <w:t>0.763±0.060 (6)</w:t>
            </w:r>
          </w:p>
        </w:tc>
        <w:tc>
          <w:tcPr>
            <w:tcW w:type="dxa" w:w="1205"/>
          </w:tcPr>
          <w:p>
            <w:r>
              <w:rPr>
                <w:rFonts w:ascii="Times New Roman" w:hAnsi="Times New Roman" w:cs="Times New Roman" w:eastAsia="Times New Roman"/>
                <w:sz w:val="14"/>
              </w:rPr>
              <w:t>0.737±0.075 (7)</w:t>
            </w:r>
          </w:p>
        </w:tc>
        <w:tc>
          <w:tcPr>
            <w:tcW w:type="dxa" w:w="1205"/>
          </w:tcPr>
          <w:p>
            <w:r>
              <w:rPr>
                <w:rFonts w:ascii="Times New Roman" w:hAnsi="Times New Roman" w:cs="Times New Roman" w:eastAsia="Times New Roman"/>
                <w:sz w:val="14"/>
              </w:rPr>
              <w:t>0.757±0.070 (6)</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0.886±0.035 (8)</w:t>
            </w:r>
          </w:p>
        </w:tc>
        <w:tc>
          <w:tcPr>
            <w:tcW w:type="dxa" w:w="1205"/>
          </w:tcPr>
          <w:p>
            <w:r>
              <w:rPr>
                <w:rFonts w:ascii="Times New Roman" w:hAnsi="Times New Roman" w:cs="Times New Roman" w:eastAsia="Times New Roman"/>
                <w:sz w:val="14"/>
              </w:rPr>
              <w:t>0.842±0.041 (34)</w:t>
            </w:r>
          </w:p>
        </w:tc>
        <w:tc>
          <w:tcPr>
            <w:tcW w:type="dxa" w:w="1205"/>
          </w:tcPr>
          <w:p>
            <w:r>
              <w:rPr>
                <w:rFonts w:ascii="Times New Roman" w:hAnsi="Times New Roman" w:cs="Times New Roman" w:eastAsia="Times New Roman"/>
                <w:sz w:val="14"/>
              </w:rPr>
              <w:t>0.854±0.039 (12)</w:t>
            </w:r>
          </w:p>
        </w:tc>
        <w:tc>
          <w:tcPr>
            <w:tcW w:type="dxa" w:w="1205"/>
          </w:tcPr>
          <w:p>
            <w:r>
              <w:rPr>
                <w:rFonts w:ascii="Times New Roman" w:hAnsi="Times New Roman" w:cs="Times New Roman" w:eastAsia="Times New Roman"/>
                <w:sz w:val="14"/>
              </w:rPr>
              <w:t>0.855±0.042 (16)</w:t>
            </w:r>
          </w:p>
        </w:tc>
        <w:tc>
          <w:tcPr>
            <w:tcW w:type="dxa" w:w="1205"/>
          </w:tcPr>
          <w:p>
            <w:r>
              <w:rPr>
                <w:rFonts w:ascii="Times New Roman" w:hAnsi="Times New Roman" w:cs="Times New Roman" w:eastAsia="Times New Roman"/>
                <w:sz w:val="14"/>
              </w:rPr>
              <w:t>0.853±0.037 (16)</w:t>
            </w:r>
          </w:p>
        </w:tc>
        <w:tc>
          <w:tcPr>
            <w:tcW w:type="dxa" w:w="1205"/>
          </w:tcPr>
          <w:p>
            <w:r>
              <w:rPr>
                <w:rFonts w:ascii="Times New Roman" w:hAnsi="Times New Roman" w:cs="Times New Roman" w:eastAsia="Times New Roman"/>
                <w:sz w:val="14"/>
              </w:rPr>
              <w:t>0.842±0.042 (17)</w:t>
            </w:r>
          </w:p>
        </w:tc>
        <w:tc>
          <w:tcPr>
            <w:tcW w:type="dxa" w:w="1205"/>
          </w:tcPr>
          <w:p>
            <w:r>
              <w:rPr>
                <w:rFonts w:ascii="Times New Roman" w:hAnsi="Times New Roman" w:cs="Times New Roman" w:eastAsia="Times New Roman"/>
                <w:sz w:val="14"/>
              </w:rPr>
              <w:t>0.838±0.041 (16)</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b/>
                <w:sz w:val="14"/>
              </w:rPr>
              <w:t>0.952±0.010 (12)</w:t>
            </w:r>
          </w:p>
        </w:tc>
        <w:tc>
          <w:tcPr>
            <w:tcW w:type="dxa" w:w="1205"/>
          </w:tcPr>
          <w:p>
            <w:r>
              <w:rPr>
                <w:rFonts w:ascii="Times New Roman" w:hAnsi="Times New Roman" w:cs="Times New Roman" w:eastAsia="Times New Roman"/>
                <w:sz w:val="14"/>
              </w:rPr>
              <w:t>0.929±0.016 (35)</w:t>
            </w:r>
          </w:p>
        </w:tc>
        <w:tc>
          <w:tcPr>
            <w:tcW w:type="dxa" w:w="1205"/>
          </w:tcPr>
          <w:p>
            <w:r>
              <w:rPr>
                <w:rFonts w:ascii="Times New Roman" w:hAnsi="Times New Roman" w:cs="Times New Roman" w:eastAsia="Times New Roman"/>
                <w:sz w:val="14"/>
              </w:rPr>
              <w:t>0.838±0.091 (17)</w:t>
            </w:r>
          </w:p>
        </w:tc>
        <w:tc>
          <w:tcPr>
            <w:tcW w:type="dxa" w:w="1205"/>
          </w:tcPr>
          <w:p>
            <w:r>
              <w:rPr>
                <w:rFonts w:ascii="Times New Roman" w:hAnsi="Times New Roman" w:cs="Times New Roman" w:eastAsia="Times New Roman"/>
                <w:sz w:val="14"/>
              </w:rPr>
              <w:t>0.835±0.104 (18)</w:t>
            </w:r>
          </w:p>
        </w:tc>
        <w:tc>
          <w:tcPr>
            <w:tcW w:type="dxa" w:w="1205"/>
          </w:tcPr>
          <w:p>
            <w:r>
              <w:rPr>
                <w:rFonts w:ascii="Times New Roman" w:hAnsi="Times New Roman" w:cs="Times New Roman" w:eastAsia="Times New Roman"/>
                <w:sz w:val="14"/>
              </w:rPr>
              <w:t>0.781±0.104 (16)</w:t>
            </w:r>
          </w:p>
        </w:tc>
        <w:tc>
          <w:tcPr>
            <w:tcW w:type="dxa" w:w="1205"/>
          </w:tcPr>
          <w:p>
            <w:r>
              <w:rPr>
                <w:rFonts w:ascii="Times New Roman" w:hAnsi="Times New Roman" w:cs="Times New Roman" w:eastAsia="Times New Roman"/>
                <w:sz w:val="14"/>
              </w:rPr>
              <w:t>0.791±0.115 (17)</w:t>
            </w:r>
          </w:p>
        </w:tc>
        <w:tc>
          <w:tcPr>
            <w:tcW w:type="dxa" w:w="1205"/>
          </w:tcPr>
          <w:p>
            <w:r>
              <w:rPr>
                <w:rFonts w:ascii="Times New Roman" w:hAnsi="Times New Roman" w:cs="Times New Roman" w:eastAsia="Times New Roman"/>
                <w:sz w:val="14"/>
              </w:rPr>
              <w:t>0.712±0.074 (17)</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b/>
                <w:sz w:val="14"/>
              </w:rPr>
              <w:t>0.973±0.038 (957)</w:t>
            </w:r>
          </w:p>
        </w:tc>
        <w:tc>
          <w:tcPr>
            <w:tcW w:type="dxa" w:w="1205"/>
          </w:tcPr>
          <w:p>
            <w:r>
              <w:rPr>
                <w:rFonts w:ascii="Times New Roman" w:hAnsi="Times New Roman" w:cs="Times New Roman" w:eastAsia="Times New Roman"/>
                <w:sz w:val="14"/>
              </w:rPr>
              <w:t>0.962±0.045 (3549)</w:t>
            </w:r>
          </w:p>
        </w:tc>
        <w:tc>
          <w:tcPr>
            <w:tcW w:type="dxa" w:w="1205"/>
          </w:tcPr>
          <w:p>
            <w:r>
              <w:rPr>
                <w:rFonts w:ascii="Times New Roman" w:hAnsi="Times New Roman" w:cs="Times New Roman" w:eastAsia="Times New Roman"/>
                <w:sz w:val="14"/>
              </w:rPr>
              <w:t>0.951±0.058 (619)</w:t>
            </w:r>
          </w:p>
        </w:tc>
        <w:tc>
          <w:tcPr>
            <w:tcW w:type="dxa" w:w="1205"/>
          </w:tcPr>
          <w:p>
            <w:r>
              <w:rPr>
                <w:rFonts w:ascii="Times New Roman" w:hAnsi="Times New Roman" w:cs="Times New Roman" w:eastAsia="Times New Roman"/>
                <w:sz w:val="14"/>
              </w:rPr>
              <w:t>0.953±0.058 (1771)</w:t>
            </w:r>
          </w:p>
        </w:tc>
        <w:tc>
          <w:tcPr>
            <w:tcW w:type="dxa" w:w="1205"/>
          </w:tcPr>
          <w:p>
            <w:r>
              <w:rPr>
                <w:rFonts w:ascii="Times New Roman" w:hAnsi="Times New Roman" w:cs="Times New Roman" w:eastAsia="Times New Roman"/>
                <w:sz w:val="14"/>
              </w:rPr>
              <w:t>0.964±0.049 (1779)</w:t>
            </w:r>
          </w:p>
        </w:tc>
        <w:tc>
          <w:tcPr>
            <w:tcW w:type="dxa" w:w="1205"/>
          </w:tcPr>
          <w:p>
            <w:r>
              <w:rPr>
                <w:rFonts w:ascii="Times New Roman" w:hAnsi="Times New Roman" w:cs="Times New Roman" w:eastAsia="Times New Roman"/>
                <w:sz w:val="14"/>
              </w:rPr>
              <w:t>0.960±0.048 (1781)</w:t>
            </w:r>
          </w:p>
        </w:tc>
        <w:tc>
          <w:tcPr>
            <w:tcW w:type="dxa" w:w="1205"/>
          </w:tcPr>
          <w:p>
            <w:r>
              <w:rPr>
                <w:rFonts w:ascii="Times New Roman" w:hAnsi="Times New Roman" w:cs="Times New Roman" w:eastAsia="Times New Roman"/>
                <w:sz w:val="14"/>
              </w:rPr>
              <w:t>0.958±0.054 (1789)</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sz w:val="14"/>
              </w:rPr>
              <w:t>0.798±0.059 (7)</w:t>
            </w:r>
          </w:p>
        </w:tc>
        <w:tc>
          <w:tcPr>
            <w:tcW w:type="dxa" w:w="1205"/>
          </w:tcPr>
          <w:p>
            <w:r>
              <w:rPr>
                <w:rFonts w:ascii="Times New Roman" w:hAnsi="Times New Roman" w:cs="Times New Roman" w:eastAsia="Times New Roman"/>
                <w:b/>
                <w:sz w:val="14"/>
              </w:rPr>
              <w:t>0.817±0.056 (18)</w:t>
            </w:r>
          </w:p>
        </w:tc>
        <w:tc>
          <w:tcPr>
            <w:tcW w:type="dxa" w:w="1205"/>
          </w:tcPr>
          <w:p>
            <w:r>
              <w:rPr>
                <w:rFonts w:ascii="Times New Roman" w:hAnsi="Times New Roman" w:cs="Times New Roman" w:eastAsia="Times New Roman"/>
                <w:sz w:val="14"/>
              </w:rPr>
              <w:t>0.761±0.076 (10)</w:t>
            </w:r>
          </w:p>
        </w:tc>
        <w:tc>
          <w:tcPr>
            <w:tcW w:type="dxa" w:w="1205"/>
          </w:tcPr>
          <w:p>
            <w:r>
              <w:rPr>
                <w:rFonts w:ascii="Times New Roman" w:hAnsi="Times New Roman" w:cs="Times New Roman" w:eastAsia="Times New Roman"/>
                <w:sz w:val="14"/>
              </w:rPr>
              <w:t>0.771±0.068 (9)</w:t>
            </w:r>
          </w:p>
        </w:tc>
        <w:tc>
          <w:tcPr>
            <w:tcW w:type="dxa" w:w="1205"/>
          </w:tcPr>
          <w:p>
            <w:r>
              <w:rPr>
                <w:rFonts w:ascii="Times New Roman" w:hAnsi="Times New Roman" w:cs="Times New Roman" w:eastAsia="Times New Roman"/>
                <w:sz w:val="14"/>
              </w:rPr>
              <w:t>0.756±0.058 (9)</w:t>
            </w:r>
          </w:p>
        </w:tc>
        <w:tc>
          <w:tcPr>
            <w:tcW w:type="dxa" w:w="1205"/>
          </w:tcPr>
          <w:p>
            <w:r>
              <w:rPr>
                <w:rFonts w:ascii="Times New Roman" w:hAnsi="Times New Roman" w:cs="Times New Roman" w:eastAsia="Times New Roman"/>
                <w:sz w:val="14"/>
              </w:rPr>
              <w:t>0.761±0.075 (9)</w:t>
            </w:r>
          </w:p>
        </w:tc>
        <w:tc>
          <w:tcPr>
            <w:tcW w:type="dxa" w:w="1205"/>
          </w:tcPr>
          <w:p>
            <w:r>
              <w:rPr>
                <w:rFonts w:ascii="Times New Roman" w:hAnsi="Times New Roman" w:cs="Times New Roman" w:eastAsia="Times New Roman"/>
                <w:sz w:val="14"/>
              </w:rPr>
              <w:t>0.736±0.091 (8)</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b/>
                <w:sz w:val="14"/>
              </w:rPr>
              <w:t>0.996±0.015 (6)</w:t>
            </w:r>
          </w:p>
        </w:tc>
        <w:tc>
          <w:tcPr>
            <w:tcW w:type="dxa" w:w="1205"/>
          </w:tcPr>
          <w:p>
            <w:r>
              <w:rPr>
                <w:rFonts w:ascii="Times New Roman" w:hAnsi="Times New Roman" w:cs="Times New Roman" w:eastAsia="Times New Roman"/>
                <w:sz w:val="14"/>
              </w:rPr>
              <w:t>0.871±0.029 (13)</w:t>
            </w:r>
          </w:p>
        </w:tc>
        <w:tc>
          <w:tcPr>
            <w:tcW w:type="dxa" w:w="1205"/>
          </w:tcPr>
          <w:p>
            <w:r>
              <w:rPr>
                <w:rFonts w:ascii="Times New Roman" w:hAnsi="Times New Roman" w:cs="Times New Roman" w:eastAsia="Times New Roman"/>
                <w:sz w:val="14"/>
              </w:rPr>
              <w:t>0.788±0.081 (7)</w:t>
            </w:r>
          </w:p>
        </w:tc>
        <w:tc>
          <w:tcPr>
            <w:tcW w:type="dxa" w:w="1205"/>
          </w:tcPr>
          <w:p>
            <w:r>
              <w:rPr>
                <w:rFonts w:ascii="Times New Roman" w:hAnsi="Times New Roman" w:cs="Times New Roman" w:eastAsia="Times New Roman"/>
                <w:sz w:val="14"/>
              </w:rPr>
              <w:t>0.773±0.120 (7)</w:t>
            </w:r>
          </w:p>
        </w:tc>
        <w:tc>
          <w:tcPr>
            <w:tcW w:type="dxa" w:w="1205"/>
          </w:tcPr>
          <w:p>
            <w:r>
              <w:rPr>
                <w:rFonts w:ascii="Times New Roman" w:hAnsi="Times New Roman" w:cs="Times New Roman" w:eastAsia="Times New Roman"/>
                <w:sz w:val="14"/>
              </w:rPr>
              <w:t>0.748±0.108 (7)</w:t>
            </w:r>
          </w:p>
        </w:tc>
        <w:tc>
          <w:tcPr>
            <w:tcW w:type="dxa" w:w="1205"/>
          </w:tcPr>
          <w:p>
            <w:r>
              <w:rPr>
                <w:rFonts w:ascii="Times New Roman" w:hAnsi="Times New Roman" w:cs="Times New Roman" w:eastAsia="Times New Roman"/>
                <w:sz w:val="14"/>
              </w:rPr>
              <w:t>0.726±0.104 (6)</w:t>
            </w:r>
          </w:p>
        </w:tc>
        <w:tc>
          <w:tcPr>
            <w:tcW w:type="dxa" w:w="1205"/>
          </w:tcPr>
          <w:p>
            <w:r>
              <w:rPr>
                <w:rFonts w:ascii="Times New Roman" w:hAnsi="Times New Roman" w:cs="Times New Roman" w:eastAsia="Times New Roman"/>
                <w:sz w:val="14"/>
              </w:rPr>
              <w:t>0.699±0.156 (6)</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0.905±0.040 (7)</w:t>
            </w:r>
          </w:p>
        </w:tc>
        <w:tc>
          <w:tcPr>
            <w:tcW w:type="dxa" w:w="1205"/>
          </w:tcPr>
          <w:p>
            <w:r>
              <w:rPr>
                <w:rFonts w:ascii="Times New Roman" w:hAnsi="Times New Roman" w:cs="Times New Roman" w:eastAsia="Times New Roman"/>
                <w:sz w:val="14"/>
              </w:rPr>
              <w:t>0.903±0.046 (22)</w:t>
            </w:r>
          </w:p>
        </w:tc>
        <w:tc>
          <w:tcPr>
            <w:tcW w:type="dxa" w:w="1205"/>
          </w:tcPr>
          <w:p>
            <w:r>
              <w:rPr>
                <w:rFonts w:ascii="Times New Roman" w:hAnsi="Times New Roman" w:cs="Times New Roman" w:eastAsia="Times New Roman"/>
                <w:sz w:val="14"/>
              </w:rPr>
              <w:t>0.887±0.046 (10)</w:t>
            </w:r>
          </w:p>
        </w:tc>
        <w:tc>
          <w:tcPr>
            <w:tcW w:type="dxa" w:w="1205"/>
          </w:tcPr>
          <w:p>
            <w:r>
              <w:rPr>
                <w:rFonts w:ascii="Times New Roman" w:hAnsi="Times New Roman" w:cs="Times New Roman" w:eastAsia="Times New Roman"/>
                <w:sz w:val="14"/>
              </w:rPr>
              <w:t>0.881±0.051 (11)</w:t>
            </w:r>
          </w:p>
        </w:tc>
        <w:tc>
          <w:tcPr>
            <w:tcW w:type="dxa" w:w="1205"/>
          </w:tcPr>
          <w:p>
            <w:r>
              <w:rPr>
                <w:rFonts w:ascii="Times New Roman" w:hAnsi="Times New Roman" w:cs="Times New Roman" w:eastAsia="Times New Roman"/>
                <w:sz w:val="14"/>
              </w:rPr>
              <w:t>0.881±0.067 (11)</w:t>
            </w:r>
          </w:p>
        </w:tc>
        <w:tc>
          <w:tcPr>
            <w:tcW w:type="dxa" w:w="1205"/>
          </w:tcPr>
          <w:p>
            <w:r>
              <w:rPr>
                <w:rFonts w:ascii="Times New Roman" w:hAnsi="Times New Roman" w:cs="Times New Roman" w:eastAsia="Times New Roman"/>
                <w:sz w:val="14"/>
              </w:rPr>
              <w:t>0.872±0.053 (11)</w:t>
            </w:r>
          </w:p>
        </w:tc>
        <w:tc>
          <w:tcPr>
            <w:tcW w:type="dxa" w:w="1205"/>
          </w:tcPr>
          <w:p>
            <w:r>
              <w:rPr>
                <w:rFonts w:ascii="Times New Roman" w:hAnsi="Times New Roman" w:cs="Times New Roman" w:eastAsia="Times New Roman"/>
                <w:sz w:val="14"/>
              </w:rPr>
              <w:t>0.876±0.052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0.808±0.057 (17)</w:t>
            </w:r>
          </w:p>
        </w:tc>
        <w:tc>
          <w:tcPr>
            <w:tcW w:type="dxa" w:w="1205"/>
          </w:tcPr>
          <w:p>
            <w:r>
              <w:rPr>
                <w:rFonts w:ascii="Times New Roman" w:hAnsi="Times New Roman" w:cs="Times New Roman" w:eastAsia="Times New Roman"/>
                <w:sz w:val="14"/>
              </w:rPr>
              <w:t>0.802±0.059 (60)</w:t>
            </w:r>
          </w:p>
        </w:tc>
        <w:tc>
          <w:tcPr>
            <w:tcW w:type="dxa" w:w="1205"/>
          </w:tcPr>
          <w:p>
            <w:r>
              <w:rPr>
                <w:rFonts w:ascii="Times New Roman" w:hAnsi="Times New Roman" w:cs="Times New Roman" w:eastAsia="Times New Roman"/>
                <w:sz w:val="14"/>
              </w:rPr>
              <w:t>0.801±0.063 (29)</w:t>
            </w:r>
          </w:p>
        </w:tc>
        <w:tc>
          <w:tcPr>
            <w:tcW w:type="dxa" w:w="1205"/>
          </w:tcPr>
          <w:p>
            <w:r>
              <w:rPr>
                <w:rFonts w:ascii="Times New Roman" w:hAnsi="Times New Roman" w:cs="Times New Roman" w:eastAsia="Times New Roman"/>
                <w:sz w:val="14"/>
              </w:rPr>
              <w:t>0.798±0.065 (30)</w:t>
            </w:r>
          </w:p>
        </w:tc>
        <w:tc>
          <w:tcPr>
            <w:tcW w:type="dxa" w:w="1205"/>
          </w:tcPr>
          <w:p>
            <w:r>
              <w:rPr>
                <w:rFonts w:ascii="Times New Roman" w:hAnsi="Times New Roman" w:cs="Times New Roman" w:eastAsia="Times New Roman"/>
                <w:sz w:val="14"/>
              </w:rPr>
              <w:t>0.790±0.052 (30)</w:t>
            </w:r>
          </w:p>
        </w:tc>
        <w:tc>
          <w:tcPr>
            <w:tcW w:type="dxa" w:w="1205"/>
          </w:tcPr>
          <w:p>
            <w:r>
              <w:rPr>
                <w:rFonts w:ascii="Times New Roman" w:hAnsi="Times New Roman" w:cs="Times New Roman" w:eastAsia="Times New Roman"/>
                <w:sz w:val="14"/>
              </w:rPr>
              <w:t>0.794±0.055 (31)</w:t>
            </w:r>
          </w:p>
        </w:tc>
        <w:tc>
          <w:tcPr>
            <w:tcW w:type="dxa" w:w="1205"/>
          </w:tcPr>
          <w:p>
            <w:r>
              <w:rPr>
                <w:rFonts w:ascii="Times New Roman" w:hAnsi="Times New Roman" w:cs="Times New Roman" w:eastAsia="Times New Roman"/>
                <w:sz w:val="14"/>
              </w:rPr>
              <w:t>0.802±0.072 (30)</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0.820±0.040 (8)</w:t>
            </w:r>
          </w:p>
        </w:tc>
        <w:tc>
          <w:tcPr>
            <w:tcW w:type="dxa" w:w="1205"/>
          </w:tcPr>
          <w:p>
            <w:r>
              <w:rPr>
                <w:rFonts w:ascii="Times New Roman" w:hAnsi="Times New Roman" w:cs="Times New Roman" w:eastAsia="Times New Roman"/>
                <w:sz w:val="14"/>
              </w:rPr>
              <w:t>0.810±0.045 (21)</w:t>
            </w:r>
          </w:p>
        </w:tc>
        <w:tc>
          <w:tcPr>
            <w:tcW w:type="dxa" w:w="1205"/>
          </w:tcPr>
          <w:p>
            <w:r>
              <w:rPr>
                <w:rFonts w:ascii="Times New Roman" w:hAnsi="Times New Roman" w:cs="Times New Roman" w:eastAsia="Times New Roman"/>
                <w:sz w:val="14"/>
              </w:rPr>
              <w:t>0.803±0.043 (10)</w:t>
            </w:r>
          </w:p>
        </w:tc>
        <w:tc>
          <w:tcPr>
            <w:tcW w:type="dxa" w:w="1205"/>
          </w:tcPr>
          <w:p>
            <w:r>
              <w:rPr>
                <w:rFonts w:ascii="Times New Roman" w:hAnsi="Times New Roman" w:cs="Times New Roman" w:eastAsia="Times New Roman"/>
                <w:sz w:val="14"/>
              </w:rPr>
              <w:t>0.801±0.038 (11)</w:t>
            </w:r>
          </w:p>
        </w:tc>
        <w:tc>
          <w:tcPr>
            <w:tcW w:type="dxa" w:w="1205"/>
          </w:tcPr>
          <w:p>
            <w:r>
              <w:rPr>
                <w:rFonts w:ascii="Times New Roman" w:hAnsi="Times New Roman" w:cs="Times New Roman" w:eastAsia="Times New Roman"/>
                <w:sz w:val="14"/>
              </w:rPr>
              <w:t>0.795±0.029 (10)</w:t>
            </w:r>
          </w:p>
        </w:tc>
        <w:tc>
          <w:tcPr>
            <w:tcW w:type="dxa" w:w="1205"/>
          </w:tcPr>
          <w:p>
            <w:r>
              <w:rPr>
                <w:rFonts w:ascii="Times New Roman" w:hAnsi="Times New Roman" w:cs="Times New Roman" w:eastAsia="Times New Roman"/>
                <w:sz w:val="14"/>
              </w:rPr>
              <w:t>0.807±0.037 (11)</w:t>
            </w:r>
          </w:p>
        </w:tc>
        <w:tc>
          <w:tcPr>
            <w:tcW w:type="dxa" w:w="1205"/>
          </w:tcPr>
          <w:p>
            <w:r>
              <w:rPr>
                <w:rFonts w:ascii="Times New Roman" w:hAnsi="Times New Roman" w:cs="Times New Roman" w:eastAsia="Times New Roman"/>
                <w:sz w:val="14"/>
              </w:rPr>
              <w:t>0.793±0.055 (11)</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b/>
                <w:sz w:val="14"/>
              </w:rPr>
              <w:t>0.821±0.029 (8)</w:t>
            </w:r>
          </w:p>
        </w:tc>
        <w:tc>
          <w:tcPr>
            <w:tcW w:type="dxa" w:w="1205"/>
          </w:tcPr>
          <w:p>
            <w:r>
              <w:rPr>
                <w:rFonts w:ascii="Times New Roman" w:hAnsi="Times New Roman" w:cs="Times New Roman" w:eastAsia="Times New Roman"/>
                <w:sz w:val="14"/>
              </w:rPr>
              <w:t>0.786±0.215 (8)</w:t>
            </w:r>
          </w:p>
        </w:tc>
        <w:tc>
          <w:tcPr>
            <w:tcW w:type="dxa" w:w="1205"/>
          </w:tcPr>
          <w:p>
            <w:r>
              <w:rPr>
                <w:rFonts w:ascii="Times New Roman" w:hAnsi="Times New Roman" w:cs="Times New Roman" w:eastAsia="Times New Roman"/>
                <w:sz w:val="14"/>
              </w:rPr>
              <w:t>0.692±0.201 (6)</w:t>
            </w:r>
          </w:p>
        </w:tc>
        <w:tc>
          <w:tcPr>
            <w:tcW w:type="dxa" w:w="1205"/>
          </w:tcPr>
          <w:p>
            <w:r>
              <w:rPr>
                <w:rFonts w:ascii="Times New Roman" w:hAnsi="Times New Roman" w:cs="Times New Roman" w:eastAsia="Times New Roman"/>
                <w:sz w:val="14"/>
              </w:rPr>
              <w:t>0.646±0.191 (4)</w:t>
            </w:r>
          </w:p>
        </w:tc>
        <w:tc>
          <w:tcPr>
            <w:tcW w:type="dxa" w:w="1205"/>
          </w:tcPr>
          <w:p>
            <w:r>
              <w:rPr>
                <w:rFonts w:ascii="Times New Roman" w:hAnsi="Times New Roman" w:cs="Times New Roman" w:eastAsia="Times New Roman"/>
                <w:sz w:val="14"/>
              </w:rPr>
              <w:t>0.654±0.185 (5)</w:t>
            </w:r>
          </w:p>
        </w:tc>
        <w:tc>
          <w:tcPr>
            <w:tcW w:type="dxa" w:w="1205"/>
          </w:tcPr>
          <w:p>
            <w:r>
              <w:rPr>
                <w:rFonts w:ascii="Times New Roman" w:hAnsi="Times New Roman" w:cs="Times New Roman" w:eastAsia="Times New Roman"/>
                <w:sz w:val="14"/>
              </w:rPr>
              <w:t>0.655±0.185 (5)</w:t>
            </w:r>
          </w:p>
        </w:tc>
        <w:tc>
          <w:tcPr>
            <w:tcW w:type="dxa" w:w="1205"/>
          </w:tcPr>
          <w:p>
            <w:r>
              <w:rPr>
                <w:rFonts w:ascii="Times New Roman" w:hAnsi="Times New Roman" w:cs="Times New Roman" w:eastAsia="Times New Roman"/>
                <w:sz w:val="14"/>
              </w:rPr>
              <w:t>0.624±0.176 (4)</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0.956±0.027 (3)</w:t>
            </w:r>
          </w:p>
        </w:tc>
        <w:tc>
          <w:tcPr>
            <w:tcW w:type="dxa" w:w="1205"/>
          </w:tcPr>
          <w:p>
            <w:r>
              <w:rPr>
                <w:rFonts w:ascii="Times New Roman" w:hAnsi="Times New Roman" w:cs="Times New Roman" w:eastAsia="Times New Roman"/>
                <w:sz w:val="14"/>
              </w:rPr>
              <w:t>0.922±0.038 (16)</w:t>
            </w:r>
          </w:p>
        </w:tc>
        <w:tc>
          <w:tcPr>
            <w:tcW w:type="dxa" w:w="1205"/>
          </w:tcPr>
          <w:p>
            <w:r>
              <w:rPr>
                <w:rFonts w:ascii="Times New Roman" w:hAnsi="Times New Roman" w:cs="Times New Roman" w:eastAsia="Times New Roman"/>
                <w:sz w:val="14"/>
              </w:rPr>
              <w:t>0.901±0.065 (6)</w:t>
            </w:r>
          </w:p>
        </w:tc>
        <w:tc>
          <w:tcPr>
            <w:tcW w:type="dxa" w:w="1205"/>
          </w:tcPr>
          <w:p>
            <w:r>
              <w:rPr>
                <w:rFonts w:ascii="Times New Roman" w:hAnsi="Times New Roman" w:cs="Times New Roman" w:eastAsia="Times New Roman"/>
                <w:sz w:val="14"/>
              </w:rPr>
              <w:t>0.884±0.084 (6)</w:t>
            </w:r>
          </w:p>
        </w:tc>
        <w:tc>
          <w:tcPr>
            <w:tcW w:type="dxa" w:w="1205"/>
          </w:tcPr>
          <w:p>
            <w:r>
              <w:rPr>
                <w:rFonts w:ascii="Times New Roman" w:hAnsi="Times New Roman" w:cs="Times New Roman" w:eastAsia="Times New Roman"/>
                <w:sz w:val="14"/>
              </w:rPr>
              <w:t>0.903±0.050 (8)</w:t>
            </w:r>
          </w:p>
        </w:tc>
        <w:tc>
          <w:tcPr>
            <w:tcW w:type="dxa" w:w="1205"/>
          </w:tcPr>
          <w:p>
            <w:r>
              <w:rPr>
                <w:rFonts w:ascii="Times New Roman" w:hAnsi="Times New Roman" w:cs="Times New Roman" w:eastAsia="Times New Roman"/>
                <w:sz w:val="14"/>
              </w:rPr>
              <w:t>0.891±0.046 (7)</w:t>
            </w:r>
          </w:p>
        </w:tc>
        <w:tc>
          <w:tcPr>
            <w:tcW w:type="dxa" w:w="1205"/>
          </w:tcPr>
          <w:p>
            <w:r>
              <w:rPr>
                <w:rFonts w:ascii="Times New Roman" w:hAnsi="Times New Roman" w:cs="Times New Roman" w:eastAsia="Times New Roman"/>
                <w:sz w:val="14"/>
              </w:rPr>
              <w:t>0.902±0.040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0.967±0.016 (12)</w:t>
            </w:r>
          </w:p>
        </w:tc>
        <w:tc>
          <w:tcPr>
            <w:tcW w:type="dxa" w:w="1205"/>
          </w:tcPr>
          <w:p>
            <w:r>
              <w:rPr>
                <w:rFonts w:ascii="Times New Roman" w:hAnsi="Times New Roman" w:cs="Times New Roman" w:eastAsia="Times New Roman"/>
                <w:sz w:val="14"/>
              </w:rPr>
              <w:t>0.965±0.015 (30)</w:t>
            </w:r>
          </w:p>
        </w:tc>
        <w:tc>
          <w:tcPr>
            <w:tcW w:type="dxa" w:w="1205"/>
          </w:tcPr>
          <w:p>
            <w:r>
              <w:rPr>
                <w:rFonts w:ascii="Times New Roman" w:hAnsi="Times New Roman" w:cs="Times New Roman" w:eastAsia="Times New Roman"/>
                <w:sz w:val="14"/>
              </w:rPr>
              <w:t>0.958±0.021 (14)</w:t>
            </w:r>
          </w:p>
        </w:tc>
        <w:tc>
          <w:tcPr>
            <w:tcW w:type="dxa" w:w="1205"/>
          </w:tcPr>
          <w:p>
            <w:r>
              <w:rPr>
                <w:rFonts w:ascii="Times New Roman" w:hAnsi="Times New Roman" w:cs="Times New Roman" w:eastAsia="Times New Roman"/>
                <w:sz w:val="14"/>
              </w:rPr>
              <w:t>0.956±0.017 (15)</w:t>
            </w:r>
          </w:p>
        </w:tc>
        <w:tc>
          <w:tcPr>
            <w:tcW w:type="dxa" w:w="1205"/>
          </w:tcPr>
          <w:p>
            <w:r>
              <w:rPr>
                <w:rFonts w:ascii="Times New Roman" w:hAnsi="Times New Roman" w:cs="Times New Roman" w:eastAsia="Times New Roman"/>
                <w:sz w:val="14"/>
              </w:rPr>
              <w:t>0.956±0.018 (15)</w:t>
            </w:r>
          </w:p>
        </w:tc>
        <w:tc>
          <w:tcPr>
            <w:tcW w:type="dxa" w:w="1205"/>
          </w:tcPr>
          <w:p>
            <w:r>
              <w:rPr>
                <w:rFonts w:ascii="Times New Roman" w:hAnsi="Times New Roman" w:cs="Times New Roman" w:eastAsia="Times New Roman"/>
                <w:sz w:val="14"/>
              </w:rPr>
              <w:t>0.953±0.021 (14)</w:t>
            </w:r>
          </w:p>
        </w:tc>
        <w:tc>
          <w:tcPr>
            <w:tcW w:type="dxa" w:w="1205"/>
          </w:tcPr>
          <w:p>
            <w:r>
              <w:rPr>
                <w:rFonts w:ascii="Times New Roman" w:hAnsi="Times New Roman" w:cs="Times New Roman" w:eastAsia="Times New Roman"/>
                <w:sz w:val="14"/>
              </w:rPr>
              <w:t>0.954±0.018 (15)</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b/>
                <w:sz w:val="14"/>
              </w:rPr>
              <w:t>0.815±0.012 (16)</w:t>
            </w:r>
          </w:p>
        </w:tc>
        <w:tc>
          <w:tcPr>
            <w:tcW w:type="dxa" w:w="1205"/>
          </w:tcPr>
          <w:p>
            <w:r>
              <w:rPr>
                <w:rFonts w:ascii="Times New Roman" w:hAnsi="Times New Roman" w:cs="Times New Roman" w:eastAsia="Times New Roman"/>
                <w:sz w:val="14"/>
              </w:rPr>
              <w:t>0.757±0.063 (38)</w:t>
            </w:r>
          </w:p>
        </w:tc>
        <w:tc>
          <w:tcPr>
            <w:tcW w:type="dxa" w:w="1205"/>
          </w:tcPr>
          <w:p>
            <w:r>
              <w:rPr>
                <w:rFonts w:ascii="Times New Roman" w:hAnsi="Times New Roman" w:cs="Times New Roman" w:eastAsia="Times New Roman"/>
                <w:sz w:val="14"/>
              </w:rPr>
              <w:t>0.746±0.061 (21)</w:t>
            </w:r>
          </w:p>
        </w:tc>
        <w:tc>
          <w:tcPr>
            <w:tcW w:type="dxa" w:w="1205"/>
          </w:tcPr>
          <w:p>
            <w:r>
              <w:rPr>
                <w:rFonts w:ascii="Times New Roman" w:hAnsi="Times New Roman" w:cs="Times New Roman" w:eastAsia="Times New Roman"/>
                <w:sz w:val="14"/>
              </w:rPr>
              <w:t>0.735±0.086 (21)</w:t>
            </w:r>
          </w:p>
        </w:tc>
        <w:tc>
          <w:tcPr>
            <w:tcW w:type="dxa" w:w="1205"/>
          </w:tcPr>
          <w:p>
            <w:r>
              <w:rPr>
                <w:rFonts w:ascii="Times New Roman" w:hAnsi="Times New Roman" w:cs="Times New Roman" w:eastAsia="Times New Roman"/>
                <w:sz w:val="14"/>
              </w:rPr>
              <w:t>0.717±0.067 (20)</w:t>
            </w:r>
          </w:p>
        </w:tc>
        <w:tc>
          <w:tcPr>
            <w:tcW w:type="dxa" w:w="1205"/>
          </w:tcPr>
          <w:p>
            <w:r>
              <w:rPr>
                <w:rFonts w:ascii="Times New Roman" w:hAnsi="Times New Roman" w:cs="Times New Roman" w:eastAsia="Times New Roman"/>
                <w:sz w:val="14"/>
              </w:rPr>
              <w:t>0.724±0.056 (21)</w:t>
            </w:r>
          </w:p>
        </w:tc>
        <w:tc>
          <w:tcPr>
            <w:tcW w:type="dxa" w:w="1205"/>
          </w:tcPr>
          <w:p>
            <w:r>
              <w:rPr>
                <w:rFonts w:ascii="Times New Roman" w:hAnsi="Times New Roman" w:cs="Times New Roman" w:eastAsia="Times New Roman"/>
                <w:sz w:val="14"/>
              </w:rPr>
              <w:t>0.686±0.058 (19)</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sz w:val="14"/>
              </w:rPr>
              <w:t>0.908±0.054 (8)</w:t>
            </w:r>
          </w:p>
        </w:tc>
        <w:tc>
          <w:tcPr>
            <w:tcW w:type="dxa" w:w="1205"/>
          </w:tcPr>
          <w:p>
            <w:r>
              <w:rPr>
                <w:rFonts w:ascii="Times New Roman" w:hAnsi="Times New Roman" w:cs="Times New Roman" w:eastAsia="Times New Roman"/>
                <w:b/>
                <w:sz w:val="14"/>
              </w:rPr>
              <w:t>0.919±0.058 (16)</w:t>
            </w:r>
          </w:p>
        </w:tc>
        <w:tc>
          <w:tcPr>
            <w:tcW w:type="dxa" w:w="1205"/>
          </w:tcPr>
          <w:p>
            <w:r>
              <w:rPr>
                <w:rFonts w:ascii="Times New Roman" w:hAnsi="Times New Roman" w:cs="Times New Roman" w:eastAsia="Times New Roman"/>
                <w:sz w:val="14"/>
              </w:rPr>
              <w:t>0.846±0.073 (9)</w:t>
            </w:r>
          </w:p>
        </w:tc>
        <w:tc>
          <w:tcPr>
            <w:tcW w:type="dxa" w:w="1205"/>
          </w:tcPr>
          <w:p>
            <w:r>
              <w:rPr>
                <w:rFonts w:ascii="Times New Roman" w:hAnsi="Times New Roman" w:cs="Times New Roman" w:eastAsia="Times New Roman"/>
                <w:sz w:val="14"/>
              </w:rPr>
              <w:t>0.854±0.079 (8)</w:t>
            </w:r>
          </w:p>
        </w:tc>
        <w:tc>
          <w:tcPr>
            <w:tcW w:type="dxa" w:w="1205"/>
          </w:tcPr>
          <w:p>
            <w:r>
              <w:rPr>
                <w:rFonts w:ascii="Times New Roman" w:hAnsi="Times New Roman" w:cs="Times New Roman" w:eastAsia="Times New Roman"/>
                <w:sz w:val="14"/>
              </w:rPr>
              <w:t>0.846±0.078 (8)</w:t>
            </w:r>
          </w:p>
        </w:tc>
        <w:tc>
          <w:tcPr>
            <w:tcW w:type="dxa" w:w="1205"/>
          </w:tcPr>
          <w:p>
            <w:r>
              <w:rPr>
                <w:rFonts w:ascii="Times New Roman" w:hAnsi="Times New Roman" w:cs="Times New Roman" w:eastAsia="Times New Roman"/>
                <w:sz w:val="14"/>
              </w:rPr>
              <w:t>0.848±0.080 (8)</w:t>
            </w:r>
          </w:p>
        </w:tc>
        <w:tc>
          <w:tcPr>
            <w:tcW w:type="dxa" w:w="1205"/>
          </w:tcPr>
          <w:p>
            <w:r>
              <w:rPr>
                <w:rFonts w:ascii="Times New Roman" w:hAnsi="Times New Roman" w:cs="Times New Roman" w:eastAsia="Times New Roman"/>
                <w:sz w:val="14"/>
              </w:rPr>
              <w:t>0.827±0.073 (8)</w:t>
            </w:r>
          </w:p>
        </w:tc>
      </w:tr>
    </w:tbl>
    <w:p>
      <w:pPr>
        <w:jc w:val="left"/>
      </w:pPr>
      <w:r>
        <w:rPr>
          <w:rFonts w:ascii="Times New Roman" w:hAnsi="Times New Roman" w:cs="Times New Roman" w:eastAsia="Times New Roman"/>
          <w:sz w:val="18"/>
        </w:rPr>
        <w:t>Table 2 Held-out generalization: mean ± SD accuracy over 30 runs, with mean number of selected features in parentheses, on the outer 20% hold-out (relevance prior, search, and CV fitness fit on the 80% training split only; dataset feature counts are given in Supplementary Table S1). Per-run raw results, from which every figure here can be recomputed exactly, are in the repository (Data availability). Bold = best accuracy per dataset.</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3.2 Feature-subset parsimony</w:t>
      </w:r>
    </w:p>
    <w:p>
      <w:pPr>
        <w:spacing w:line="360" w:lineRule="auto" w:after="200"/>
        <w:jc w:val="both"/>
      </w:pPr>
      <w:r>
        <w:rPr>
          <w:rFonts w:ascii="Times New Roman" w:hAnsi="Times New Roman" w:cs="Times New Roman" w:eastAsia="Times New Roman"/>
          <w:i w:val="0"/>
          <w:sz w:val="22"/>
        </w:rP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(74.0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we implement using published adaptive transfers, RG-SCSO does not lead on accuracy yet still selects 26–43% fewer features, and against two directly re-implemented same-family binary SCSO selectors (Methods) it is 42% smaller in mean feature count aggregated across all 18 datasets, at comparable accuracy. A per-dataset average of the same percentage instead would give a smaller figure, since it would weight every dataset equally regardless of its feature-count scale. The dimensionality reductions are too small relative to these datasets' modest sample counts (50–455 training instances) for a wall-clock inference saving to be resolvable above call overhead; a projected, reconstructed inference-cost analysis at a synthetic deployment-scale workload, a controlled complexity demonstration rather than a measurement on the benchmark's own test sets, is reported in Supplementary Information instead of here.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023360" cy="3482154"/>
            <wp:docPr id="2" name="Picture 2"/>
            <wp:cNvGraphicFramePr>
              <a:graphicFrameLocks noChangeAspect="1"/>
            </wp:cNvGraphicFramePr>
            <a:graphic>
              <a:graphicData uri="http://schemas.openxmlformats.org/drawingml/2006/picture">
                <pic:pic>
                  <pic:nvPicPr>
                    <pic:cNvPr id="0" name="accuracy_parsimony_tradeoff.png"/>
                    <pic:cNvPicPr/>
                  </pic:nvPicPr>
                  <pic:blipFill>
                    <a:blip r:embed="rId10"/>
                    <a:stretch>
                      <a:fillRect/>
                    </a:stretch>
                  </pic:blipFill>
                  <pic:spPr>
                    <a:xfrm>
                      <a:off x="0" y="0"/>
                      <a:ext cx="4023360" cy="3482154"/>
                    </a:xfrm>
                    <a:prstGeom prst="rect"/>
                  </pic:spPr>
                </pic:pic>
              </a:graphicData>
            </a:graphic>
          </wp:inline>
        </w:drawing>
      </w:r>
    </w:p>
    <w:p>
      <w:pPr>
        <w:jc w:val="center"/>
      </w:pPr>
      <w:r>
        <w:rPr>
          <w:rFonts w:ascii="Times New Roman" w:hAnsi="Times New Roman" w:cs="Times New Roman" w:eastAsia="Times New Roman"/>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3.3 Ranking and statistical significance</w:t>
      </w:r>
    </w:p>
    <w:p>
      <w:pPr>
        <w:spacing w:line="360" w:lineRule="auto" w:after="200"/>
        <w:jc w:val="both"/>
      </w:pPr>
      <w:r>
        <w:rPr>
          <w:rFonts w:ascii="Times New Roman" w:hAnsi="Times New Roman" w:cs="Times New Roman" w:eastAsia="Times New Roman"/>
          <w:i w:val="0"/>
          <w:sz w:val="22"/>
        </w:rPr>
        <w:t>Table 3 gives the in-sample average rank (1.00 for RG-SCSO) and the Holm-significant win/tie/loss against each baseline. These are paired per-dataset comparisons, not independent trials: across the 108 dataset-baseline pairs RG-SCSO wins 107 and loses 0,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pPr>
        <w:sectPr>
          <w:type w:val="continuous"/>
          <w:pgSz w:w="11906" w:h="16838"/>
          <w:pgMar w:top="1134" w:right="1134" w:bottom="1134" w:left="1134" w:header="720" w:footer="720" w:gutter="0"/>
          <w:cols w:space="460" w:num="1"/>
          <w:docGrid w:linePitch="360"/>
        </w:sectPr>
      </w:pPr>
    </w:p>
    <w:p>
      <w:pPr>
        <w:jc w:val="left"/>
      </w:pPr>
      <w:r>
        <w:rPr>
          <w:rFonts w:ascii="Times New Roman" w:hAnsi="Times New Roman" w:cs="Times New Roman" w:eastAsia="Times New Roman"/>
          <w:sz w:val="18"/>
        </w:rPr>
        <w:t>Table 3 Average Rank, Holm-Significant Win/Tie/Loss, and Median Effect Size vs. RG-SCSO.</w:t>
      </w:r>
    </w:p>
    <w:tbl>
      <w:tblPr>
        <w:tblStyle w:val="TableGrid"/>
        <w:tblW w:type="auto" w:w="0"/>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8"/>
              </w:rPr>
              <w:t>Algorithm (year)</w:t>
            </w:r>
          </w:p>
        </w:tc>
        <w:tc>
          <w:tcPr>
            <w:tcW w:type="dxa" w:w="2409"/>
            <w:tcBorders>
              <w:bottom w:val="single" w:sz="6" w:space="0" w:color="000000"/>
            </w:tcBorders>
          </w:tcPr>
          <w:p>
            <w:r>
              <w:rPr>
                <w:rFonts w:ascii="Times New Roman" w:hAnsi="Times New Roman" w:cs="Times New Roman" w:eastAsia="Times New Roman"/>
                <w:b/>
                <w:sz w:val="18"/>
              </w:rPr>
              <w:t>Avg. rank</w:t>
            </w:r>
          </w:p>
        </w:tc>
        <w:tc>
          <w:tcPr>
            <w:tcW w:type="dxa" w:w="2409"/>
            <w:tcBorders>
              <w:bottom w:val="single" w:sz="6" w:space="0" w:color="000000"/>
            </w:tcBorders>
          </w:tcPr>
          <w:p>
            <w:r>
              <w:rPr>
                <w:rFonts w:ascii="Times New Roman" w:hAnsi="Times New Roman" w:cs="Times New Roman" w:eastAsia="Times New Roman"/>
                <w:b/>
                <w:sz w:val="18"/>
              </w:rPr>
              <w:t>W/T/L vs RG-SCSO (Holm)</w:t>
            </w:r>
          </w:p>
        </w:tc>
        <w:tc>
          <w:tcPr>
            <w:tcW w:type="dxa" w:w="2409"/>
            <w:tcBorders>
              <w:bottom w:val="single" w:sz="6" w:space="0" w:color="000000"/>
            </w:tcBorders>
          </w:tcPr>
          <w:p>
            <w:r>
              <w:rPr>
                <w:rFonts w:ascii="Times New Roman" w:hAnsi="Times New Roman" w:cs="Times New Roman" w:eastAsia="Times New Roman"/>
                <w:b/>
                <w:sz w:val="18"/>
              </w:rPr>
              <w:t>Median |d|</w:t>
            </w:r>
          </w:p>
        </w:tc>
      </w:tr>
      <w:tr>
        <w:tc>
          <w:tcPr>
            <w:tcW w:type="dxa" w:w="2409"/>
          </w:tcPr>
          <w:p>
            <w:r>
              <w:rPr>
                <w:rFonts w:ascii="Times New Roman" w:hAnsi="Times New Roman" w:cs="Times New Roman" w:eastAsia="Times New Roman"/>
                <w:sz w:val="18"/>
              </w:rPr>
              <w:t>RG-SCSO (ours)</w:t>
            </w:r>
          </w:p>
        </w:tc>
        <w:tc>
          <w:tcPr>
            <w:tcW w:type="dxa" w:w="2409"/>
          </w:tcPr>
          <w:p>
            <w:r>
              <w:rPr>
                <w:rFonts w:ascii="Times New Roman" w:hAnsi="Times New Roman" w:cs="Times New Roman" w:eastAsia="Times New Roman"/>
                <w:sz w:val="18"/>
              </w:rPr>
              <w:t>1.00</w:t>
            </w:r>
          </w:p>
        </w:tc>
        <w:tc>
          <w:tcPr>
            <w:tcW w:type="dxa" w:w="2409"/>
          </w:tcPr>
          <w:p>
            <w:r>
              <w:rPr>
                <w:rFonts w:ascii="Times New Roman" w:hAnsi="Times New Roman" w:cs="Times New Roman" w:eastAsia="Times New Roman"/>
                <w:sz w:val="18"/>
              </w:rPr>
              <w:t>-</w:t>
            </w:r>
          </w:p>
        </w:tc>
        <w:tc>
          <w:tcPr>
            <w:tcW w:type="dxa" w:w="2409"/>
          </w:tcPr>
          <w:p>
            <w:r>
              <w:rPr>
                <w:rFonts w:ascii="Times New Roman" w:hAnsi="Times New Roman" w:cs="Times New Roman" w:eastAsia="Times New Roman"/>
                <w:sz w:val="18"/>
              </w:rPr>
              <w:t>-</w:t>
            </w:r>
          </w:p>
        </w:tc>
      </w:tr>
      <w:tr>
        <w:tc>
          <w:tcPr>
            <w:tcW w:type="dxa" w:w="2409"/>
          </w:tcPr>
          <w:p>
            <w:r>
              <w:rPr>
                <w:rFonts w:ascii="Times New Roman" w:hAnsi="Times New Roman" w:cs="Times New Roman" w:eastAsia="Times New Roman"/>
                <w:sz w:val="18"/>
              </w:rPr>
              <w:t>AOA (2021)</w:t>
            </w:r>
          </w:p>
        </w:tc>
        <w:tc>
          <w:tcPr>
            <w:tcW w:type="dxa" w:w="2409"/>
          </w:tcPr>
          <w:p>
            <w:r>
              <w:rPr>
                <w:rFonts w:ascii="Times New Roman" w:hAnsi="Times New Roman" w:cs="Times New Roman" w:eastAsia="Times New Roman"/>
                <w:sz w:val="18"/>
              </w:rPr>
              <w:t>2.89</w:t>
            </w:r>
          </w:p>
        </w:tc>
        <w:tc>
          <w:tcPr>
            <w:tcW w:type="dxa" w:w="2409"/>
          </w:tcPr>
          <w:p>
            <w:r>
              <w:rPr>
                <w:rFonts w:ascii="Times New Roman" w:hAnsi="Times New Roman" w:cs="Times New Roman" w:eastAsia="Times New Roman"/>
                <w:sz w:val="18"/>
              </w:rPr>
              <w:t>17/1/0</w:t>
            </w:r>
          </w:p>
        </w:tc>
        <w:tc>
          <w:tcPr>
            <w:tcW w:type="dxa" w:w="2409"/>
          </w:tcPr>
          <w:p>
            <w:r>
              <w:rPr>
                <w:rFonts w:ascii="Times New Roman" w:hAnsi="Times New Roman" w:cs="Times New Roman" w:eastAsia="Times New Roman"/>
                <w:sz w:val="18"/>
              </w:rPr>
              <w:t>3.42</w:t>
            </w:r>
          </w:p>
        </w:tc>
      </w:tr>
      <w:tr>
        <w:tc>
          <w:tcPr>
            <w:tcW w:type="dxa" w:w="2409"/>
          </w:tcPr>
          <w:p>
            <w:r>
              <w:rPr>
                <w:rFonts w:ascii="Times New Roman" w:hAnsi="Times New Roman" w:cs="Times New Roman" w:eastAsia="Times New Roman"/>
                <w:sz w:val="18"/>
              </w:rPr>
              <w:t>SCSO (2022)</w:t>
            </w:r>
          </w:p>
        </w:tc>
        <w:tc>
          <w:tcPr>
            <w:tcW w:type="dxa" w:w="2409"/>
          </w:tcPr>
          <w:p>
            <w:r>
              <w:rPr>
                <w:rFonts w:ascii="Times New Roman" w:hAnsi="Times New Roman" w:cs="Times New Roman" w:eastAsia="Times New Roman"/>
                <w:sz w:val="18"/>
              </w:rPr>
              <w:t>3.94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1.49</w:t>
            </w:r>
          </w:p>
        </w:tc>
      </w:tr>
      <w:tr>
        <w:tc>
          <w:tcPr>
            <w:tcW w:type="dxa" w:w="2409"/>
          </w:tcPr>
          <w:p>
            <w:r>
              <w:rPr>
                <w:rFonts w:ascii="Times New Roman" w:hAnsi="Times New Roman" w:cs="Times New Roman" w:eastAsia="Times New Roman"/>
                <w:sz w:val="18"/>
              </w:rPr>
              <w:t>COA (2023)</w:t>
            </w:r>
          </w:p>
        </w:tc>
        <w:tc>
          <w:tcPr>
            <w:tcW w:type="dxa" w:w="2409"/>
          </w:tcPr>
          <w:p>
            <w:r>
              <w:rPr>
                <w:rFonts w:ascii="Times New Roman" w:hAnsi="Times New Roman" w:cs="Times New Roman" w:eastAsia="Times New Roman"/>
                <w:sz w:val="18"/>
              </w:rPr>
              <w:t>4.11</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1.87</w:t>
            </w:r>
          </w:p>
        </w:tc>
      </w:tr>
      <w:tr>
        <w:tc>
          <w:tcPr>
            <w:tcW w:type="dxa" w:w="2409"/>
          </w:tcPr>
          <w:p>
            <w:r>
              <w:rPr>
                <w:rFonts w:ascii="Times New Roman" w:hAnsi="Times New Roman" w:cs="Times New Roman" w:eastAsia="Times New Roman"/>
                <w:sz w:val="18"/>
              </w:rPr>
              <w:t>RIME (2023)</w:t>
            </w:r>
          </w:p>
        </w:tc>
        <w:tc>
          <w:tcPr>
            <w:tcW w:type="dxa" w:w="2409"/>
          </w:tcPr>
          <w:p>
            <w:r>
              <w:rPr>
                <w:rFonts w:ascii="Times New Roman" w:hAnsi="Times New Roman" w:cs="Times New Roman" w:eastAsia="Times New Roman"/>
                <w:sz w:val="18"/>
              </w:rPr>
              <w:t>4.44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2.08</w:t>
            </w:r>
          </w:p>
        </w:tc>
      </w:tr>
      <w:tr>
        <w:tc>
          <w:tcPr>
            <w:tcW w:type="dxa" w:w="2409"/>
          </w:tcPr>
          <w:p>
            <w:r>
              <w:rPr>
                <w:rFonts w:ascii="Times New Roman" w:hAnsi="Times New Roman" w:cs="Times New Roman" w:eastAsia="Times New Roman"/>
                <w:sz w:val="18"/>
              </w:rPr>
              <w:t>PSO (1995)</w:t>
            </w:r>
          </w:p>
        </w:tc>
        <w:tc>
          <w:tcPr>
            <w:tcW w:type="dxa" w:w="2409"/>
          </w:tcPr>
          <w:p>
            <w:r>
              <w:rPr>
                <w:rFonts w:ascii="Times New Roman" w:hAnsi="Times New Roman" w:cs="Times New Roman" w:eastAsia="Times New Roman"/>
                <w:sz w:val="18"/>
              </w:rPr>
              <w:t>4.94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2.32</w:t>
            </w:r>
          </w:p>
        </w:tc>
      </w:tr>
      <w:tr>
        <w:tc>
          <w:tcPr>
            <w:tcW w:type="dxa" w:w="2409"/>
          </w:tcPr>
          <w:p>
            <w:r>
              <w:rPr>
                <w:rFonts w:ascii="Times New Roman" w:hAnsi="Times New Roman" w:cs="Times New Roman" w:eastAsia="Times New Roman"/>
                <w:sz w:val="18"/>
              </w:rPr>
              <w:t>GWO (2014)</w:t>
            </w:r>
          </w:p>
        </w:tc>
        <w:tc>
          <w:tcPr>
            <w:tcW w:type="dxa" w:w="2409"/>
          </w:tcPr>
          <w:p>
            <w:r>
              <w:rPr>
                <w:rFonts w:ascii="Times New Roman" w:hAnsi="Times New Roman" w:cs="Times New Roman" w:eastAsia="Times New Roman"/>
                <w:sz w:val="18"/>
              </w:rPr>
              <w:t>6.67</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2.33</w:t>
            </w:r>
          </w:p>
        </w:tc>
      </w:tr>
    </w:tbl>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Fig. 3 below visualizes the held-out ranking (Table 2, Held-out generalization above) as a critical-difference diagram, the paper's primary ranking evidence, distinct from the in-sample rank in Table 3 just above.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765262"/>
            <wp:docPr id="3" name="Picture 3"/>
            <wp:cNvGraphicFramePr>
              <a:graphicFrameLocks noChangeAspect="1"/>
            </wp:cNvGraphicFramePr>
            <a:graphic>
              <a:graphicData uri="http://schemas.openxmlformats.org/drawingml/2006/picture">
                <pic:pic>
                  <pic:nvPicPr>
                    <pic:cNvPr id="0" name="cd_diagram_heldout.png"/>
                    <pic:cNvPicPr/>
                  </pic:nvPicPr>
                  <pic:blipFill>
                    <a:blip r:embed="rId11"/>
                    <a:stretch>
                      <a:fillRect/>
                    </a:stretch>
                  </pic:blipFill>
                  <pic:spPr>
                    <a:xfrm>
                      <a:off x="0" y="0"/>
                      <a:ext cx="4846320" cy="1765262"/>
                    </a:xfrm>
                    <a:prstGeom prst="rect"/>
                  </pic:spPr>
                </pic:pic>
              </a:graphicData>
            </a:graphic>
          </wp:inline>
        </w:drawing>
      </w:r>
    </w:p>
    <w:p>
      <w:pPr>
        <w:jc w:val="center"/>
      </w:pPr>
      <w:r>
        <w:rPr>
          <w:rFonts w:ascii="Times New Roman" w:hAnsi="Times New Roman" w:cs="Times New Roman" w:eastAsia="Times New Roman"/>
          <w:sz w:val="17"/>
        </w:rPr>
        <w:t xml:space="preserve">Fig. 3. Critical-difference (Nemenyi) diagram at </w:t>
      </w:r>
      <m:oMath>
        <m:r>
          <w:rPr>
            <w:sz w:val="22"/>
            <w:szCs w:val="22"/>
          </w:rPr>
          <m:t xml:space="preserve">α=0.05</m:t>
        </m:r>
      </m:oMath>
      <w:r>
        <w:rPr>
          <w:rFonts w:ascii="Times New Roman" w:hAnsi="Times New Roman" w:cs="Times New Roman" w:eastAsia="Times New Roman"/>
          <w:sz w:val="17"/>
        </w:rPr>
        <w:t xml:space="preserve"> over the held-out ranking (Table 2); algorithms not joined by a bar differ significantly in mean held-out rank.</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3.4 Ablation and mechanism</w:t>
      </w:r>
    </w:p>
    <w:p>
      <w:pPr>
        <w:spacing w:line="360" w:lineRule="auto" w:after="200"/>
        <w:jc w:val="both"/>
      </w:pPr>
      <w:r>
        <w:rPr>
          <w:rFonts w:ascii="Times New Roman" w:hAnsi="Times New Roman" w:cs="Times New Roman" w:eastAsia="Times New Roman"/>
          <w:i w:val="0"/>
          <w:sz w:val="22"/>
        </w:rP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872"/>
        <w:gridCol w:w="1552"/>
        <w:gridCol w:w="1552"/>
        <w:gridCol w:w="1552"/>
        <w:gridCol w:w="1552"/>
        <w:gridCol w:w="1552"/>
      </w:tblGrid>
      <w:tr>
        <w:trPr>
          <w:tblHeader w:val="true"/>
        </w:trPr>
        <w:tc>
          <w:tcPr>
            <w:tcW w:type="dxa" w:w="1872"/>
            <w:tcBorders>
              <w:bottom w:val="single" w:sz="6" w:space="0" w:color="000000"/>
            </w:tcBorders>
          </w:tcPr>
          <w:p>
            <w:r>
              <w:rPr>
                <w:rFonts w:ascii="Times New Roman" w:hAnsi="Times New Roman" w:cs="Times New Roman" w:eastAsia="Times New Roman"/>
                <w:b/>
                <w:sz w:val="16"/>
              </w:rPr>
              <w:t>Configuration</w:t>
            </w:r>
          </w:p>
        </w:tc>
        <w:tc>
          <w:tcPr>
            <w:tcW w:type="dxa" w:w="1606"/>
            <w:tcBorders>
              <w:bottom w:val="single" w:sz="6" w:space="0" w:color="000000"/>
            </w:tcBorders>
          </w:tcPr>
          <w:p>
            <w:r>
              <w:rPr>
                <w:rFonts w:ascii="Times New Roman" w:hAnsi="Times New Roman" w:cs="Times New Roman" w:eastAsia="Times New Roman"/>
                <w:b/>
                <w:sz w:val="16"/>
              </w:rPr>
              <w:t>ColonCancer</w:t>
            </w:r>
          </w:p>
        </w:tc>
        <w:tc>
          <w:tcPr>
            <w:tcW w:type="dxa" w:w="1606"/>
            <w:tcBorders>
              <w:bottom w:val="single" w:sz="6" w:space="0" w:color="000000"/>
            </w:tcBorders>
          </w:tcPr>
          <w:p>
            <w:r>
              <w:rPr>
                <w:rFonts w:ascii="Times New Roman" w:hAnsi="Times New Roman" w:cs="Times New Roman" w:eastAsia="Times New Roman"/>
                <w:b/>
                <w:sz w:val="16"/>
              </w:rPr>
              <w:t>Leukemia</w:t>
            </w:r>
          </w:p>
        </w:tc>
        <w:tc>
          <w:tcPr>
            <w:tcW w:type="dxa" w:w="1606"/>
            <w:tcBorders>
              <w:bottom w:val="single" w:sz="6" w:space="0" w:color="000000"/>
            </w:tcBorders>
          </w:tcPr>
          <w:p>
            <w:r>
              <w:rPr>
                <w:rFonts w:ascii="Times New Roman" w:hAnsi="Times New Roman" w:cs="Times New Roman" w:eastAsia="Times New Roman"/>
                <w:b/>
                <w:sz w:val="16"/>
              </w:rPr>
              <w:t>Sonar</w:t>
            </w:r>
          </w:p>
        </w:tc>
        <w:tc>
          <w:tcPr>
            <w:tcW w:type="dxa" w:w="1606"/>
            <w:tcBorders>
              <w:bottom w:val="single" w:sz="6" w:space="0" w:color="000000"/>
            </w:tcBorders>
          </w:tcPr>
          <w:p>
            <w:r>
              <w:rPr>
                <w:rFonts w:ascii="Times New Roman" w:hAnsi="Times New Roman" w:cs="Times New Roman" w:eastAsia="Times New Roman"/>
                <w:b/>
                <w:sz w:val="16"/>
              </w:rPr>
              <w:t>WDBC</w:t>
            </w:r>
          </w:p>
        </w:tc>
        <w:tc>
          <w:tcPr>
            <w:tcW w:type="dxa" w:w="1606"/>
            <w:tcBorders>
              <w:bottom w:val="single" w:sz="6" w:space="0" w:color="000000"/>
            </w:tcBorders>
          </w:tcPr>
          <w:p>
            <w:r>
              <w:rPr>
                <w:rFonts w:ascii="Times New Roman" w:hAnsi="Times New Roman" w:cs="Times New Roman" w:eastAsia="Times New Roman"/>
                <w:b/>
                <w:sz w:val="16"/>
              </w:rPr>
              <w:t>Zoo</w:t>
            </w:r>
          </w:p>
        </w:tc>
      </w:tr>
      <w:tr>
        <w:tc>
          <w:tcPr>
            <w:tcW w:type="dxa" w:w="1872"/>
          </w:tcPr>
          <w:p>
            <w:r>
              <w:rPr>
                <w:rFonts w:ascii="Times New Roman" w:hAnsi="Times New Roman" w:cs="Times New Roman" w:eastAsia="Times New Roman"/>
                <w:sz w:val="16"/>
              </w:rPr>
              <w:t>Full (RMS+ORL+UMR)</w:t>
            </w:r>
          </w:p>
        </w:tc>
        <w:tc>
          <w:tcPr>
            <w:tcW w:type="dxa" w:w="1606"/>
          </w:tcPr>
          <w:p>
            <w:r>
              <w:rPr>
                <w:rFonts w:ascii="Times New Roman" w:hAnsi="Times New Roman" w:cs="Times New Roman" w:eastAsia="Times New Roman"/>
                <w:sz w:val="16"/>
              </w:rPr>
              <w:t>0.8831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0.8996</w:t>
            </w:r>
          </w:p>
        </w:tc>
        <w:tc>
          <w:tcPr>
            <w:tcW w:type="dxa" w:w="1606"/>
          </w:tcPr>
          <w:p>
            <w:r>
              <w:rPr>
                <w:rFonts w:ascii="Times New Roman" w:hAnsi="Times New Roman" w:cs="Times New Roman" w:eastAsia="Times New Roman"/>
                <w:sz w:val="16"/>
              </w:rPr>
              <w:t>0.9793</w:t>
            </w:r>
          </w:p>
        </w:tc>
        <w:tc>
          <w:tcPr>
            <w:tcW w:type="dxa" w:w="1606"/>
          </w:tcPr>
          <w:p>
            <w:r>
              <w:rPr>
                <w:rFonts w:ascii="Times New Roman" w:hAnsi="Times New Roman" w:cs="Times New Roman" w:eastAsia="Times New Roman"/>
                <w:sz w:val="16"/>
              </w:rPr>
              <w:t>0.9801</w:t>
            </w:r>
          </w:p>
        </w:tc>
      </w:tr>
      <w:tr>
        <w:tc>
          <w:tcPr>
            <w:tcW w:type="dxa" w:w="1872"/>
          </w:tcPr>
          <w:p>
            <w:r>
              <w:rPr>
                <w:rFonts w:ascii="Times New Roman" w:hAnsi="Times New Roman" w:cs="Times New Roman" w:eastAsia="Times New Roman"/>
                <w:sz w:val="16"/>
              </w:rPr>
              <w:t>− RMS</w:t>
            </w:r>
          </w:p>
        </w:tc>
        <w:tc>
          <w:tcPr>
            <w:tcW w:type="dxa" w:w="1606"/>
          </w:tcPr>
          <w:p>
            <w:r>
              <w:rPr>
                <w:rFonts w:ascii="Times New Roman" w:hAnsi="Times New Roman" w:cs="Times New Roman" w:eastAsia="Times New Roman"/>
                <w:sz w:val="16"/>
              </w:rPr>
              <w:t>0.8409†</w:t>
            </w:r>
          </w:p>
        </w:tc>
        <w:tc>
          <w:tcPr>
            <w:tcW w:type="dxa" w:w="1606"/>
          </w:tcPr>
          <w:p>
            <w:r>
              <w:rPr>
                <w:rFonts w:ascii="Times New Roman" w:hAnsi="Times New Roman" w:cs="Times New Roman" w:eastAsia="Times New Roman"/>
                <w:sz w:val="16"/>
              </w:rPr>
              <w:t>0.9856</w:t>
            </w:r>
          </w:p>
        </w:tc>
        <w:tc>
          <w:tcPr>
            <w:tcW w:type="dxa" w:w="1606"/>
          </w:tcPr>
          <w:p>
            <w:r>
              <w:rPr>
                <w:rFonts w:ascii="Times New Roman" w:hAnsi="Times New Roman" w:cs="Times New Roman" w:eastAsia="Times New Roman"/>
                <w:sz w:val="16"/>
              </w:rPr>
              <w:t>0.8970</w:t>
            </w:r>
          </w:p>
        </w:tc>
        <w:tc>
          <w:tcPr>
            <w:tcW w:type="dxa" w:w="1606"/>
          </w:tcPr>
          <w:p>
            <w:r>
              <w:rPr>
                <w:rFonts w:ascii="Times New Roman" w:hAnsi="Times New Roman" w:cs="Times New Roman" w:eastAsia="Times New Roman"/>
                <w:sz w:val="16"/>
              </w:rPr>
              <w:t>0.9795</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ORL  (final method)</w:t>
            </w:r>
          </w:p>
        </w:tc>
        <w:tc>
          <w:tcPr>
            <w:tcW w:type="dxa" w:w="1606"/>
          </w:tcPr>
          <w:p>
            <w:r>
              <w:rPr>
                <w:rFonts w:ascii="Times New Roman" w:hAnsi="Times New Roman" w:cs="Times New Roman" w:eastAsia="Times New Roman"/>
                <w:sz w:val="16"/>
              </w:rPr>
              <w:t>0.8809</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0.8940</w:t>
            </w:r>
          </w:p>
        </w:tc>
        <w:tc>
          <w:tcPr>
            <w:tcW w:type="dxa" w:w="1606"/>
          </w:tcPr>
          <w:p>
            <w:r>
              <w:rPr>
                <w:rFonts w:ascii="Times New Roman" w:hAnsi="Times New Roman" w:cs="Times New Roman" w:eastAsia="Times New Roman"/>
                <w:sz w:val="16"/>
              </w:rPr>
              <w:t>0.9794</w:t>
            </w:r>
          </w:p>
        </w:tc>
        <w:tc>
          <w:tcPr>
            <w:tcW w:type="dxa" w:w="1606"/>
          </w:tcPr>
          <w:p>
            <w:r>
              <w:rPr>
                <w:rFonts w:ascii="Times New Roman" w:hAnsi="Times New Roman" w:cs="Times New Roman" w:eastAsia="Times New Roman"/>
                <w:sz w:val="16"/>
              </w:rPr>
              <w:t>0.9808</w:t>
            </w:r>
          </w:p>
        </w:tc>
      </w:tr>
      <w:tr>
        <w:tc>
          <w:tcPr>
            <w:tcW w:type="dxa" w:w="1872"/>
          </w:tcPr>
          <w:p>
            <w:r>
              <w:rPr>
                <w:rFonts w:ascii="Times New Roman" w:hAnsi="Times New Roman" w:cs="Times New Roman" w:eastAsia="Times New Roman"/>
                <w:sz w:val="16"/>
              </w:rPr>
              <w:t>− UMR</w:t>
            </w:r>
          </w:p>
        </w:tc>
        <w:tc>
          <w:tcPr>
            <w:tcW w:type="dxa" w:w="1606"/>
          </w:tcPr>
          <w:p>
            <w:r>
              <w:rPr>
                <w:rFonts w:ascii="Times New Roman" w:hAnsi="Times New Roman" w:cs="Times New Roman" w:eastAsia="Times New Roman"/>
                <w:sz w:val="16"/>
              </w:rPr>
              <w:t>0.8815</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0.8880†</w:t>
            </w:r>
          </w:p>
        </w:tc>
        <w:tc>
          <w:tcPr>
            <w:tcW w:type="dxa" w:w="1606"/>
          </w:tcPr>
          <w:p>
            <w:r>
              <w:rPr>
                <w:rFonts w:ascii="Times New Roman" w:hAnsi="Times New Roman" w:cs="Times New Roman" w:eastAsia="Times New Roman"/>
                <w:sz w:val="16"/>
              </w:rPr>
              <w:t>0.9789</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all three</w:t>
            </w:r>
          </w:p>
        </w:tc>
        <w:tc>
          <w:tcPr>
            <w:tcW w:type="dxa" w:w="1606"/>
          </w:tcPr>
          <w:p>
            <w:r>
              <w:rPr>
                <w:rFonts w:ascii="Times New Roman" w:hAnsi="Times New Roman" w:cs="Times New Roman" w:eastAsia="Times New Roman"/>
                <w:sz w:val="16"/>
              </w:rPr>
              <w:t>0.8441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0.8857</w:t>
            </w:r>
          </w:p>
        </w:tc>
        <w:tc>
          <w:tcPr>
            <w:tcW w:type="dxa" w:w="1606"/>
          </w:tcPr>
          <w:p>
            <w:r>
              <w:rPr>
                <w:rFonts w:ascii="Times New Roman" w:hAnsi="Times New Roman" w:cs="Times New Roman" w:eastAsia="Times New Roman"/>
                <w:sz w:val="16"/>
              </w:rPr>
              <w:t>0.9781</w:t>
            </w:r>
          </w:p>
        </w:tc>
        <w:tc>
          <w:tcPr>
            <w:tcW w:type="dxa" w:w="1606"/>
          </w:tcPr>
          <w:p>
            <w:r>
              <w:rPr>
                <w:rFonts w:ascii="Times New Roman" w:hAnsi="Times New Roman" w:cs="Times New Roman" w:eastAsia="Times New Roman"/>
                <w:sz w:val="16"/>
              </w:rPr>
              <w:t>0.9808</w:t>
            </w:r>
          </w:p>
        </w:tc>
      </w:tr>
    </w:tbl>
    <w:p>
      <w:pPr>
        <w:jc w:val="left"/>
      </w:pPr>
      <w:r>
        <w:rPr>
          <w:rFonts w:ascii="Times New Roman" w:hAnsi="Times New Roman" w:cs="Times New Roman" w:eastAsia="Times New Roman"/>
          <w:sz w:val="18"/>
        </w:rPr>
        <w:t>Table 4 Component ablation: mean accuracy over 30 runs on five datasets. † = significantly worse than Full (paired Wilcoxon signed-rank, Holm-corrected p &lt; 0.05). ‘− ORL’ is the final RG-SCSO (RMS+UMR); ORL removal never degrades accuracy, so ORL is not retained. The signal-position experiment (alternative relevance-injection points) is reported separately in the Supplementary Information.</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On ColonCancer specifically, the −UMR row (0.8815) is marginally higher than the deployed Final configuration (RMS+UMR, the −ORL row, 0.8809), a 0.0006-point gap that is not statistically significant (no † marker, Holm p=1.000). The final configuration is selected globally under the predefined ablation protocol rather than by picking the best-performing row per dataset: ORL is dropped because it is not load-bearing across the ablation as a whole (degrades accuracy on 0/5 datasets), not because RMS+UMR is uniformly optimal on every individual dataset.</w:t>
      </w:r>
    </w:p>
    <w:p>
      <w:pPr>
        <w:spacing w:line="360" w:lineRule="auto" w:after="200"/>
        <w:jc w:val="both"/>
      </w:pPr>
      <w:r>
        <w:rPr>
          <w:rFonts w:ascii="Times New Roman" w:hAnsi="Times New Roman" w:cs="Times New Roman" w:eastAsia="Times New Roman"/>
          <w:i w:val="0"/>
          <w:sz w:val="22"/>
        </w:rPr>
        <w:t>RQ3 asks whether direct relevance injection at the binarization interface is more effective than relevance-guided initialization or objective weighting. A dedicated signal-position experiment answers it: injecting the same mutual-information field elsewhere, at initialization or as an objective penalty, rather than at the binarization interface; both alternatives are reported in full in the Supplementary Information.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 Figure 4 traces this ladder: the mean accuracy is essentially flat for relevance at initialization (V1) or in the objective (V2) and rises only once the relevance field enters the binarization decision itself (V3), while parsimony is already gained upstream.</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203675"/>
            <wp:docPr id="4" name="Picture 4"/>
            <wp:cNvGraphicFramePr>
              <a:graphicFrameLocks noChangeAspect="1"/>
            </wp:cNvGraphicFramePr>
            <a:graphic>
              <a:graphicData uri="http://schemas.openxmlformats.org/drawingml/2006/picture">
                <pic:pic>
                  <pic:nvPicPr>
                    <pic:cNvPr id="0" name="injection_ladder.png"/>
                    <pic:cNvPicPr/>
                  </pic:nvPicPr>
                  <pic:blipFill>
                    <a:blip r:embed="rId12"/>
                    <a:stretch>
                      <a:fillRect/>
                    </a:stretch>
                  </pic:blipFill>
                  <pic:spPr>
                    <a:xfrm>
                      <a:off x="0" y="0"/>
                      <a:ext cx="4846320" cy="2203675"/>
                    </a:xfrm>
                    <a:prstGeom prst="rect"/>
                  </pic:spPr>
                </pic:pic>
              </a:graphicData>
            </a:graphic>
          </wp:inline>
        </w:drawing>
      </w:r>
    </w:p>
    <w:p>
      <w:pPr>
        <w:jc w:val="center"/>
      </w:pPr>
      <w:r>
        <w:rPr>
          <w:rFonts w:ascii="Times New Roman" w:hAnsi="Times New Roman" w:cs="Times New Roman" w:eastAsia="Times New Roman"/>
          <w:sz w:val="17"/>
        </w:rPr>
        <w:t>Fig. 4. Controlled injection-point ablation of the relevance signal, from V0 (base SCSO, relevance absent) through V1 (relevance at initialization), V2 (relevance in the objective), V3 (relevance at the binarization decision, RMS) to V4 (full RG-SCSO, RMS+UMR), on five datasets spanning p &gt;&gt; n gene-expression to low-dimensional data, 30 runs per cell. (a) Mean accuracy: thin lines are per-dataset means, the bold line the across-dataset mean. Accuracy is flat for V1 and V2 and rises only at V3, locating the accuracy effect at the binarization interface rather than upstream; the V4 UMR step adds little further accuracy, its benefit being in stability (Fig. 9). (b) Selected-feature fraction: parsimony is already gained at V1/V3, so the two effects arise at different injection points. The pattern is not uniform: on the most extreme p &gt;&gt; n set, initialization (V1) is competitive on both axes.</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171843"/>
            <wp:docPr id="5" name="Picture 5"/>
            <wp:cNvGraphicFramePr>
              <a:graphicFrameLocks noChangeAspect="1"/>
            </wp:cNvGraphicFramePr>
            <a:graphic>
              <a:graphicData uri="http://schemas.openxmlformats.org/drawingml/2006/picture">
                <pic:pic>
                  <pic:nvPicPr>
                    <pic:cNvPr id="0" name="convergence_fs.png"/>
                    <pic:cNvPicPr/>
                  </pic:nvPicPr>
                  <pic:blipFill>
                    <a:blip r:embed="rId13"/>
                    <a:stretch>
                      <a:fillRect/>
                    </a:stretch>
                  </pic:blipFill>
                  <pic:spPr>
                    <a:xfrm>
                      <a:off x="0" y="0"/>
                      <a:ext cx="4846320" cy="2171843"/>
                    </a:xfrm>
                    <a:prstGeom prst="rect"/>
                  </pic:spPr>
                </pic:pic>
              </a:graphicData>
            </a:graphic>
          </wp:inline>
        </w:drawing>
      </w:r>
    </w:p>
    <w:p>
      <w:pPr>
        <w:jc w:val="center"/>
      </w:pPr>
      <w:r>
        <w:rPr>
          <w:rFonts w:ascii="Times New Roman" w:hAnsi="Times New Roman" w:cs="Times New Roman" w:eastAsia="Times New Roman"/>
          <w:sz w:val="17"/>
        </w:rPr>
        <w:t>Fig. 5. Mean best fitness versus NFE, the number of fitness evaluations, RG-SCSO vs. SCSO vs. AOA, on Zoo (16 features), WDBC (30 features), and ColonCancer (2000 features), mean over 5 runs on the feature-selection objective. NFE is the shared, fixed-budget resource; raw iteration count would not be comparable, since RG-SCSO's memetic step spends more NFE per iteration than SCSO or AOA. The curves are illustrative rather than a new statistical claim. On Zoo the three algorithms plateau within a narrow final band, mean fitness 0.022–0.024 at NFE=15000, with no meaningful separation. On WDBC and ColonCancer, RG-SCSO plateaus earlier, by roughly NFE=5000, at a lower (better) fitness than SCSO or AOA, which continue to decrease slowly and still finish higher. The gap between RG-SCSO and the baselines grows sharply with dimensionality: final mean fitness differs by about 0.0006–0.001 on WDBC's 30 features versus about 0.04 on ColonCancer's 2000 features.</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We also test whether relevance guidance makes RG-SCSO preferentially retain high mutual-information features. Because a subset of size |S| overlaps the top-|S| mutual-information features at a chance rate of |S|/N, we report a size-fair enrichment (Fig. 6), the fraction of selected features in the top-|S| set divided by this chance level. RG-SCSO's subset is enriched above chance on both gene-expression sets, whereas the relevance-agnostic SCSO sits at chance, evidence consistent with the relevance field driving the smaller and more accurate subsets,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relevance field's direction and scale therefore matter consistently; the exact per-feature ranking within it matters demonstrably on only one of five datasets, a materially weaker causal claim than the enrichment analysis alone would suggest.</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291840" cy="1937105"/>
            <wp:docPr id="6" name="Picture 6"/>
            <wp:cNvGraphicFramePr>
              <a:graphicFrameLocks noChangeAspect="1"/>
            </wp:cNvGraphicFramePr>
            <a:graphic>
              <a:graphicData uri="http://schemas.openxmlformats.org/drawingml/2006/picture">
                <pic:pic>
                  <pic:nvPicPr>
                    <pic:cNvPr id="0" name="mechanism.png"/>
                    <pic:cNvPicPr/>
                  </pic:nvPicPr>
                  <pic:blipFill>
                    <a:blip r:embed="rId14"/>
                    <a:stretch>
                      <a:fillRect/>
                    </a:stretch>
                  </pic:blipFill>
                  <pic:spPr>
                    <a:xfrm>
                      <a:off x="0" y="0"/>
                      <a:ext cx="3291840" cy="1937105"/>
                    </a:xfrm>
                    <a:prstGeom prst="rect"/>
                  </pic:spPr>
                </pic:pic>
              </a:graphicData>
            </a:graphic>
          </wp:inline>
        </w:drawing>
      </w:r>
    </w:p>
    <w:p>
      <w:pPr>
        <w:jc w:val="center"/>
      </w:pPr>
      <w:r>
        <w:rPr>
          <w:rFonts w:ascii="Times New Roman" w:hAnsi="Times New Roman" w:cs="Times New Roman" w:eastAsia="Times New Roman"/>
          <w:sz w:val="17"/>
        </w:rPr>
        <w:t>Fig. 6. Mechanism evidence: size-fair top-MI enrichment on the two gene-expression sets (selection precision divided by the chance level |S|/N; mean over 30 runs, error bars = std). RG-SCSO enriches its subset 1.22-1.26x above chance (ColonCancer, Leukemia respectively), whereas the relevance-agnostic SCSO sits at essentially chance (lift 1.00 on both), evidence that the relevance field, not the base search, drives the smaller and more accurate subsets. Feature-selection stability is reported separately, with its size correction, in Fig. 9.</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Figure 7 shows directly how relevance guidance translates into selection behaviour: RG-SCSO's per-feature selection frequency tracks the mutual-information relevance prior more closely than base SCSO, which does not use it, markedly so on the higher-dimensional sets and essentially tied on low-dimensional Zoo. This alignment is correlational, so the causal weight rests on the shuffled-prior control above, not on the alignment alone.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062498"/>
            <wp:docPr id="7" name="Picture 7"/>
            <wp:cNvGraphicFramePr>
              <a:graphicFrameLocks noChangeAspect="1"/>
            </wp:cNvGraphicFramePr>
            <a:graphic>
              <a:graphicData uri="http://schemas.openxmlformats.org/drawingml/2006/picture">
                <pic:pic>
                  <pic:nvPicPr>
                    <pic:cNvPr id="0" name="relevance_vs_frequency.png"/>
                    <pic:cNvPicPr/>
                  </pic:nvPicPr>
                  <pic:blipFill>
                    <a:blip r:embed="rId15"/>
                    <a:stretch>
                      <a:fillRect/>
                    </a:stretch>
                  </pic:blipFill>
                  <pic:spPr>
                    <a:xfrm>
                      <a:off x="0" y="0"/>
                      <a:ext cx="4846320" cy="2062498"/>
                    </a:xfrm>
                    <a:prstGeom prst="rect"/>
                  </pic:spPr>
                </pic:pic>
              </a:graphicData>
            </a:graphic>
          </wp:inline>
        </w:drawing>
      </w:r>
    </w:p>
    <w:p>
      <w:pPr>
        <w:jc w:val="center"/>
      </w:pPr>
      <w:r>
        <w:rPr>
          <w:rFonts w:ascii="Times New Roman" w:hAnsi="Times New Roman" w:cs="Times New Roman" w:eastAsia="Times New Roman"/>
          <w:sz w:val="17"/>
        </w:rPr>
        <w:t>Fig. 7. How relevance guidance translates into selection behaviour. (a) For WDBC, per-feature mutual-information relevance (computed on the full sample for visualization only; the optimizer uses a train-only prior) versus the fraction of 30 runs in which each feature is selected. RG-SCSO's selection frequency tracks relevance more closely than base SCSO (Spearman rho = 0.60 vs. 0.37). (b) The same rank correlation across all five datasets: RG-SCSO is at least as relevance-aligned as SCSO on every set and markedly more so on the higher-dimensional ones (ColonCancer, Leukemia, WDBC), and essentially tied on low-dimensional Zoo. The association is correlational; the causal evidence is the shuffled-prior control (Supplementary Information).</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3.5 Threshold sensitivity</w:t>
      </w:r>
    </w:p>
    <w:p>
      <w:pPr>
        <w:spacing w:line="360" w:lineRule="auto" w:after="200"/>
        <w:jc w:val="both"/>
      </w:pPr>
      <w:r>
        <w:rPr>
          <w:rFonts w:ascii="Times New Roman" w:hAnsi="Times New Roman" w:cs="Times New Roman" w:eastAsia="Times New Roman"/>
          <w:i w:val="0"/>
          <w:sz w:val="22"/>
        </w:rPr>
        <w:t>The 0.5 preferred-bit threshold that separates preferred from disfavored bits (Methods) is a convenience, not a theoretically grounded neutral point. This sweep (</w:t>
      </w:r>
      <m:oMath>
        <m:r>
          <w:rPr>
            <w:sz w:val="22"/>
            <w:szCs w:val="22"/>
          </w:rPr>
          <m:t xml:space="preserve">τ</m:t>
        </m:r>
      </m:oMath>
      <w:r>
        <w:rPr>
          <w:rFonts w:ascii="Times New Roman" w:hAnsi="Times New Roman" w:cs="Times New Roman" w:eastAsia="Times New Roman"/>
          <w:i w:val="0"/>
          <w:sz w:val="22"/>
        </w:rPr>
        <w:t xml:space="preserve"> in {0.4, 0.5, 0.6}, 30 independent runs per cell, same protocol and datasets as the main ablation) tests whether that choice is at least empirically reasonable. No single </w:t>
      </w:r>
      <m:oMath>
        <m:r>
          <w:rPr>
            <w:sz w:val="22"/>
            <w:szCs w:val="22"/>
          </w:rPr>
          <m:t xml:space="preserve">τ</m:t>
        </m:r>
      </m:oMath>
      <w:r>
        <w:rPr>
          <w:rFonts w:ascii="Times New Roman" w:hAnsi="Times New Roman" w:cs="Times New Roman" w:eastAsia="Times New Roman"/>
          <w:i w:val="0"/>
          <w:sz w:val="22"/>
        </w:rPr>
        <w:t xml:space="preserve"> dominates uniformly: </w:t>
      </w:r>
      <m:oMath>
        <m:r>
          <w:rPr>
            <w:sz w:val="22"/>
            <w:szCs w:val="22"/>
          </w:rPr>
          <m:t xml:space="preserve">τ=0.5</m:t>
        </m:r>
      </m:oMath>
      <w:r>
        <w:rPr>
          <w:rFonts w:ascii="Times New Roman" w:hAnsi="Times New Roman" w:cs="Times New Roman" w:eastAsia="Times New Roman"/>
          <w:i w:val="0"/>
          <w:sz w:val="22"/>
        </w:rPr>
        <w:t xml:space="preserve">, the value deployed throughout this paper, attains the highest accuracy on two of five datasets; mean selected-feature count falls monotonically as </w:t>
      </w:r>
      <m:oMath>
        <m:r>
          <w:rPr>
            <w:sz w:val="22"/>
            <w:szCs w:val="22"/>
          </w:rPr>
          <m:t xml:space="preserve">τ</m:t>
        </m:r>
      </m:oMath>
      <w:r>
        <w:rPr>
          <w:rFonts w:ascii="Times New Roman" w:hAnsi="Times New Roman" w:cs="Times New Roman" w:eastAsia="Times New Roman"/>
          <w:i w:val="0"/>
          <w:sz w:val="22"/>
        </w:rPr>
        <w:t xml:space="preserve"> increases on every dataset, at a modest, dataset-dependent, non-uniform accuracy cost.</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28"/>
        <w:gridCol w:w="1928"/>
        <w:gridCol w:w="1928"/>
        <w:gridCol w:w="1928"/>
        <w:gridCol w:w="1928"/>
      </w:tblGrid>
      <w:tr>
        <w:trPr>
          <w:tblHeader w:val="true"/>
        </w:trPr>
        <w:tc>
          <w:tcPr>
            <w:tcW w:type="dxa" w:w="1928"/>
            <w:tcBorders>
              <w:bottom w:val="single" w:sz="6" w:space="0" w:color="000000"/>
            </w:tcBorders>
          </w:tcPr>
          <w:p>
            <w:r>
              <w:rPr>
                <w:rFonts w:ascii="Times New Roman" w:hAnsi="Times New Roman" w:cs="Times New Roman" w:eastAsia="Times New Roman"/>
                <w:b/>
                <w:sz w:val="16"/>
              </w:rPr>
              <w:t>Dataset</w:t>
            </w:r>
          </w:p>
        </w:tc>
        <w:tc>
          <w:tcPr>
            <w:tcW w:type="dxa" w:w="1928"/>
            <w:tcBorders>
              <w:bottom w:val="single" w:sz="6" w:space="0" w:color="000000"/>
            </w:tcBorders>
          </w:tcPr>
          <w:p>
            <m:oMath>
              <m:r>
                <w:rPr>
                  <w:sz w:val="22"/>
                  <w:szCs w:val="22"/>
                </w:rPr>
                <m:t xml:space="preserve">τ</m:t>
              </m:r>
            </m:oMath>
          </w:p>
        </w:tc>
        <w:tc>
          <w:tcPr>
            <w:tcW w:type="dxa" w:w="1928"/>
            <w:tcBorders>
              <w:bottom w:val="single" w:sz="6" w:space="0" w:color="000000"/>
            </w:tcBorders>
          </w:tcPr>
          <w:p>
            <w:r>
              <w:rPr>
                <w:rFonts w:ascii="Times New Roman" w:hAnsi="Times New Roman" w:cs="Times New Roman" w:eastAsia="Times New Roman"/>
                <w:b/>
                <w:sz w:val="16"/>
              </w:rPr>
              <w:t>Mean Acc.</w:t>
            </w:r>
          </w:p>
        </w:tc>
        <w:tc>
          <w:tcPr>
            <w:tcW w:type="dxa" w:w="1928"/>
            <w:tcBorders>
              <w:bottom w:val="single" w:sz="6" w:space="0" w:color="000000"/>
            </w:tcBorders>
          </w:tcPr>
          <w:p>
            <w:r>
              <w:rPr>
                <w:rFonts w:ascii="Times New Roman" w:hAnsi="Times New Roman" w:cs="Times New Roman" w:eastAsia="Times New Roman"/>
                <w:b/>
                <w:sz w:val="16"/>
              </w:rPr>
              <w:t>Mean #Feat.</w:t>
            </w:r>
          </w:p>
        </w:tc>
        <w:tc>
          <w:tcPr>
            <w:tcW w:type="dxa" w:w="1928"/>
            <w:tcBorders>
              <w:bottom w:val="single" w:sz="6" w:space="0" w:color="000000"/>
            </w:tcBorders>
          </w:tcPr>
          <w:p>
            <w:r>
              <w:rPr>
                <w:rFonts w:ascii="Times New Roman" w:hAnsi="Times New Roman" w:cs="Times New Roman" w:eastAsia="Times New Roman"/>
                <w:b/>
                <w:sz w:val="16"/>
              </w:rPr>
              <w:t>Phi</w:t>
            </w:r>
          </w:p>
        </w:tc>
      </w:tr>
      <w:tr>
        <w:tc>
          <w:tcPr>
            <w:tcW w:type="dxa" w:w="1928"/>
          </w:tcPr>
          <w:p>
            <w:r>
              <w:rPr>
                <w:rFonts w:ascii="Times New Roman" w:hAnsi="Times New Roman" w:cs="Times New Roman" w:eastAsia="Times New Roman"/>
                <w:sz w:val="16"/>
              </w:rPr>
              <w:t>ColonCancer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0.8704</w:t>
            </w:r>
          </w:p>
        </w:tc>
        <w:tc>
          <w:tcPr>
            <w:tcW w:type="dxa" w:w="1928"/>
          </w:tcPr>
          <w:p>
            <w:r>
              <w:rPr>
                <w:rFonts w:ascii="Times New Roman" w:hAnsi="Times New Roman" w:cs="Times New Roman" w:eastAsia="Times New Roman"/>
                <w:sz w:val="16"/>
              </w:rPr>
              <w:t>702.5</w:t>
            </w:r>
          </w:p>
        </w:tc>
        <w:tc>
          <w:tcPr>
            <w:tcW w:type="dxa" w:w="1928"/>
          </w:tcPr>
          <w:p>
            <w:r>
              <w:rPr>
                <w:rFonts w:ascii="Times New Roman" w:hAnsi="Times New Roman" w:cs="Times New Roman" w:eastAsia="Times New Roman"/>
                <w:sz w:val="16"/>
              </w:rPr>
              <w:t>0.009</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0.8809</w:t>
            </w:r>
          </w:p>
        </w:tc>
        <w:tc>
          <w:tcPr>
            <w:tcW w:type="dxa" w:w="1928"/>
          </w:tcPr>
          <w:p>
            <w:r>
              <w:rPr>
                <w:rFonts w:ascii="Times New Roman" w:hAnsi="Times New Roman" w:cs="Times New Roman" w:eastAsia="Times New Roman"/>
                <w:sz w:val="16"/>
              </w:rPr>
              <w:t>563.1</w:t>
            </w:r>
          </w:p>
        </w:tc>
        <w:tc>
          <w:tcPr>
            <w:tcW w:type="dxa" w:w="1928"/>
          </w:tcPr>
          <w:p>
            <w:r>
              <w:rPr>
                <w:rFonts w:ascii="Times New Roman" w:hAnsi="Times New Roman" w:cs="Times New Roman" w:eastAsia="Times New Roman"/>
                <w:sz w:val="16"/>
              </w:rPr>
              <w:t>0.014</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0.8802</w:t>
            </w:r>
          </w:p>
        </w:tc>
        <w:tc>
          <w:tcPr>
            <w:tcW w:type="dxa" w:w="1928"/>
          </w:tcPr>
          <w:p>
            <w:r>
              <w:rPr>
                <w:rFonts w:ascii="Times New Roman" w:hAnsi="Times New Roman" w:cs="Times New Roman" w:eastAsia="Times New Roman"/>
                <w:sz w:val="16"/>
              </w:rPr>
              <w:t>544.5</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Leukemia</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1205.4</w:t>
            </w:r>
          </w:p>
        </w:tc>
        <w:tc>
          <w:tcPr>
            <w:tcW w:type="dxa" w:w="1928"/>
          </w:tcPr>
          <w:p>
            <w:r>
              <w:rPr>
                <w:rFonts w:ascii="Times New Roman" w:hAnsi="Times New Roman" w:cs="Times New Roman" w:eastAsia="Times New Roman"/>
                <w:sz w:val="16"/>
              </w:rPr>
              <w:t>0.011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939.7</w:t>
            </w:r>
          </w:p>
        </w:tc>
        <w:tc>
          <w:tcPr>
            <w:tcW w:type="dxa" w:w="1928"/>
          </w:tcPr>
          <w:p>
            <w:r>
              <w:rPr>
                <w:rFonts w:ascii="Times New Roman" w:hAnsi="Times New Roman" w:cs="Times New Roman" w:eastAsia="Times New Roman"/>
                <w:sz w:val="16"/>
              </w:rPr>
              <w:t>0.015</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b/>
                <w:sz w:val="16"/>
              </w:rPr>
              <w:t>0.9864</w:t>
            </w:r>
          </w:p>
        </w:tc>
        <w:tc>
          <w:tcPr>
            <w:tcW w:type="dxa" w:w="1928"/>
          </w:tcPr>
          <w:p>
            <w:r>
              <w:rPr>
                <w:rFonts w:ascii="Times New Roman" w:hAnsi="Times New Roman" w:cs="Times New Roman" w:eastAsia="Times New Roman"/>
                <w:sz w:val="16"/>
              </w:rPr>
              <w:t>927.6</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Sonar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0.8920</w:t>
            </w:r>
          </w:p>
        </w:tc>
        <w:tc>
          <w:tcPr>
            <w:tcW w:type="dxa" w:w="1928"/>
          </w:tcPr>
          <w:p>
            <w:r>
              <w:rPr>
                <w:rFonts w:ascii="Times New Roman" w:hAnsi="Times New Roman" w:cs="Times New Roman" w:eastAsia="Times New Roman"/>
                <w:sz w:val="16"/>
              </w:rPr>
              <w:t>20.4</w:t>
            </w:r>
          </w:p>
        </w:tc>
        <w:tc>
          <w:tcPr>
            <w:tcW w:type="dxa" w:w="1928"/>
          </w:tcPr>
          <w:p>
            <w:r>
              <w:rPr>
                <w:rFonts w:ascii="Times New Roman" w:hAnsi="Times New Roman" w:cs="Times New Roman" w:eastAsia="Times New Roman"/>
                <w:sz w:val="16"/>
              </w:rPr>
              <w:t>0.082</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0.8940</w:t>
            </w:r>
          </w:p>
        </w:tc>
        <w:tc>
          <w:tcPr>
            <w:tcW w:type="dxa" w:w="1928"/>
          </w:tcPr>
          <w:p>
            <w:r>
              <w:rPr>
                <w:rFonts w:ascii="Times New Roman" w:hAnsi="Times New Roman" w:cs="Times New Roman" w:eastAsia="Times New Roman"/>
                <w:sz w:val="16"/>
              </w:rPr>
              <w:t>19.1</w:t>
            </w:r>
          </w:p>
        </w:tc>
        <w:tc>
          <w:tcPr>
            <w:tcW w:type="dxa" w:w="1928"/>
          </w:tcPr>
          <w:p>
            <w:r>
              <w:rPr>
                <w:rFonts w:ascii="Times New Roman" w:hAnsi="Times New Roman" w:cs="Times New Roman" w:eastAsia="Times New Roman"/>
                <w:sz w:val="16"/>
              </w:rPr>
              <w:t>0.088</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0.8916</w:t>
            </w:r>
          </w:p>
        </w:tc>
        <w:tc>
          <w:tcPr>
            <w:tcW w:type="dxa" w:w="1928"/>
          </w:tcPr>
          <w:p>
            <w:r>
              <w:rPr>
                <w:rFonts w:ascii="Times New Roman" w:hAnsi="Times New Roman" w:cs="Times New Roman" w:eastAsia="Times New Roman"/>
                <w:sz w:val="16"/>
              </w:rPr>
              <w:t>17.1</w:t>
            </w:r>
          </w:p>
        </w:tc>
        <w:tc>
          <w:tcPr>
            <w:tcW w:type="dxa" w:w="1928"/>
          </w:tcPr>
          <w:p>
            <w:r>
              <w:rPr>
                <w:rFonts w:ascii="Times New Roman" w:hAnsi="Times New Roman" w:cs="Times New Roman" w:eastAsia="Times New Roman"/>
                <w:sz w:val="16"/>
              </w:rPr>
              <w:t>0.093</w:t>
            </w:r>
          </w:p>
        </w:tc>
      </w:tr>
      <w:tr>
        <w:tc>
          <w:tcPr>
            <w:tcW w:type="dxa" w:w="1928"/>
          </w:tcPr>
          <w:p>
            <w:r>
              <w:rPr>
                <w:rFonts w:ascii="Times New Roman" w:hAnsi="Times New Roman" w:cs="Times New Roman" w:eastAsia="Times New Roman"/>
                <w:sz w:val="16"/>
              </w:rPr>
              <w:t>WDBC</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0.9795</w:t>
            </w:r>
          </w:p>
        </w:tc>
        <w:tc>
          <w:tcPr>
            <w:tcW w:type="dxa" w:w="1928"/>
          </w:tcPr>
          <w:p>
            <w:r>
              <w:rPr>
                <w:rFonts w:ascii="Times New Roman" w:hAnsi="Times New Roman" w:cs="Times New Roman" w:eastAsia="Times New Roman"/>
                <w:sz w:val="16"/>
              </w:rPr>
              <w:t>13.2</w:t>
            </w:r>
          </w:p>
        </w:tc>
        <w:tc>
          <w:tcPr>
            <w:tcW w:type="dxa" w:w="1928"/>
          </w:tcPr>
          <w:p>
            <w:r>
              <w:rPr>
                <w:rFonts w:ascii="Times New Roman" w:hAnsi="Times New Roman" w:cs="Times New Roman" w:eastAsia="Times New Roman"/>
                <w:sz w:val="16"/>
              </w:rPr>
              <w:t>0.193</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11.8</w:t>
            </w:r>
          </w:p>
        </w:tc>
        <w:tc>
          <w:tcPr>
            <w:tcW w:type="dxa" w:w="1928"/>
          </w:tcPr>
          <w:p>
            <w:r>
              <w:rPr>
                <w:rFonts w:ascii="Times New Roman" w:hAnsi="Times New Roman" w:cs="Times New Roman" w:eastAsia="Times New Roman"/>
                <w:sz w:val="16"/>
              </w:rPr>
              <w:t>0.190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0.9791</w:t>
            </w:r>
          </w:p>
        </w:tc>
        <w:tc>
          <w:tcPr>
            <w:tcW w:type="dxa" w:w="1928"/>
          </w:tcPr>
          <w:p>
            <w:r>
              <w:rPr>
                <w:rFonts w:ascii="Times New Roman" w:hAnsi="Times New Roman" w:cs="Times New Roman" w:eastAsia="Times New Roman"/>
                <w:sz w:val="16"/>
              </w:rPr>
              <w:t>11.1</w:t>
            </w:r>
          </w:p>
        </w:tc>
        <w:tc>
          <w:tcPr>
            <w:tcW w:type="dxa" w:w="1928"/>
          </w:tcPr>
          <w:p>
            <w:r>
              <w:rPr>
                <w:rFonts w:ascii="Times New Roman" w:hAnsi="Times New Roman" w:cs="Times New Roman" w:eastAsia="Times New Roman"/>
                <w:sz w:val="16"/>
              </w:rPr>
              <w:t>0.163</w:t>
            </w:r>
          </w:p>
        </w:tc>
      </w:tr>
      <w:tr>
        <w:tc>
          <w:tcPr>
            <w:tcW w:type="dxa" w:w="1928"/>
          </w:tcPr>
          <w:p>
            <w:r>
              <w:rPr>
                <w:rFonts w:ascii="Times New Roman" w:hAnsi="Times New Roman" w:cs="Times New Roman" w:eastAsia="Times New Roman"/>
                <w:sz w:val="16"/>
              </w:rPr>
              <w:t>Zoo</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0.9811</w:t>
            </w:r>
          </w:p>
        </w:tc>
        <w:tc>
          <w:tcPr>
            <w:tcW w:type="dxa" w:w="1928"/>
          </w:tcPr>
          <w:p>
            <w:r>
              <w:rPr>
                <w:rFonts w:ascii="Times New Roman" w:hAnsi="Times New Roman" w:cs="Times New Roman" w:eastAsia="Times New Roman"/>
                <w:sz w:val="16"/>
              </w:rPr>
              <w:t>7.5</w:t>
            </w:r>
          </w:p>
        </w:tc>
        <w:tc>
          <w:tcPr>
            <w:tcW w:type="dxa" w:w="1928"/>
          </w:tcPr>
          <w:p>
            <w:r>
              <w:rPr>
                <w:rFonts w:ascii="Times New Roman" w:hAnsi="Times New Roman" w:cs="Times New Roman" w:eastAsia="Times New Roman"/>
                <w:sz w:val="16"/>
              </w:rPr>
              <w:t>0.510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0.9808</w:t>
            </w:r>
          </w:p>
        </w:tc>
        <w:tc>
          <w:tcPr>
            <w:tcW w:type="dxa" w:w="1928"/>
          </w:tcPr>
          <w:p>
            <w:r>
              <w:rPr>
                <w:rFonts w:ascii="Times New Roman" w:hAnsi="Times New Roman" w:cs="Times New Roman" w:eastAsia="Times New Roman"/>
                <w:sz w:val="16"/>
              </w:rPr>
              <w:t>7.3</w:t>
            </w:r>
          </w:p>
        </w:tc>
        <w:tc>
          <w:tcPr>
            <w:tcW w:type="dxa" w:w="1928"/>
          </w:tcPr>
          <w:p>
            <w:r>
              <w:rPr>
                <w:rFonts w:ascii="Times New Roman" w:hAnsi="Times New Roman" w:cs="Times New Roman" w:eastAsia="Times New Roman"/>
                <w:sz w:val="16"/>
              </w:rPr>
              <w:t>0.541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6.3</w:t>
            </w:r>
          </w:p>
        </w:tc>
        <w:tc>
          <w:tcPr>
            <w:tcW w:type="dxa" w:w="1928"/>
          </w:tcPr>
          <w:p>
            <w:r>
              <w:rPr>
                <w:rFonts w:ascii="Times New Roman" w:hAnsi="Times New Roman" w:cs="Times New Roman" w:eastAsia="Times New Roman"/>
                <w:sz w:val="16"/>
              </w:rPr>
              <w:t>0.661</w:t>
            </w:r>
          </w:p>
        </w:tc>
      </w:tr>
    </w:tbl>
    <w:p>
      <w:pPr>
        <w:jc w:val="left"/>
      </w:pPr>
      <w:r>
        <w:rPr>
          <w:rFonts w:ascii="Times New Roman" w:hAnsi="Times New Roman" w:cs="Times New Roman" w:eastAsia="Times New Roman"/>
          <w:sz w:val="18"/>
        </w:rPr>
        <w:t>Table 5 Threshold sensitivity (</w:t>
      </w:r>
      <m:oMath>
        <m:r>
          <w:rPr>
            <w:sz w:val="22"/>
            <w:szCs w:val="22"/>
          </w:rPr>
          <m:t xml:space="preserve">τ</m:t>
        </m:r>
      </m:oMath>
      <w:r>
        <w:rPr>
          <w:rFonts w:ascii="Times New Roman" w:hAnsi="Times New Roman" w:cs="Times New Roman" w:eastAsia="Times New Roman"/>
          <w:sz w:val="18"/>
        </w:rPr>
        <w:t xml:space="preserve"> in {0.4, 0.5, 0.6} replacing the fixed 0.5 preferred-bit threshold; 30 independent runs per cell, same protocol and datasets as the main ablation). Highest accuracy per dataset in bold. No single </w:t>
      </w:r>
      <m:oMath>
        <m:r>
          <w:rPr>
            <w:sz w:val="22"/>
            <w:szCs w:val="22"/>
          </w:rPr>
          <m:t xml:space="preserve">τ</m:t>
        </m:r>
      </m:oMath>
      <w:r>
        <w:rPr>
          <w:rFonts w:ascii="Times New Roman" w:hAnsi="Times New Roman" w:cs="Times New Roman" w:eastAsia="Times New Roman"/>
          <w:sz w:val="18"/>
        </w:rPr>
        <w:t xml:space="preserve"> dominates uniformly: </w:t>
      </w:r>
      <m:oMath>
        <m:r>
          <w:rPr>
            <w:sz w:val="22"/>
            <w:szCs w:val="22"/>
          </w:rPr>
          <m:t xml:space="preserve">τ=0.5</m:t>
        </m:r>
      </m:oMath>
      <w:r>
        <w:rPr>
          <w:rFonts w:ascii="Times New Roman" w:hAnsi="Times New Roman" w:cs="Times New Roman" w:eastAsia="Times New Roman"/>
          <w:sz w:val="18"/>
        </w:rPr>
        <w:t xml:space="preserve">, the value deployed throughout this paper, attains the highest accuracy on two of five datasets; mean selected-feature count falls monotonically as </w:t>
      </w:r>
      <m:oMath>
        <m:r>
          <w:rPr>
            <w:sz w:val="22"/>
            <w:szCs w:val="22"/>
          </w:rPr>
          <m:t xml:space="preserve">τ</m:t>
        </m:r>
      </m:oMath>
      <w:r>
        <w:rPr>
          <w:rFonts w:ascii="Times New Roman" w:hAnsi="Times New Roman" w:cs="Times New Roman" w:eastAsia="Times New Roman"/>
          <w:sz w:val="18"/>
        </w:rPr>
        <w:t xml:space="preserve"> increases on every dataset, at a modest, dataset-dependent, non-uniform accuracy cost. Phi is the Nogueira stability index.</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657600" cy="2844202"/>
            <wp:docPr id="8" name="Picture 8"/>
            <wp:cNvGraphicFramePr>
              <a:graphicFrameLocks noChangeAspect="1"/>
            </wp:cNvGraphicFramePr>
            <a:graphic>
              <a:graphicData uri="http://schemas.openxmlformats.org/drawingml/2006/picture">
                <pic:pic>
                  <pic:nvPicPr>
                    <pic:cNvPr id="0" name="threshold_heatmap.png"/>
                    <pic:cNvPicPr/>
                  </pic:nvPicPr>
                  <pic:blipFill>
                    <a:blip r:embed="rId16"/>
                    <a:stretch>
                      <a:fillRect/>
                    </a:stretch>
                  </pic:blipFill>
                  <pic:spPr>
                    <a:xfrm>
                      <a:off x="0" y="0"/>
                      <a:ext cx="3657600" cy="2844202"/>
                    </a:xfrm>
                    <a:prstGeom prst="rect"/>
                  </pic:spPr>
                </pic:pic>
              </a:graphicData>
            </a:graphic>
          </wp:inline>
        </w:drawing>
      </w:r>
    </w:p>
    <w:p>
      <w:pPr>
        <w:jc w:val="center"/>
      </w:pPr>
      <w:r>
        <w:rPr>
          <w:rFonts w:ascii="Times New Roman" w:hAnsi="Times New Roman" w:cs="Times New Roman" w:eastAsia="Times New Roman"/>
          <w:sz w:val="17"/>
        </w:rPr>
        <w:t xml:space="preserve">Fig. 8. Mean held-out accuracy (color) and mean number of selected features (in parentheses) across the three preferred-bit thresholds tested (</w:t>
      </w:r>
      <m:oMath>
        <m:r>
          <w:rPr>
            <w:sz w:val="22"/>
            <w:szCs w:val="22"/>
          </w:rPr>
          <m:t xml:space="preserve">τ</m:t>
        </m:r>
      </m:oMath>
      <w:r>
        <w:rPr>
          <w:rFonts w:ascii="Times New Roman" w:hAnsi="Times New Roman" w:cs="Times New Roman" w:eastAsia="Times New Roman"/>
          <w:sz w:val="17"/>
        </w:rPr>
        <w:t xml:space="preserve"> in {0.4, 0.5, 0.6}), one row per dataset. Accuracy is essentially flat across thresholds on every dataset (largest swing 0.011, ColonCancer </w:t>
      </w:r>
      <m:oMath>
        <m:r>
          <w:rPr>
            <w:sz w:val="22"/>
            <w:szCs w:val="22"/>
          </w:rPr>
          <m:t xml:space="preserve">τ=0.4</m:t>
        </m:r>
      </m:oMath>
      <w:r>
        <w:rPr>
          <w:rFonts w:ascii="Times New Roman" w:hAnsi="Times New Roman" w:cs="Times New Roman" w:eastAsia="Times New Roman"/>
          <w:sz w:val="17"/>
        </w:rPr>
        <w:t xml:space="preserve"> vs</w:t>
      </w:r>
      <m:oMath>
        <m:r>
          <w:rPr>
            <w:sz w:val="22"/>
            <w:szCs w:val="22"/>
          </w:rPr>
          <m:t xml:space="preserve">. τ=0.5)</m:t>
        </m:r>
      </m:oMath>
      <w:r>
        <w:rPr>
          <w:rFonts w:ascii="Times New Roman" w:hAnsi="Times New Roman" w:cs="Times New Roman" w:eastAsia="Times New Roman"/>
          <w:sz w:val="17"/>
        </w:rPr>
        <w:t xml:space="preserve">, while the selected-feature count falls monotonically as </w:t>
      </w:r>
      <m:oMath>
        <m:r>
          <w:rPr>
            <w:sz w:val="22"/>
            <w:szCs w:val="22"/>
          </w:rPr>
          <m:t xml:space="preserve">τ</m:t>
        </m:r>
      </m:oMath>
      <w:r>
        <w:rPr>
          <w:rFonts w:ascii="Times New Roman" w:hAnsi="Times New Roman" w:cs="Times New Roman" w:eastAsia="Times New Roman"/>
          <w:sz w:val="17"/>
        </w:rPr>
        <w:t xml:space="preserve"> increases on all five datasets, confirming </w:t>
      </w:r>
      <m:oMath>
        <m:r>
          <w:rPr>
            <w:sz w:val="22"/>
            <w:szCs w:val="22"/>
          </w:rPr>
          <m:t xml:space="preserve">τ=0.5</m:t>
        </m:r>
      </m:oMath>
      <w:r>
        <w:rPr>
          <w:rFonts w:ascii="Times New Roman" w:hAnsi="Times New Roman" w:cs="Times New Roman" w:eastAsia="Times New Roman"/>
          <w:sz w:val="17"/>
        </w:rPr>
        <w:t xml:space="preserve"> is not a fragile choice.</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3.6 Comparison with classical selectors</w:t>
      </w:r>
    </w:p>
    <w:p>
      <w:pPr>
        <w:spacing w:line="360" w:lineRule="auto" w:after="200"/>
        <w:jc w:val="both"/>
      </w:pPr>
      <w:r>
        <w:rPr>
          <w:rFonts w:ascii="Times New Roman" w:hAnsi="Times New Roman" w:cs="Times New Roman" w:eastAsia="Times New Roman"/>
          <w:i w:val="0"/>
          <w:sz w:val="22"/>
        </w:rPr>
        <w:t>RQ4 asks how robust the mechanism is across classifiers, relevance priors, and dataset dimensionalities; this subsection and Table 7 answer it directly. Table 6 compares RG-SCSO across the full 18-dataset benchmark against five classical filter, embedded, and wrapper selectors, mutual-information thresholding, mRMR, ReliefF, LASSO, and sequential forward selection, and a Concrete-Autoencoder deep feature selector, under the identical stratified 5-fold KNN evaluator. RG-SCSO attains the best accuracy of all methods on 12 of 18 datasets. Across the benchmark it is significantly more accurate (Holm-corrected Wilcoxon signed-rank over the 18 datasets) than mutual-information thresholding, sequential forward selection, mRMR, and LASSO (all Holm p &lt; 0.05); the one classical selector it does not significantly beat is ReliefF, which it still leads on 13 of 18 datasets (p = 0.20). The Concrete-Autoencoder baseline, matched to RG-SCSO's per-dataset subset size, is the weakest selector on the small-sample datasets tested, consistent with deep reconstruction objectives needing far more than the 50-455 training instances these benchmarks provide. The exceptions to RG-SCSO's lead are informative and concentrated: on the two gene-expression (p &gt;&gt; n) datasets a classical LASSO baseline attains higher accuracy with far fewer features on both Leukemia (99.8% at 23 features vs. RG-SCSO's 98.6% at 940) and ColonCancer (95.7% at 64 vs. 88.1% at 563), with mRMR competitive on both; and on four combinatorial or categorical datasets (TicTacToe, M-of-n, KrVsKpEW, WaveformEW) a classical method edges it by at most 1.7 accuracy points. RG-SCSO's advantage is thus broad but not universal: clearest on datasets without extreme p &gt;&gt; n structure, where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more consistent parsimony gain than an accuracy one under Random Forest specifically, and the ReliefF-prior degradation already established above reproduces under every wrapper tested.</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LASSO</w:t>
            </w:r>
          </w:p>
        </w:tc>
        <w:tc>
          <w:tcPr>
            <w:tcW w:type="dxa" w:w="1205"/>
            <w:tcBorders>
              <w:bottom w:val="single" w:sz="6" w:space="0" w:color="000000"/>
            </w:tcBorders>
          </w:tcPr>
          <w:p>
            <w:r>
              <w:rPr>
                <w:rFonts w:ascii="Times New Roman" w:hAnsi="Times New Roman" w:cs="Times New Roman" w:eastAsia="Times New Roman"/>
                <w:b/>
                <w:sz w:val="14"/>
              </w:rPr>
              <w:t>mRMR</w:t>
            </w:r>
          </w:p>
        </w:tc>
        <w:tc>
          <w:tcPr>
            <w:tcW w:type="dxa" w:w="1205"/>
            <w:tcBorders>
              <w:bottom w:val="single" w:sz="6" w:space="0" w:color="000000"/>
            </w:tcBorders>
          </w:tcPr>
          <w:p>
            <w:r>
              <w:rPr>
                <w:rFonts w:ascii="Times New Roman" w:hAnsi="Times New Roman" w:cs="Times New Roman" w:eastAsia="Times New Roman"/>
                <w:b/>
                <w:sz w:val="14"/>
              </w:rPr>
              <w:t>ReliefF</w:t>
            </w:r>
          </w:p>
        </w:tc>
        <w:tc>
          <w:tcPr>
            <w:tcW w:type="dxa" w:w="1205"/>
            <w:tcBorders>
              <w:bottom w:val="single" w:sz="6" w:space="0" w:color="000000"/>
            </w:tcBorders>
          </w:tcPr>
          <w:p>
            <w:r>
              <w:rPr>
                <w:rFonts w:ascii="Times New Roman" w:hAnsi="Times New Roman" w:cs="Times New Roman" w:eastAsia="Times New Roman"/>
                <w:b/>
                <w:sz w:val="14"/>
              </w:rPr>
              <w:t>SFS</w:t>
            </w:r>
          </w:p>
        </w:tc>
        <w:tc>
          <w:tcPr>
            <w:tcW w:type="dxa" w:w="1205"/>
            <w:tcBorders>
              <w:bottom w:val="single" w:sz="6" w:space="0" w:color="000000"/>
            </w:tcBorders>
          </w:tcPr>
          <w:p>
            <w:r>
              <w:rPr>
                <w:rFonts w:ascii="Times New Roman" w:hAnsi="Times New Roman" w:cs="Times New Roman" w:eastAsia="Times New Roman"/>
                <w:b/>
                <w:sz w:val="14"/>
              </w:rPr>
              <w:t>MI-thr</w:t>
            </w:r>
          </w:p>
        </w:tc>
        <w:tc>
          <w:tcPr>
            <w:tcW w:type="dxa" w:w="1205"/>
            <w:tcBorders>
              <w:bottom w:val="single" w:sz="6" w:space="0" w:color="000000"/>
            </w:tcBorders>
          </w:tcPr>
          <w:p>
            <w:r>
              <w:rPr>
                <w:rFonts w:ascii="Times New Roman" w:hAnsi="Times New Roman" w:cs="Times New Roman" w:eastAsia="Times New Roman"/>
                <w:b/>
                <w:sz w:val="14"/>
              </w:rPr>
              <w:t>CAE</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b/>
                <w:sz w:val="14"/>
              </w:rPr>
              <w:t>0.760 (5)</w:t>
            </w:r>
          </w:p>
        </w:tc>
        <w:tc>
          <w:tcPr>
            <w:tcW w:type="dxa" w:w="1205"/>
          </w:tcPr>
          <w:p>
            <w:r>
              <w:rPr>
                <w:rFonts w:ascii="Times New Roman" w:hAnsi="Times New Roman" w:cs="Times New Roman" w:eastAsia="Times New Roman"/>
                <w:sz w:val="14"/>
              </w:rPr>
              <w:t>0.735 (8)</w:t>
            </w:r>
          </w:p>
        </w:tc>
        <w:tc>
          <w:tcPr>
            <w:tcW w:type="dxa" w:w="1205"/>
          </w:tcPr>
          <w:p>
            <w:r>
              <w:rPr>
                <w:rFonts w:ascii="Times New Roman" w:hAnsi="Times New Roman" w:cs="Times New Roman" w:eastAsia="Times New Roman"/>
                <w:sz w:val="14"/>
              </w:rPr>
              <w:t>0.739 (7)</w:t>
            </w:r>
          </w:p>
        </w:tc>
        <w:tc>
          <w:tcPr>
            <w:tcW w:type="dxa" w:w="1205"/>
          </w:tcPr>
          <w:p>
            <w:r>
              <w:rPr>
                <w:rFonts w:ascii="Times New Roman" w:hAnsi="Times New Roman" w:cs="Times New Roman" w:eastAsia="Times New Roman"/>
                <w:sz w:val="14"/>
              </w:rPr>
              <w:t>0.745 (5)</w:t>
            </w:r>
          </w:p>
        </w:tc>
        <w:tc>
          <w:tcPr>
            <w:tcW w:type="dxa" w:w="1205"/>
          </w:tcPr>
          <w:p>
            <w:r>
              <w:rPr>
                <w:rFonts w:ascii="Times New Roman" w:hAnsi="Times New Roman" w:cs="Times New Roman" w:eastAsia="Times New Roman"/>
                <w:sz w:val="14"/>
              </w:rPr>
              <w:t>0.741 (7)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0.697 (5)</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b/>
                <w:sz w:val="14"/>
              </w:rPr>
              <w:t>0.974 (4)</w:t>
            </w:r>
          </w:p>
        </w:tc>
        <w:tc>
          <w:tcPr>
            <w:tcW w:type="dxa" w:w="1205"/>
          </w:tcPr>
          <w:p>
            <w:r>
              <w:rPr>
                <w:rFonts w:ascii="Times New Roman" w:hAnsi="Times New Roman" w:cs="Times New Roman" w:eastAsia="Times New Roman"/>
                <w:sz w:val="14"/>
              </w:rPr>
              <w:t>0.968 (9)</w:t>
            </w:r>
          </w:p>
        </w:tc>
        <w:tc>
          <w:tcPr>
            <w:tcW w:type="dxa" w:w="1205"/>
          </w:tcPr>
          <w:p>
            <w:r>
              <w:rPr>
                <w:rFonts w:ascii="Times New Roman" w:hAnsi="Times New Roman" w:cs="Times New Roman" w:eastAsia="Times New Roman"/>
                <w:sz w:val="14"/>
              </w:rPr>
              <w:t>0.971 (7)</w:t>
            </w:r>
          </w:p>
        </w:tc>
        <w:tc>
          <w:tcPr>
            <w:tcW w:type="dxa" w:w="1205"/>
          </w:tcPr>
          <w:p>
            <w:r>
              <w:rPr>
                <w:rFonts w:ascii="Times New Roman" w:hAnsi="Times New Roman" w:cs="Times New Roman" w:eastAsia="Times New Roman"/>
                <w:sz w:val="14"/>
              </w:rPr>
              <w:t>0.972 (6)</w:t>
            </w:r>
          </w:p>
        </w:tc>
        <w:tc>
          <w:tcPr>
            <w:tcW w:type="dxa" w:w="1205"/>
          </w:tcPr>
          <w:p>
            <w:r>
              <w:rPr>
                <w:rFonts w:ascii="Times New Roman" w:hAnsi="Times New Roman" w:cs="Times New Roman" w:eastAsia="Times New Roman"/>
                <w:sz w:val="14"/>
              </w:rPr>
              <w:t>0.970 (8)</w:t>
            </w:r>
          </w:p>
        </w:tc>
        <w:tc>
          <w:tcPr>
            <w:tcW w:type="dxa" w:w="1205"/>
          </w:tcPr>
          <w:p>
            <w:r>
              <w:rPr>
                <w:rFonts w:ascii="Times New Roman" w:hAnsi="Times New Roman" w:cs="Times New Roman" w:eastAsia="Times New Roman"/>
                <w:sz w:val="14"/>
              </w:rPr>
              <w:t>0.965 (6)</w:t>
            </w:r>
          </w:p>
        </w:tc>
        <w:tc>
          <w:tcPr>
            <w:tcW w:type="dxa" w:w="1205"/>
          </w:tcPr>
          <w:p>
            <w:r>
              <w:rPr>
                <w:rFonts w:ascii="Times New Roman" w:hAnsi="Times New Roman" w:cs="Times New Roman" w:eastAsia="Times New Roman"/>
                <w:sz w:val="14"/>
              </w:rPr>
              <w:t>0.946 (4)</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sz w:val="14"/>
              </w:rPr>
              <w:t>0.820 (7)</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sz w:val="14"/>
              </w:rPr>
              <w:t>0.788 (8)</w:t>
            </w:r>
          </w:p>
        </w:tc>
        <w:tc>
          <w:tcPr>
            <w:tcW w:type="dxa" w:w="1205"/>
          </w:tcPr>
          <w:p>
            <w:r>
              <w:rPr>
                <w:rFonts w:ascii="Times New Roman" w:hAnsi="Times New Roman" w:cs="Times New Roman" w:eastAsia="Times New Roman"/>
                <w:sz w:val="14"/>
              </w:rPr>
              <w:t>0.653 (1)</w:t>
            </w:r>
          </w:p>
        </w:tc>
        <w:tc>
          <w:tcPr>
            <w:tcW w:type="dxa" w:w="1205"/>
          </w:tcPr>
          <w:p>
            <w:r>
              <w:rPr>
                <w:rFonts w:ascii="Times New Roman" w:hAnsi="Times New Roman" w:cs="Times New Roman" w:eastAsia="Times New Roman"/>
                <w:sz w:val="14"/>
              </w:rPr>
              <w:t>0.738 (6)</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b/>
                <w:sz w:val="14"/>
              </w:rPr>
              <w:t>0.849 (5)</w:t>
            </w:r>
          </w:p>
        </w:tc>
        <w:tc>
          <w:tcPr>
            <w:tcW w:type="dxa" w:w="1205"/>
          </w:tcPr>
          <w:p>
            <w:r>
              <w:rPr>
                <w:rFonts w:ascii="Times New Roman" w:hAnsi="Times New Roman" w:cs="Times New Roman" w:eastAsia="Times New Roman"/>
                <w:sz w:val="14"/>
              </w:rPr>
              <w:t>0.821 (12)</w:t>
            </w:r>
          </w:p>
        </w:tc>
        <w:tc>
          <w:tcPr>
            <w:tcW w:type="dxa" w:w="1205"/>
          </w:tcPr>
          <w:p>
            <w:r>
              <w:rPr>
                <w:rFonts w:ascii="Times New Roman" w:hAnsi="Times New Roman" w:cs="Times New Roman" w:eastAsia="Times New Roman"/>
                <w:sz w:val="14"/>
              </w:rPr>
              <w:t>0.825 (11)</w:t>
            </w:r>
          </w:p>
        </w:tc>
        <w:tc>
          <w:tcPr>
            <w:tcW w:type="dxa" w:w="1205"/>
          </w:tcPr>
          <w:p>
            <w:r>
              <w:rPr>
                <w:rFonts w:ascii="Times New Roman" w:hAnsi="Times New Roman" w:cs="Times New Roman" w:eastAsia="Times New Roman"/>
                <w:sz w:val="14"/>
              </w:rPr>
              <w:t>0.829 (10)</w:t>
            </w:r>
          </w:p>
        </w:tc>
        <w:tc>
          <w:tcPr>
            <w:tcW w:type="dxa" w:w="1205"/>
          </w:tcPr>
          <w:p>
            <w:r>
              <w:rPr>
                <w:rFonts w:ascii="Times New Roman" w:hAnsi="Times New Roman" w:cs="Times New Roman" w:eastAsia="Times New Roman"/>
                <w:sz w:val="14"/>
              </w:rPr>
              <w:t>0.808 (12)</w:t>
            </w:r>
          </w:p>
        </w:tc>
        <w:tc>
          <w:tcPr>
            <w:tcW w:type="dxa" w:w="1205"/>
          </w:tcPr>
          <w:p>
            <w:r>
              <w:rPr>
                <w:rFonts w:ascii="Times New Roman" w:hAnsi="Times New Roman" w:cs="Times New Roman" w:eastAsia="Times New Roman"/>
                <w:sz w:val="14"/>
              </w:rPr>
              <w:t>0.740 (1)</w:t>
            </w:r>
          </w:p>
        </w:tc>
        <w:tc>
          <w:tcPr>
            <w:tcW w:type="dxa" w:w="1205"/>
          </w:tcPr>
          <w:p>
            <w:r>
              <w:rPr>
                <w:rFonts w:ascii="Times New Roman" w:hAnsi="Times New Roman" w:cs="Times New Roman" w:eastAsia="Times New Roman"/>
                <w:sz w:val="14"/>
              </w:rPr>
              <w:t>0.753 (5)</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sz w:val="14"/>
              </w:rPr>
              <w:t>0.994 (6)</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0.965 (8)</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0.868 (12)</w:t>
            </w:r>
          </w:p>
        </w:tc>
        <w:tc>
          <w:tcPr>
            <w:tcW w:type="dxa" w:w="1205"/>
          </w:tcPr>
          <w:p>
            <w:r>
              <w:rPr>
                <w:rFonts w:ascii="Times New Roman" w:hAnsi="Times New Roman" w:cs="Times New Roman" w:eastAsia="Times New Roman"/>
                <w:sz w:val="14"/>
              </w:rPr>
              <w:t>0.664 (1)</w:t>
            </w:r>
          </w:p>
        </w:tc>
        <w:tc>
          <w:tcPr>
            <w:tcW w:type="dxa" w:w="1205"/>
          </w:tcPr>
          <w:p>
            <w:r>
              <w:rPr>
                <w:rFonts w:ascii="Times New Roman" w:hAnsi="Times New Roman" w:cs="Times New Roman" w:eastAsia="Times New Roman"/>
                <w:sz w:val="14"/>
              </w:rPr>
              <w:t>0.712 (6)</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0.974 (3)</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0.924 (15)</w:t>
            </w:r>
          </w:p>
        </w:tc>
        <w:tc>
          <w:tcPr>
            <w:tcW w:type="dxa" w:w="1205"/>
          </w:tcPr>
          <w:p>
            <w:r>
              <w:rPr>
                <w:rFonts w:ascii="Times New Roman" w:hAnsi="Times New Roman" w:cs="Times New Roman" w:eastAsia="Times New Roman"/>
                <w:sz w:val="14"/>
              </w:rPr>
              <w:t>0.968 (1)</w:t>
            </w:r>
          </w:p>
        </w:tc>
        <w:tc>
          <w:tcPr>
            <w:tcW w:type="dxa" w:w="1205"/>
          </w:tcPr>
          <w:p>
            <w:r>
              <w:rPr>
                <w:rFonts w:ascii="Times New Roman" w:hAnsi="Times New Roman" w:cs="Times New Roman" w:eastAsia="Times New Roman"/>
                <w:sz w:val="14"/>
              </w:rPr>
              <w:t>0.841 (3)</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b/>
                <w:sz w:val="14"/>
              </w:rPr>
              <w:t>0.981 (7)</w:t>
            </w:r>
          </w:p>
        </w:tc>
        <w:tc>
          <w:tcPr>
            <w:tcW w:type="dxa" w:w="1205"/>
          </w:tcPr>
          <w:p>
            <w:r>
              <w:rPr>
                <w:rFonts w:ascii="Times New Roman" w:hAnsi="Times New Roman" w:cs="Times New Roman" w:eastAsia="Times New Roman"/>
                <w:sz w:val="14"/>
              </w:rPr>
              <w:t>0.888 (11)</w:t>
            </w:r>
          </w:p>
        </w:tc>
        <w:tc>
          <w:tcPr>
            <w:tcW w:type="dxa" w:w="1205"/>
          </w:tcPr>
          <w:p>
            <w:r>
              <w:rPr>
                <w:rFonts w:ascii="Times New Roman" w:hAnsi="Times New Roman" w:cs="Times New Roman" w:eastAsia="Times New Roman"/>
                <w:sz w:val="14"/>
              </w:rPr>
              <w:t>0.961 (11)</w:t>
            </w:r>
          </w:p>
        </w:tc>
        <w:tc>
          <w:tcPr>
            <w:tcW w:type="dxa" w:w="1205"/>
          </w:tcPr>
          <w:p>
            <w:r>
              <w:rPr>
                <w:rFonts w:ascii="Times New Roman" w:hAnsi="Times New Roman" w:cs="Times New Roman" w:eastAsia="Times New Roman"/>
                <w:sz w:val="14"/>
              </w:rPr>
              <w:t>0.965 (11)</w:t>
            </w:r>
          </w:p>
        </w:tc>
        <w:tc>
          <w:tcPr>
            <w:tcW w:type="dxa" w:w="1205"/>
          </w:tcPr>
          <w:p>
            <w:r>
              <w:rPr>
                <w:rFonts w:ascii="Times New Roman" w:hAnsi="Times New Roman" w:cs="Times New Roman" w:eastAsia="Times New Roman"/>
                <w:sz w:val="14"/>
              </w:rPr>
              <w:t>0.941 (15)</w:t>
            </w:r>
          </w:p>
        </w:tc>
        <w:tc>
          <w:tcPr>
            <w:tcW w:type="dxa" w:w="1205"/>
          </w:tcPr>
          <w:p>
            <w:r>
              <w:rPr>
                <w:rFonts w:ascii="Times New Roman" w:hAnsi="Times New Roman" w:cs="Times New Roman" w:eastAsia="Times New Roman"/>
                <w:sz w:val="14"/>
              </w:rPr>
              <w:t>0.753 (2)</w:t>
            </w:r>
          </w:p>
        </w:tc>
        <w:tc>
          <w:tcPr>
            <w:tcW w:type="dxa" w:w="1205"/>
          </w:tcPr>
          <w:p>
            <w:r>
              <w:rPr>
                <w:rFonts w:ascii="Times New Roman" w:hAnsi="Times New Roman" w:cs="Times New Roman" w:eastAsia="Times New Roman"/>
                <w:sz w:val="14"/>
              </w:rPr>
              <w:t>0.871 (6)</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b/>
                <w:sz w:val="14"/>
              </w:rPr>
              <w:t>0.865 (8)</w:t>
            </w:r>
          </w:p>
        </w:tc>
        <w:tc>
          <w:tcPr>
            <w:tcW w:type="dxa" w:w="1205"/>
          </w:tcPr>
          <w:p>
            <w:r>
              <w:rPr>
                <w:rFonts w:ascii="Times New Roman" w:hAnsi="Times New Roman" w:cs="Times New Roman" w:eastAsia="Times New Roman"/>
                <w:sz w:val="14"/>
              </w:rPr>
              <w:t>0.823 (17)</w:t>
            </w:r>
          </w:p>
        </w:tc>
        <w:tc>
          <w:tcPr>
            <w:tcW w:type="dxa" w:w="1205"/>
          </w:tcPr>
          <w:p>
            <w:r>
              <w:rPr>
                <w:rFonts w:ascii="Times New Roman" w:hAnsi="Times New Roman" w:cs="Times New Roman" w:eastAsia="Times New Roman"/>
                <w:sz w:val="14"/>
              </w:rPr>
              <w:t>0.836 (13)</w:t>
            </w:r>
          </w:p>
        </w:tc>
        <w:tc>
          <w:tcPr>
            <w:tcW w:type="dxa" w:w="1205"/>
          </w:tcPr>
          <w:p>
            <w:r>
              <w:rPr>
                <w:rFonts w:ascii="Times New Roman" w:hAnsi="Times New Roman" w:cs="Times New Roman" w:eastAsia="Times New Roman"/>
                <w:sz w:val="14"/>
              </w:rPr>
              <w:t>0.862 (12)</w:t>
            </w:r>
          </w:p>
        </w:tc>
        <w:tc>
          <w:tcPr>
            <w:tcW w:type="dxa" w:w="1205"/>
          </w:tcPr>
          <w:p>
            <w:r>
              <w:rPr>
                <w:rFonts w:ascii="Times New Roman" w:hAnsi="Times New Roman" w:cs="Times New Roman" w:eastAsia="Times New Roman"/>
                <w:sz w:val="14"/>
              </w:rPr>
              <w:t>0.815 (17)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0.769 (7)</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b/>
                <w:sz w:val="14"/>
              </w:rPr>
              <w:t>0.761 (8)</w:t>
            </w:r>
          </w:p>
        </w:tc>
        <w:tc>
          <w:tcPr>
            <w:tcW w:type="dxa" w:w="1205"/>
          </w:tcPr>
          <w:p>
            <w:r>
              <w:rPr>
                <w:rFonts w:ascii="Times New Roman" w:hAnsi="Times New Roman" w:cs="Times New Roman" w:eastAsia="Times New Roman"/>
                <w:sz w:val="14"/>
              </w:rPr>
              <w:t>0.741 (20)</w:t>
            </w:r>
          </w:p>
        </w:tc>
        <w:tc>
          <w:tcPr>
            <w:tcW w:type="dxa" w:w="1205"/>
          </w:tcPr>
          <w:p>
            <w:r>
              <w:rPr>
                <w:rFonts w:ascii="Times New Roman" w:hAnsi="Times New Roman" w:cs="Times New Roman" w:eastAsia="Times New Roman"/>
                <w:sz w:val="14"/>
              </w:rPr>
              <w:t>0.744 (15)</w:t>
            </w:r>
          </w:p>
        </w:tc>
        <w:tc>
          <w:tcPr>
            <w:tcW w:type="dxa" w:w="1205"/>
          </w:tcPr>
          <w:p>
            <w:r>
              <w:rPr>
                <w:rFonts w:ascii="Times New Roman" w:hAnsi="Times New Roman" w:cs="Times New Roman" w:eastAsia="Times New Roman"/>
                <w:sz w:val="14"/>
              </w:rPr>
              <w:t>0.747 (13)</w:t>
            </w:r>
          </w:p>
        </w:tc>
        <w:tc>
          <w:tcPr>
            <w:tcW w:type="dxa" w:w="1205"/>
          </w:tcPr>
          <w:p>
            <w:r>
              <w:rPr>
                <w:rFonts w:ascii="Times New Roman" w:hAnsi="Times New Roman" w:cs="Times New Roman" w:eastAsia="Times New Roman"/>
                <w:sz w:val="14"/>
              </w:rPr>
              <w:t>0.744 (19)</w:t>
            </w:r>
          </w:p>
        </w:tc>
        <w:tc>
          <w:tcPr>
            <w:tcW w:type="dxa" w:w="1205"/>
          </w:tcPr>
          <w:p>
            <w:r>
              <w:rPr>
                <w:rFonts w:ascii="Times New Roman" w:hAnsi="Times New Roman" w:cs="Times New Roman" w:eastAsia="Times New Roman"/>
                <w:sz w:val="14"/>
              </w:rPr>
              <w:t>0.673 (1)</w:t>
            </w:r>
          </w:p>
        </w:tc>
        <w:tc>
          <w:tcPr>
            <w:tcW w:type="dxa" w:w="1205"/>
          </w:tcPr>
          <w:p>
            <w:r>
              <w:rPr>
                <w:rFonts w:ascii="Times New Roman" w:hAnsi="Times New Roman" w:cs="Times New Roman" w:eastAsia="Times New Roman"/>
                <w:sz w:val="14"/>
              </w:rPr>
              <w:t>0.691 (7)</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0.962 (8)</w:t>
            </w:r>
          </w:p>
        </w:tc>
        <w:tc>
          <w:tcPr>
            <w:tcW w:type="dxa" w:w="1205"/>
          </w:tcPr>
          <w:p>
            <w:r>
              <w:rPr>
                <w:rFonts w:ascii="Times New Roman" w:hAnsi="Times New Roman" w:cs="Times New Roman" w:eastAsia="Times New Roman"/>
                <w:sz w:val="14"/>
              </w:rPr>
              <w:t>0.912 (12)</w:t>
            </w:r>
          </w:p>
        </w:tc>
        <w:tc>
          <w:tcPr>
            <w:tcW w:type="dxa" w:w="1205"/>
          </w:tcPr>
          <w:p>
            <w:r>
              <w:rPr>
                <w:rFonts w:ascii="Times New Roman" w:hAnsi="Times New Roman" w:cs="Times New Roman" w:eastAsia="Times New Roman"/>
                <w:sz w:val="14"/>
              </w:rPr>
              <w:t>0.924 (9)</w:t>
            </w:r>
          </w:p>
        </w:tc>
        <w:tc>
          <w:tcPr>
            <w:tcW w:type="dxa" w:w="1205"/>
          </w:tcPr>
          <w:p>
            <w:r>
              <w:rPr>
                <w:rFonts w:ascii="Times New Roman" w:hAnsi="Times New Roman" w:cs="Times New Roman" w:eastAsia="Times New Roman"/>
                <w:sz w:val="14"/>
              </w:rPr>
              <w:t>0.940 (13)</w:t>
            </w:r>
          </w:p>
        </w:tc>
        <w:tc>
          <w:tcPr>
            <w:tcW w:type="dxa" w:w="1205"/>
          </w:tcPr>
          <w:p>
            <w:r>
              <w:rPr>
                <w:rFonts w:ascii="Times New Roman" w:hAnsi="Times New Roman" w:cs="Times New Roman" w:eastAsia="Times New Roman"/>
                <w:sz w:val="14"/>
              </w:rPr>
              <w:t>0.904 (21)</w:t>
            </w:r>
          </w:p>
        </w:tc>
        <w:tc>
          <w:tcPr>
            <w:tcW w:type="dxa" w:w="1205"/>
          </w:tcPr>
          <w:p>
            <w:r>
              <w:rPr>
                <w:rFonts w:ascii="Times New Roman" w:hAnsi="Times New Roman" w:cs="Times New Roman" w:eastAsia="Times New Roman"/>
                <w:sz w:val="14"/>
              </w:rPr>
              <w:t>0.867 (1)</w:t>
            </w:r>
          </w:p>
        </w:tc>
        <w:tc>
          <w:tcPr>
            <w:tcW w:type="dxa" w:w="1205"/>
          </w:tcPr>
          <w:p>
            <w:r>
              <w:rPr>
                <w:rFonts w:ascii="Times New Roman" w:hAnsi="Times New Roman" w:cs="Times New Roman" w:eastAsia="Times New Roman"/>
                <w:sz w:val="14"/>
              </w:rPr>
              <w:t>0.884 (7)</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0.859 (9)</w:t>
            </w:r>
          </w:p>
        </w:tc>
        <w:tc>
          <w:tcPr>
            <w:tcW w:type="dxa" w:w="1205"/>
          </w:tcPr>
          <w:p>
            <w:r>
              <w:rPr>
                <w:rFonts w:ascii="Times New Roman" w:hAnsi="Times New Roman" w:cs="Times New Roman" w:eastAsia="Times New Roman"/>
                <w:sz w:val="14"/>
              </w:rPr>
              <w:t>0.810 (14)</w:t>
            </w:r>
          </w:p>
        </w:tc>
        <w:tc>
          <w:tcPr>
            <w:tcW w:type="dxa" w:w="1205"/>
          </w:tcPr>
          <w:p>
            <w:r>
              <w:rPr>
                <w:rFonts w:ascii="Times New Roman" w:hAnsi="Times New Roman" w:cs="Times New Roman" w:eastAsia="Times New Roman"/>
                <w:sz w:val="14"/>
              </w:rPr>
              <w:t>0.819 (10)</w:t>
            </w:r>
          </w:p>
        </w:tc>
        <w:tc>
          <w:tcPr>
            <w:tcW w:type="dxa" w:w="1205"/>
          </w:tcPr>
          <w:p>
            <w:r>
              <w:rPr>
                <w:rFonts w:ascii="Times New Roman" w:hAnsi="Times New Roman" w:cs="Times New Roman" w:eastAsia="Times New Roman"/>
                <w:sz w:val="14"/>
              </w:rPr>
              <w:t>0.836 (9)</w:t>
            </w:r>
          </w:p>
        </w:tc>
        <w:tc>
          <w:tcPr>
            <w:tcW w:type="dxa" w:w="1205"/>
          </w:tcPr>
          <w:p>
            <w:r>
              <w:rPr>
                <w:rFonts w:ascii="Times New Roman" w:hAnsi="Times New Roman" w:cs="Times New Roman" w:eastAsia="Times New Roman"/>
                <w:sz w:val="14"/>
              </w:rPr>
              <w:t>0.800 (21)</w:t>
            </w:r>
          </w:p>
        </w:tc>
        <w:tc>
          <w:tcPr>
            <w:tcW w:type="dxa" w:w="1205"/>
          </w:tcPr>
          <w:p>
            <w:r>
              <w:rPr>
                <w:rFonts w:ascii="Times New Roman" w:hAnsi="Times New Roman" w:cs="Times New Roman" w:eastAsia="Times New Roman"/>
                <w:sz w:val="14"/>
              </w:rPr>
              <w:t>0.699 (1)</w:t>
            </w:r>
          </w:p>
        </w:tc>
        <w:tc>
          <w:tcPr>
            <w:tcW w:type="dxa" w:w="1205"/>
          </w:tcPr>
          <w:p>
            <w:r>
              <w:rPr>
                <w:rFonts w:ascii="Times New Roman" w:hAnsi="Times New Roman" w:cs="Times New Roman" w:eastAsia="Times New Roman"/>
                <w:sz w:val="14"/>
              </w:rPr>
              <w:t>0.780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0.979 (12)</w:t>
            </w:r>
          </w:p>
        </w:tc>
        <w:tc>
          <w:tcPr>
            <w:tcW w:type="dxa" w:w="1205"/>
          </w:tcPr>
          <w:p>
            <w:r>
              <w:rPr>
                <w:rFonts w:ascii="Times New Roman" w:hAnsi="Times New Roman" w:cs="Times New Roman" w:eastAsia="Times New Roman"/>
                <w:sz w:val="14"/>
              </w:rPr>
              <w:t>0.962 (20)</w:t>
            </w:r>
          </w:p>
        </w:tc>
        <w:tc>
          <w:tcPr>
            <w:tcW w:type="dxa" w:w="1205"/>
          </w:tcPr>
          <w:p>
            <w:r>
              <w:rPr>
                <w:rFonts w:ascii="Times New Roman" w:hAnsi="Times New Roman" w:cs="Times New Roman" w:eastAsia="Times New Roman"/>
                <w:sz w:val="14"/>
              </w:rPr>
              <w:t>0.972 (17)</w:t>
            </w:r>
          </w:p>
        </w:tc>
        <w:tc>
          <w:tcPr>
            <w:tcW w:type="dxa" w:w="1205"/>
          </w:tcPr>
          <w:p>
            <w:r>
              <w:rPr>
                <w:rFonts w:ascii="Times New Roman" w:hAnsi="Times New Roman" w:cs="Times New Roman" w:eastAsia="Times New Roman"/>
                <w:sz w:val="14"/>
              </w:rPr>
              <w:t>0.968 (13)</w:t>
            </w:r>
          </w:p>
        </w:tc>
        <w:tc>
          <w:tcPr>
            <w:tcW w:type="dxa" w:w="1205"/>
          </w:tcPr>
          <w:p>
            <w:r>
              <w:rPr>
                <w:rFonts w:ascii="Times New Roman" w:hAnsi="Times New Roman" w:cs="Times New Roman" w:eastAsia="Times New Roman"/>
                <w:sz w:val="14"/>
              </w:rPr>
              <w:t>0.967 (25)</w:t>
            </w:r>
          </w:p>
        </w:tc>
        <w:tc>
          <w:tcPr>
            <w:tcW w:type="dxa" w:w="1205"/>
          </w:tcPr>
          <w:p>
            <w:r>
              <w:rPr>
                <w:rFonts w:ascii="Times New Roman" w:hAnsi="Times New Roman" w:cs="Times New Roman" w:eastAsia="Times New Roman"/>
                <w:sz w:val="14"/>
              </w:rPr>
              <w:t>0.943 (10)</w:t>
            </w:r>
          </w:p>
        </w:tc>
        <w:tc>
          <w:tcPr>
            <w:tcW w:type="dxa" w:w="1205"/>
          </w:tcPr>
          <w:p>
            <w:r>
              <w:rPr>
                <w:rFonts w:ascii="Times New Roman" w:hAnsi="Times New Roman" w:cs="Times New Roman" w:eastAsia="Times New Roman"/>
                <w:sz w:val="14"/>
              </w:rPr>
              <w:t>0.952 (10)</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0.914 (8)</w:t>
            </w:r>
          </w:p>
        </w:tc>
        <w:tc>
          <w:tcPr>
            <w:tcW w:type="dxa" w:w="1205"/>
          </w:tcPr>
          <w:p>
            <w:r>
              <w:rPr>
                <w:rFonts w:ascii="Times New Roman" w:hAnsi="Times New Roman" w:cs="Times New Roman" w:eastAsia="Times New Roman"/>
                <w:sz w:val="14"/>
              </w:rPr>
              <w:t>0.844 (31)</w:t>
            </w:r>
          </w:p>
        </w:tc>
        <w:tc>
          <w:tcPr>
            <w:tcW w:type="dxa" w:w="1205"/>
          </w:tcPr>
          <w:p>
            <w:r>
              <w:rPr>
                <w:rFonts w:ascii="Times New Roman" w:hAnsi="Times New Roman" w:cs="Times New Roman" w:eastAsia="Times New Roman"/>
                <w:sz w:val="14"/>
              </w:rPr>
              <w:t>0.905 (3)</w:t>
            </w:r>
          </w:p>
        </w:tc>
        <w:tc>
          <w:tcPr>
            <w:tcW w:type="dxa" w:w="1205"/>
          </w:tcPr>
          <w:p>
            <w:r>
              <w:rPr>
                <w:rFonts w:ascii="Times New Roman" w:hAnsi="Times New Roman" w:cs="Times New Roman" w:eastAsia="Times New Roman"/>
                <w:sz w:val="14"/>
              </w:rPr>
              <w:t>0.899 (4)</w:t>
            </w:r>
          </w:p>
        </w:tc>
        <w:tc>
          <w:tcPr>
            <w:tcW w:type="dxa" w:w="1205"/>
          </w:tcPr>
          <w:p>
            <w:r>
              <w:rPr>
                <w:rFonts w:ascii="Times New Roman" w:hAnsi="Times New Roman" w:cs="Times New Roman" w:eastAsia="Times New Roman"/>
                <w:sz w:val="14"/>
              </w:rPr>
              <w:t>0.860 (25)</w:t>
            </w:r>
          </w:p>
        </w:tc>
        <w:tc>
          <w:tcPr>
            <w:tcW w:type="dxa" w:w="1205"/>
          </w:tcPr>
          <w:p>
            <w:r>
              <w:rPr>
                <w:rFonts w:ascii="Times New Roman" w:hAnsi="Times New Roman" w:cs="Times New Roman" w:eastAsia="Times New Roman"/>
                <w:sz w:val="14"/>
              </w:rPr>
              <w:t>0.822 (1)</w:t>
            </w:r>
          </w:p>
        </w:tc>
        <w:tc>
          <w:tcPr>
            <w:tcW w:type="dxa" w:w="1205"/>
          </w:tcPr>
          <w:p>
            <w:r>
              <w:rPr>
                <w:rFonts w:ascii="Times New Roman" w:hAnsi="Times New Roman" w:cs="Times New Roman" w:eastAsia="Times New Roman"/>
                <w:sz w:val="14"/>
              </w:rPr>
              <w:t>0.862 (7)</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sz w:val="14"/>
              </w:rPr>
              <w:t>0.943 (15)</w:t>
            </w:r>
          </w:p>
        </w:tc>
        <w:tc>
          <w:tcPr>
            <w:tcW w:type="dxa" w:w="1205"/>
          </w:tcPr>
          <w:p>
            <w:r>
              <w:rPr>
                <w:rFonts w:ascii="Times New Roman" w:hAnsi="Times New Roman" w:cs="Times New Roman" w:eastAsia="Times New Roman"/>
                <w:sz w:val="14"/>
              </w:rPr>
              <w:t>0.936 (32)</w:t>
            </w:r>
          </w:p>
        </w:tc>
        <w:tc>
          <w:tcPr>
            <w:tcW w:type="dxa" w:w="1205"/>
          </w:tcPr>
          <w:p>
            <w:r>
              <w:rPr>
                <w:rFonts w:ascii="Times New Roman" w:hAnsi="Times New Roman" w:cs="Times New Roman" w:eastAsia="Times New Roman"/>
                <w:sz w:val="14"/>
              </w:rPr>
              <w:t>0.923 (26)</w:t>
            </w:r>
          </w:p>
        </w:tc>
        <w:tc>
          <w:tcPr>
            <w:tcW w:type="dxa" w:w="1205"/>
          </w:tcPr>
          <w:p>
            <w:r>
              <w:rPr>
                <w:rFonts w:ascii="Times New Roman" w:hAnsi="Times New Roman" w:cs="Times New Roman" w:eastAsia="Times New Roman"/>
                <w:b/>
                <w:sz w:val="14"/>
              </w:rPr>
              <w:t>0.954 (15)</w:t>
            </w:r>
          </w:p>
        </w:tc>
        <w:tc>
          <w:tcPr>
            <w:tcW w:type="dxa" w:w="1205"/>
          </w:tcPr>
          <w:p>
            <w:r>
              <w:rPr>
                <w:rFonts w:ascii="Times New Roman" w:hAnsi="Times New Roman" w:cs="Times New Roman" w:eastAsia="Times New Roman"/>
                <w:sz w:val="14"/>
              </w:rPr>
              <w:t>0.949 (25)</w:t>
            </w:r>
          </w:p>
        </w:tc>
        <w:tc>
          <w:tcPr>
            <w:tcW w:type="dxa" w:w="1205"/>
          </w:tcPr>
          <w:p>
            <w:r>
              <w:rPr>
                <w:rFonts w:ascii="Times New Roman" w:hAnsi="Times New Roman" w:cs="Times New Roman" w:eastAsia="Times New Roman"/>
                <w:sz w:val="14"/>
              </w:rPr>
              <w:t>0.522 (1)</w:t>
            </w:r>
          </w:p>
        </w:tc>
        <w:tc>
          <w:tcPr>
            <w:tcW w:type="dxa" w:w="1205"/>
          </w:tcPr>
          <w:p>
            <w:r>
              <w:rPr>
                <w:rFonts w:ascii="Times New Roman" w:hAnsi="Times New Roman" w:cs="Times New Roman" w:eastAsia="Times New Roman"/>
                <w:sz w:val="14"/>
              </w:rPr>
              <w:t>0.614 (12)</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sz w:val="14"/>
              </w:rPr>
              <w:t>0.820 (16)</w:t>
            </w:r>
          </w:p>
        </w:tc>
        <w:tc>
          <w:tcPr>
            <w:tcW w:type="dxa" w:w="1205"/>
          </w:tcPr>
          <w:p>
            <w:r>
              <w:rPr>
                <w:rFonts w:ascii="Times New Roman" w:hAnsi="Times New Roman" w:cs="Times New Roman" w:eastAsia="Times New Roman"/>
                <w:sz w:val="14"/>
              </w:rPr>
              <w:t>0.812 (26)</w:t>
            </w:r>
          </w:p>
        </w:tc>
        <w:tc>
          <w:tcPr>
            <w:tcW w:type="dxa" w:w="1205"/>
          </w:tcPr>
          <w:p>
            <w:r>
              <w:rPr>
                <w:rFonts w:ascii="Times New Roman" w:hAnsi="Times New Roman" w:cs="Times New Roman" w:eastAsia="Times New Roman"/>
                <w:sz w:val="14"/>
              </w:rPr>
              <w:t>0.786 (23)</w:t>
            </w:r>
          </w:p>
        </w:tc>
        <w:tc>
          <w:tcPr>
            <w:tcW w:type="dxa" w:w="1205"/>
          </w:tcPr>
          <w:p>
            <w:r>
              <w:rPr>
                <w:rFonts w:ascii="Times New Roman" w:hAnsi="Times New Roman" w:cs="Times New Roman" w:eastAsia="Times New Roman"/>
                <w:b/>
                <w:sz w:val="14"/>
              </w:rPr>
              <w:t>0.837 (15)</w:t>
            </w:r>
          </w:p>
        </w:tc>
        <w:tc>
          <w:tcPr>
            <w:tcW w:type="dxa" w:w="1205"/>
          </w:tcPr>
          <w:p>
            <w:r>
              <w:rPr>
                <w:rFonts w:ascii="Times New Roman" w:hAnsi="Times New Roman" w:cs="Times New Roman" w:eastAsia="Times New Roman"/>
                <w:sz w:val="14"/>
              </w:rPr>
              <w:t>0.812 (25)</w:t>
            </w:r>
          </w:p>
        </w:tc>
        <w:tc>
          <w:tcPr>
            <w:tcW w:type="dxa" w:w="1205"/>
          </w:tcPr>
          <w:p>
            <w:r>
              <w:rPr>
                <w:rFonts w:ascii="Times New Roman" w:hAnsi="Times New Roman" w:cs="Times New Roman" w:eastAsia="Times New Roman"/>
                <w:sz w:val="14"/>
              </w:rPr>
              <w:t>0.503 (1)</w:t>
            </w:r>
          </w:p>
        </w:tc>
        <w:tc>
          <w:tcPr>
            <w:tcW w:type="dxa" w:w="1205"/>
          </w:tcPr>
          <w:p>
            <w:r>
              <w:rPr>
                <w:rFonts w:ascii="Times New Roman" w:hAnsi="Times New Roman" w:cs="Times New Roman" w:eastAsia="Times New Roman"/>
                <w:sz w:val="14"/>
              </w:rPr>
              <w:t>0.786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0.894 (19)</w:t>
            </w:r>
          </w:p>
        </w:tc>
        <w:tc>
          <w:tcPr>
            <w:tcW w:type="dxa" w:w="1205"/>
          </w:tcPr>
          <w:p>
            <w:r>
              <w:rPr>
                <w:rFonts w:ascii="Times New Roman" w:hAnsi="Times New Roman" w:cs="Times New Roman" w:eastAsia="Times New Roman"/>
                <w:sz w:val="14"/>
              </w:rPr>
              <w:t>0.808 (59)</w:t>
            </w:r>
          </w:p>
        </w:tc>
        <w:tc>
          <w:tcPr>
            <w:tcW w:type="dxa" w:w="1205"/>
          </w:tcPr>
          <w:p>
            <w:r>
              <w:rPr>
                <w:rFonts w:ascii="Times New Roman" w:hAnsi="Times New Roman" w:cs="Times New Roman" w:eastAsia="Times New Roman"/>
                <w:sz w:val="14"/>
              </w:rPr>
              <w:t>0.852 (18)</w:t>
            </w:r>
          </w:p>
        </w:tc>
        <w:tc>
          <w:tcPr>
            <w:tcW w:type="dxa" w:w="1205"/>
          </w:tcPr>
          <w:p>
            <w:r>
              <w:rPr>
                <w:rFonts w:ascii="Times New Roman" w:hAnsi="Times New Roman" w:cs="Times New Roman" w:eastAsia="Times New Roman"/>
                <w:sz w:val="14"/>
              </w:rPr>
              <w:t>0.820 (8)</w:t>
            </w:r>
          </w:p>
        </w:tc>
        <w:tc>
          <w:tcPr>
            <w:tcW w:type="dxa" w:w="1205"/>
          </w:tcPr>
          <w:p>
            <w:r>
              <w:rPr>
                <w:rFonts w:ascii="Times New Roman" w:hAnsi="Times New Roman" w:cs="Times New Roman" w:eastAsia="Times New Roman"/>
                <w:sz w:val="14"/>
              </w:rPr>
              <w:t>0.822 (25)</w:t>
            </w:r>
          </w:p>
        </w:tc>
        <w:tc>
          <w:tcPr>
            <w:tcW w:type="dxa" w:w="1205"/>
          </w:tcPr>
          <w:p>
            <w:r>
              <w:rPr>
                <w:rFonts w:ascii="Times New Roman" w:hAnsi="Times New Roman" w:cs="Times New Roman" w:eastAsia="Times New Roman"/>
                <w:sz w:val="14"/>
              </w:rPr>
              <w:t>0.686 (1)</w:t>
            </w:r>
          </w:p>
        </w:tc>
        <w:tc>
          <w:tcPr>
            <w:tcW w:type="dxa" w:w="1205"/>
          </w:tcPr>
          <w:p>
            <w:r>
              <w:rPr>
                <w:rFonts w:ascii="Times New Roman" w:hAnsi="Times New Roman" w:cs="Times New Roman" w:eastAsia="Times New Roman"/>
                <w:sz w:val="14"/>
              </w:rPr>
              <w:t>0.787 (16)</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sz w:val="14"/>
              </w:rPr>
              <w:t>0.881 (563)</w:t>
            </w:r>
          </w:p>
        </w:tc>
        <w:tc>
          <w:tcPr>
            <w:tcW w:type="dxa" w:w="1205"/>
          </w:tcPr>
          <w:p>
            <w:r>
              <w:rPr>
                <w:rFonts w:ascii="Times New Roman" w:hAnsi="Times New Roman" w:cs="Times New Roman" w:eastAsia="Times New Roman"/>
                <w:b/>
                <w:sz w:val="14"/>
              </w:rPr>
              <w:t>0.957 (64)</w:t>
            </w:r>
          </w:p>
        </w:tc>
        <w:tc>
          <w:tcPr>
            <w:tcW w:type="dxa" w:w="1205"/>
          </w:tcPr>
          <w:p>
            <w:r>
              <w:rPr>
                <w:rFonts w:ascii="Times New Roman" w:hAnsi="Times New Roman" w:cs="Times New Roman" w:eastAsia="Times New Roman"/>
                <w:sz w:val="14"/>
              </w:rPr>
              <w:t>0.907 (6)</w:t>
            </w:r>
          </w:p>
        </w:tc>
        <w:tc>
          <w:tcPr>
            <w:tcW w:type="dxa" w:w="1205"/>
          </w:tcPr>
          <w:p>
            <w:r>
              <w:rPr>
                <w:rFonts w:ascii="Times New Roman" w:hAnsi="Times New Roman" w:cs="Times New Roman" w:eastAsia="Times New Roman"/>
                <w:sz w:val="14"/>
              </w:rPr>
              <w:t>0.907 (11)</w:t>
            </w:r>
          </w:p>
        </w:tc>
        <w:tc>
          <w:tcPr>
            <w:tcW w:type="dxa" w:w="1205"/>
          </w:tcPr>
          <w:p>
            <w:r>
              <w:rPr>
                <w:rFonts w:ascii="Times New Roman" w:hAnsi="Times New Roman" w:cs="Times New Roman" w:eastAsia="Times New Roman"/>
                <w:sz w:val="14"/>
              </w:rPr>
              <w:t>0.902 (25)</w:t>
            </w:r>
          </w:p>
        </w:tc>
        <w:tc>
          <w:tcPr>
            <w:tcW w:type="dxa" w:w="1205"/>
          </w:tcPr>
          <w:p>
            <w:r>
              <w:rPr>
                <w:rFonts w:ascii="Times New Roman" w:hAnsi="Times New Roman" w:cs="Times New Roman" w:eastAsia="Times New Roman"/>
                <w:sz w:val="14"/>
              </w:rPr>
              <w:t>0.836 (3)</w:t>
            </w:r>
          </w:p>
        </w:tc>
        <w:tc>
          <w:tcPr>
            <w:tcW w:type="dxa" w:w="1205"/>
          </w:tcPr>
          <w:p>
            <w:r>
              <w:rPr>
                <w:rFonts w:ascii="Times New Roman" w:hAnsi="Times New Roman" w:cs="Times New Roman" w:eastAsia="Times New Roman"/>
                <w:sz w:val="14"/>
              </w:rPr>
              <w:t>0.794 (324)</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sz w:val="14"/>
              </w:rPr>
              <w:t>0.986 (940)</w:t>
            </w:r>
          </w:p>
        </w:tc>
        <w:tc>
          <w:tcPr>
            <w:tcW w:type="dxa" w:w="1205"/>
          </w:tcPr>
          <w:p>
            <w:r>
              <w:rPr>
                <w:rFonts w:ascii="Times New Roman" w:hAnsi="Times New Roman" w:cs="Times New Roman" w:eastAsia="Times New Roman"/>
                <w:b/>
                <w:sz w:val="14"/>
              </w:rPr>
              <w:t>0.998 (23)</w:t>
            </w:r>
          </w:p>
        </w:tc>
        <w:tc>
          <w:tcPr>
            <w:tcW w:type="dxa" w:w="1205"/>
          </w:tcPr>
          <w:p>
            <w:r>
              <w:rPr>
                <w:rFonts w:ascii="Times New Roman" w:hAnsi="Times New Roman" w:cs="Times New Roman" w:eastAsia="Times New Roman"/>
                <w:sz w:val="14"/>
              </w:rPr>
              <w:t>0.989 (6)</w:t>
            </w:r>
          </w:p>
        </w:tc>
        <w:tc>
          <w:tcPr>
            <w:tcW w:type="dxa" w:w="1205"/>
          </w:tcPr>
          <w:p>
            <w:r>
              <w:rPr>
                <w:rFonts w:ascii="Times New Roman" w:hAnsi="Times New Roman" w:cs="Times New Roman" w:eastAsia="Times New Roman"/>
                <w:sz w:val="14"/>
              </w:rPr>
              <w:t>0.978 (10)</w:t>
            </w:r>
          </w:p>
        </w:tc>
        <w:tc>
          <w:tcPr>
            <w:tcW w:type="dxa" w:w="1205"/>
          </w:tcPr>
          <w:p>
            <w:r>
              <w:rPr>
                <w:rFonts w:ascii="Times New Roman" w:hAnsi="Times New Roman" w:cs="Times New Roman" w:eastAsia="Times New Roman"/>
                <w:sz w:val="14"/>
              </w:rPr>
              <w:t>0.981 (25)</w:t>
            </w:r>
          </w:p>
        </w:tc>
        <w:tc>
          <w:tcPr>
            <w:tcW w:type="dxa" w:w="1205"/>
          </w:tcPr>
          <w:p>
            <w:r>
              <w:rPr>
                <w:rFonts w:ascii="Times New Roman" w:hAnsi="Times New Roman" w:cs="Times New Roman" w:eastAsia="Times New Roman"/>
                <w:sz w:val="14"/>
              </w:rPr>
              <w:t>0.963 (30)</w:t>
            </w:r>
          </w:p>
        </w:tc>
        <w:tc>
          <w:tcPr>
            <w:tcW w:type="dxa" w:w="1205"/>
          </w:tcPr>
          <w:p>
            <w:r>
              <w:rPr>
                <w:rFonts w:ascii="Times New Roman" w:hAnsi="Times New Roman" w:cs="Times New Roman" w:eastAsia="Times New Roman"/>
                <w:sz w:val="14"/>
              </w:rPr>
              <w:t>0.892 (419)</w:t>
            </w:r>
          </w:p>
        </w:tc>
      </w:tr>
    </w:tbl>
    <w:p>
      <w:pPr>
        <w:jc w:val="left"/>
      </w:pPr>
      <w:r>
        <w:rPr>
          <w:rFonts w:ascii="Times New Roman" w:hAnsi="Times New Roman" w:cs="Times New Roman" w:eastAsia="Times New Roman"/>
          <w:sz w:val="18"/>
        </w:rPr>
        <w:t>Table 6 Full 18-dataset comparison of RG-SCSO against five classical filter/embedded/wrapper selectors and a Concrete-Autoencoder deep feature selector (CAE); accuracy with mean selected-feature count in parentheses, 30 runs, identical stratified 5-fold KNN evaluator, bold = best accuracy per dataset. RG-SCSO has the best accuracy of all methods on 12 of 18 datasets and is significantly more accurate (Holm-corrected Wilcoxon over the 18 datasets) than MI-thresholding, SFS, mRMR, and LASSO; the one classical method it does not significantly beat is ReliefF (RG better on 13/18, p=0.2). The CAE, matched to RG-SCSO's per-dataset subset size, is the weakest selector on these small-sample datasets. LASSO and mRMR lead on the two gene-expression (p &gt;&gt; n) sets.</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Wrapper</w:t>
            </w:r>
          </w:p>
        </w:tc>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Mean Acc. ± SD</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b/>
                <w:sz w:val="16"/>
              </w:rPr>
              <w:t>KNN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0.944±0.048</w:t>
            </w:r>
          </w:p>
        </w:tc>
        <w:tc>
          <w:tcPr>
            <w:tcW w:type="dxa" w:w="2409"/>
          </w:tcPr>
          <w:p>
            <w:r>
              <w:rPr>
                <w:rFonts w:ascii="Times New Roman" w:hAnsi="Times New Roman" w:cs="Times New Roman" w:eastAsia="Times New Roman"/>
                <w:b/>
                <w:sz w:val="16"/>
              </w:rPr>
              <w:t>308.2</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0.938±0.057</w:t>
            </w:r>
          </w:p>
        </w:tc>
        <w:tc>
          <w:tcPr>
            <w:tcW w:type="dxa" w:w="2409"/>
          </w:tcPr>
          <w:p>
            <w:r>
              <w:rPr>
                <w:rFonts w:ascii="Times New Roman" w:hAnsi="Times New Roman" w:cs="Times New Roman" w:eastAsia="Times New Roman"/>
                <w:sz w:val="16"/>
              </w:rPr>
              <w:t>565.8</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0.935±0.060</w:t>
            </w:r>
          </w:p>
        </w:tc>
        <w:tc>
          <w:tcPr>
            <w:tcW w:type="dxa" w:w="2409"/>
          </w:tcPr>
          <w:p>
            <w:r>
              <w:rPr>
                <w:rFonts w:ascii="Times New Roman" w:hAnsi="Times New Roman" w:cs="Times New Roman" w:eastAsia="Times New Roman"/>
                <w:sz w:val="16"/>
              </w:rPr>
              <w:t>545.1</w:t>
            </w:r>
          </w:p>
        </w:tc>
      </w:tr>
      <w:tr>
        <w:tc>
          <w:tcPr>
            <w:tcW w:type="dxa" w:w="2409"/>
          </w:tcPr>
          <w:p>
            <w:r>
              <w:rPr>
                <w:rFonts w:ascii="Times New Roman" w:hAnsi="Times New Roman" w:cs="Times New Roman" w:eastAsia="Times New Roman"/>
                <w:b/>
                <w:sz w:val="16"/>
              </w:rPr>
              <w:t>SVM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0.949±0.044</w:t>
            </w:r>
          </w:p>
        </w:tc>
        <w:tc>
          <w:tcPr>
            <w:tcW w:type="dxa" w:w="2409"/>
          </w:tcPr>
          <w:p>
            <w:r>
              <w:rPr>
                <w:rFonts w:ascii="Times New Roman" w:hAnsi="Times New Roman" w:cs="Times New Roman" w:eastAsia="Times New Roman"/>
                <w:b/>
                <w:sz w:val="16"/>
              </w:rPr>
              <w:t>299.1</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0.948±0.047</w:t>
            </w:r>
          </w:p>
        </w:tc>
        <w:tc>
          <w:tcPr>
            <w:tcW w:type="dxa" w:w="2409"/>
          </w:tcPr>
          <w:p>
            <w:r>
              <w:rPr>
                <w:rFonts w:ascii="Times New Roman" w:hAnsi="Times New Roman" w:cs="Times New Roman" w:eastAsia="Times New Roman"/>
                <w:sz w:val="16"/>
              </w:rPr>
              <w:t>555.2</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0.947±0.047</w:t>
            </w:r>
          </w:p>
        </w:tc>
        <w:tc>
          <w:tcPr>
            <w:tcW w:type="dxa" w:w="2409"/>
          </w:tcPr>
          <w:p>
            <w:r>
              <w:rPr>
                <w:rFonts w:ascii="Times New Roman" w:hAnsi="Times New Roman" w:cs="Times New Roman" w:eastAsia="Times New Roman"/>
                <w:sz w:val="16"/>
              </w:rPr>
              <w:t>537.5</w:t>
            </w:r>
          </w:p>
        </w:tc>
      </w:tr>
      <w:tr>
        <w:tc>
          <w:tcPr>
            <w:tcW w:type="dxa" w:w="2409"/>
          </w:tcPr>
          <w:p>
            <w:r>
              <w:rPr>
                <w:rFonts w:ascii="Times New Roman" w:hAnsi="Times New Roman" w:cs="Times New Roman" w:eastAsia="Times New Roman"/>
                <w:b/>
                <w:sz w:val="16"/>
              </w:rPr>
              <w:t>RF (10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0.952±0.046</w:t>
            </w:r>
          </w:p>
        </w:tc>
        <w:tc>
          <w:tcPr>
            <w:tcW w:type="dxa" w:w="2409"/>
          </w:tcPr>
          <w:p>
            <w:r>
              <w:rPr>
                <w:rFonts w:ascii="Times New Roman" w:hAnsi="Times New Roman" w:cs="Times New Roman" w:eastAsia="Times New Roman"/>
                <w:b/>
                <w:sz w:val="16"/>
              </w:rPr>
              <w:t>313.1</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571.6</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546.2</w:t>
            </w:r>
          </w:p>
        </w:tc>
      </w:tr>
    </w:tbl>
    <w:p>
      <w:pPr>
        <w:jc w:val="left"/>
      </w:pPr>
      <w:r>
        <w:rPr>
          <w:rFonts w:ascii="Times New Roman" w:hAnsi="Times New Roman" w:cs="Times New Roman" w:eastAsia="Times New Roman"/>
          <w:sz w:val="18"/>
        </w:rPr>
        <w:t>Table 7 Robustness across classifier wrappers and relevance priors, averaged over the same five representative datasets (Zoo, Sonar, WDBC, ColonCancer, Leukemia;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4. Discussion</w:t>
      </w:r>
    </w:p>
    <w:p>
      <w:pPr>
        <w:spacing w:line="360" w:lineRule="auto" w:after="200"/>
        <w:jc w:val="both"/>
      </w:pPr>
      <w:r>
        <w:rPr>
          <w:rFonts w:ascii="Times New Roman" w:hAnsi="Times New Roman" w:cs="Times New Roman" w:eastAsia="Times New Roman"/>
          <w:i w:val="0"/>
          <w:sz w:val="22"/>
        </w:rPr>
        <w:t>These results trace washout, a concrete failure mode of transfer-function-based binary feature selection, to its source, and cure it by moving the relevance signal directly inside the binarization operator rather than upstream of it in the objective or the initialization. The formal result motivating this design (Methods) is a diagnostic bound: it explains why continuous-space enhancements fail at the binarization boundary, but it is not a convergence guarantee for RG-SCSO itself. The underlying recipe, a filter prior coupled to a wrapper search with memetic refinement, is a known combination in the feature-selection literature. What is new is the injection point, together with a stringent evaluation protocol: budget-matching, a leak-free hold-out, cross-classifier and cross-prior robustness, and an explicit exploration-safety diagnostic. We report parsimony, not raw accuracy, as the transferable outcome of this choice.</w:t>
      </w:r>
    </w:p>
    <w:p>
      <w:pPr>
        <w:spacing w:line="360" w:lineRule="auto" w:after="200"/>
        <w:jc w:val="both"/>
      </w:pPr>
      <w:r>
        <w:rPr>
          <w:rFonts w:ascii="Times New Roman" w:hAnsi="Times New Roman" w:cs="Times New Roman" w:eastAsia="Times New Roman"/>
          <w:i w:val="0"/>
          <w:sz w:val="22"/>
        </w:rPr>
        <w:t>One pattern in Table 2 is worth flagging as descriptive rather than a validated finding: RG-SCSO's held-out accuracy margin over base SCSO is far larger on the three datasets with deterministic Boolean or categorical structure, M-of-n (+22.3 points), TicTacToe (+17.5), and KrVsKpEW (+11.7), than on the continuous-valued biomedical datasets, where the gap is typically 1–5 points. A plausible explanation is that a mutual-information field can lock onto a deterministic logical rule more sharply than a noisy continuous measurement, but this rests on only 3 of 18 datasets sharing that structure, with no held-out test targeting the explanation directly; we report the pattern rather than claim it, and leave a controlled test of it to future work.</w:t>
      </w:r>
    </w:p>
    <w:p>
      <w:pPr>
        <w:spacing w:line="360" w:lineRule="auto" w:after="200"/>
        <w:jc w:val="both"/>
      </w:pPr>
      <w:r>
        <w:rPr>
          <w:rFonts w:ascii="Times New Roman" w:hAnsi="Times New Roman" w:cs="Times New Roman" w:eastAsia="Times New Roman"/>
          <w:i w:val="0"/>
          <w:sz w:val="22"/>
        </w:rPr>
        <w:t xml:space="preserve">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w:t>
      </w:r>
      <m:oMath>
        <m:r>
          <w:rPr>
            <w:sz w:val="22"/>
            <w:szCs w:val="22"/>
          </w:rPr>
          <m:t xml:space="preserve">γ=0.5</m:t>
        </m:r>
      </m:oMath>
      <w:r>
        <w:rPr>
          <w:rFonts w:ascii="Times New Roman" w:hAnsi="Times New Roman" w:cs="Times New Roman" w:eastAsia="Times New Roman"/>
          <w:i w:val="0"/>
          <w:sz w:val="22"/>
        </w:rPr>
        <w:t xml:space="preserve">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entirely (Supplementary Information). RG-SCSO's compactness therefore depends on a prior that drives uninformative 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pPr>
        <w:spacing w:line="360" w:lineRule="auto" w:after="200"/>
        <w:jc w:val="both"/>
      </w:pPr>
      <w:r>
        <w:rPr>
          <w:rFonts w:ascii="Times New Roman" w:hAnsi="Times New Roman" w:cs="Times New Roman" w:eastAsia="Times New Roman"/>
          <w:i w:val="0"/>
          <w:sz w:val="22"/>
        </w:rPr>
        <w:t>The main objective is also a KNN wrapper. It was tested directly under SVM on 16 of the 18 datasets (the full per-dataset breakdown is in Supplementary Information; the remaining two datasets are excluded from the SVM check because an RBF-kernel SVM refit at every one of the wrapper's roughly 15,000 fitness evaluations per run is intractable within budget on the two largest-n datasets), and under Random Forest on the same five-dataset subset as Table 7. The parsimony advantage holds beyond KNN. Under Random Forest specifically it is a more consistent gain in subset size than in accuracy, and the ReliefF-prior degradation established above reproduces under every wrapper tested. The Random Forest check is reported at 10 independent runs per cell rather than 30, a predefined, compute-bound scope decision, as an RF-wrapper run refits a 100-tree ensemble at every fitness evaluation and costs roughly 22x the wall-clock of the KNN wrapper (Supplementary Information); it is therefore read as a directional robustness check rather than a fully powered test. The selected subset is smaller and more consistent in size than competing algorithms', but not necessarily more consistent in identity. Measured by the size- and chance-corrected Nogueira Phi (Fig. 9a), RG-SCSO exhibited more size-corrected feature-selection stability than the baseline SCSO across the evaluated datasets, clearest on the three lower-dimensional sets, yet on both gene-expression datasets RG-SCSO's own Phi is itself close to the level expected by chance, so a much smaller subset there is not a materially more repeatable one. The size correction matters here: an uncorrected pairwise Jaccard would rank AOA as the most 'stable' method only because it selects almost every feature every run (Fig. 9b), overlap that is an artifact of subset size rather than genuine repeatability; the raw-Jaccard values are reported as a metric-diagnostic in Supplementary Information to make this behaviour explicit rather than to headline a favourable number. The full per-dataset breakdown for both checks is in Supplementary Information.</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016604"/>
            <wp:docPr id="9" name="Picture 9"/>
            <wp:cNvGraphicFramePr>
              <a:graphicFrameLocks noChangeAspect="1"/>
            </wp:cNvGraphicFramePr>
            <a:graphic>
              <a:graphicData uri="http://schemas.openxmlformats.org/drawingml/2006/picture">
                <pic:pic>
                  <pic:nvPicPr>
                    <pic:cNvPr id="0" name="stability_metrics.png"/>
                    <pic:cNvPicPr/>
                  </pic:nvPicPr>
                  <pic:blipFill>
                    <a:blip r:embed="rId17"/>
                    <a:stretch>
                      <a:fillRect/>
                    </a:stretch>
                  </pic:blipFill>
                  <pic:spPr>
                    <a:xfrm>
                      <a:off x="0" y="0"/>
                      <a:ext cx="4846320" cy="2016604"/>
                    </a:xfrm>
                    <a:prstGeom prst="rect"/>
                  </pic:spPr>
                </pic:pic>
              </a:graphicData>
            </a:graphic>
          </wp:inline>
        </w:drawing>
      </w:r>
    </w:p>
    <w:p>
      <w:pPr>
        <w:jc w:val="center"/>
      </w:pPr>
      <w:r>
        <w:rPr>
          <w:rFonts w:ascii="Times New Roman" w:hAnsi="Times New Roman" w:cs="Times New Roman" w:eastAsia="Times New Roman"/>
          <w:sz w:val="17"/>
        </w:rPr>
        <w:t>Fig. 9. Feature-subset stability across the five representative datasets, 30 runs each. (a) Size- and chance-corrected Nogueira Phi: RG-SCSO exhibited more size-corrected run-to-run stability than the baseline SCSO on every evaluated dataset, while AOA sits at Phi about 0 (no better than chance). (b) Mean selected fraction, explaining why an uncorrected metric misleads: AOA selects about 98-99% of all features, so its subsets trivially overlap, whereas RG-SCSO selects the fewest. Raw pairwise Jaccard (confounded by this size imbalance) is provided only as a Supplementary diagnostic.</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pPr>
        <w:spacing w:line="360" w:lineRule="auto" w:after="200"/>
        <w:jc w:val="both"/>
      </w:pPr>
      <w:r>
        <w:rPr>
          <w:rFonts w:ascii="Times New Roman" w:hAnsi="Times New Roman" w:cs="Times New Roman" w:eastAsia="Times New Roman"/>
          <w:i w:val="0"/>
          <w:sz w:val="22"/>
        </w:rPr>
        <w:t>External validity has its own limits. Generalization here is assessed in the sense appropriate to a supervised feature-selection benchmark — held-out instances, cross-classifier, cross-prior, and cross-dimensionality evaluation; unseen-class generalization is not an applicable estimand for this task and is therefore not tested. The benchmark spans 8 to 3571 features across biomedical, gene-expression, and categorical domains drawn from a single curated family of UCI and standard microarray sets. Its top end (3571 features, Leukemia) is still an order of magnitude below the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-feature omics and high-dimensional text regimes where a binary-native, relevance-guided operator should matter most, so behaviour at that scale is extrapolated, not measured; a genuine &gt;10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-feature evaluation is deferred to future work because a full seven-optimizer, 30-run wrapper study at that dimensionality is compute-bound by the KNN fitness evaluations rather than by the relevance mechanism itself, and lies outside this study's fixed budget.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pPr>
        <w:spacing w:line="360" w:lineRule="auto" w:after="200"/>
        <w:jc w:val="both"/>
      </w:pPr>
      <w:r>
        <w:rPr>
          <w:rFonts w:ascii="Times New Roman" w:hAnsi="Times New Roman" w:cs="Times New Roman" w:eastAsia="Times New Roman"/>
          <w:i w:val="0"/>
          <w:sz w:val="22"/>
        </w:rPr>
        <w:t>Finally, the accuracy claim is scoped, not universal: against binary particle-swarm and grey-wolf optimizers we implement using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A further boundary is that the baselines are evaluated at their published/default control parameters under a shared protocol rather than individually re-tuned per dataset; this is a faithful-reproduction comparison, and a per-dataset tuning study of every competitor is left to future work. A final, deliberate scope boundary concerns the host optimizer: the robustness evaluated here is across classifiers, relevance priors, and dataset dimensionalities (RQ4), all within SCSO. Whether the same per-feature, relevance-modulated binarization operator transfers its benefit to other swarm optimizers was not evaluated in the present study and therefore remains an open direction for future work (Future work, item iii); accordingly we make no cross-optimizer generalization claim. These boundaries are gathered together, with the future work they motivate, in Conclusion below.</w:t>
      </w:r>
    </w:p>
    <w:p>
      <w:pPr>
        <w:pStyle w:val="Heading1"/>
      </w:pPr>
      <w:r>
        <w:rPr>
          <w:rFonts w:ascii="Times New Roman" w:hAnsi="Times New Roman" w:cs="Times New Roman" w:eastAsia="Times New Roman"/>
        </w:rPr>
        <w:t>5. Conclusion</w:t>
      </w:r>
    </w:p>
    <w:p>
      <w:pPr>
        <w:spacing w:line="360" w:lineRule="auto" w:after="200"/>
        <w:jc w:val="both"/>
      </w:pPr>
      <w:r>
        <w:rPr>
          <w:rFonts w:ascii="Times New Roman" w:hAnsi="Times New Roman" w:cs="Times New Roman" w:eastAsia="Times New Roman"/>
          <w:i w:val="0"/>
          <w:sz w:val="22"/>
        </w:rPr>
        <w:t>The results support RG-SCSO as a relevance-guided binary feature-selection method whose primary advantage is improved subset parsimony with competitive predictive performance under the tested conditions: across 18 benchmark datasets it selects the second-smallest feature subsets of any method evaluated, trailing only COA, while attaining the best mean held-out accuracy among all seven algorithms compared, under a fixed, fixed-budget, leak-free evaluation protocol (RQ1, RQ2).</w:t>
      </w:r>
    </w:p>
    <w:p>
      <w:pPr>
        <w:spacing w:line="360" w:lineRule="auto" w:after="200"/>
        <w:jc w:val="both"/>
      </w:pPr>
      <w:r>
        <w:rPr>
          <w:rFonts w:ascii="Times New Roman" w:hAnsi="Times New Roman" w:cs="Times New Roman" w:eastAsia="Times New Roman"/>
          <w:i w:val="0"/>
          <w:sz w:val="22"/>
        </w:rPr>
        <w:t>This advantage is not universal, and the boundaries established in Discussion above are real constraints, not caveats to be read past. RG-SCSO does not lead on accuracy against adaptive-transfer or same-family SCSO baselines, and LASSO outperforms it outright on the two extreme p &gt;&gt; n gene-expression datasets. Its parsimony depends on the relevance prior's quality: a ReliefF prior removes the advantage entirely. The preferred-bit threshold, while empirically reasonable, is not uniformly optimal. And the 8–3571-feature benchmark, drawn from a single curated dataset family, leaves behavior at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 xml:space="preserve"> features extrapolated rather than measured.</w:t>
      </w:r>
    </w:p>
    <w:p>
      <w:pPr>
        <w:spacing w:line="360" w:lineRule="auto" w:after="200"/>
        <w:jc w:val="both"/>
      </w:pPr>
      <w:r>
        <w:rPr>
          <w:rFonts w:ascii="Times New Roman" w:hAnsi="Times New Roman" w:cs="Times New Roman" w:eastAsia="Times New Roman"/>
          <w:i w:val="0"/>
          <w:sz w:val="22"/>
        </w:rPr>
        <w:t xml:space="preserve">In practical terms, RG-SCSO is a drop-in replacement for the binarization step of any SCSO-based wrapper, adding only a small, fixed set of hyperparameters (the modulation strength </w:t>
      </w:r>
      <m:oMath>
        <m:r>
          <w:rPr>
            <w:sz w:val="22"/>
            <w:szCs w:val="22"/>
          </w:rPr>
          <m:t xml:space="preserve">γ</m:t>
        </m:r>
      </m:oMath>
      <w:r>
        <w:rPr>
          <w:rFonts w:ascii="Times New Roman" w:hAnsi="Times New Roman" w:cs="Times New Roman" w:eastAsia="Times New Roman"/>
          <w:i w:val="0"/>
          <w:sz w:val="22"/>
        </w:rPr>
        <w:t xml:space="preserve">, the preferred-bit threshold </w:t>
      </w:r>
      <m:oMath>
        <m:r>
          <w:rPr>
            <w:sz w:val="22"/>
            <w:szCs w:val="22"/>
          </w:rPr>
          <m:t xml:space="preserve">τ</m:t>
        </m:r>
      </m:oMath>
      <w:r>
        <w:rPr>
          <w:rFonts w:ascii="Times New Roman" w:hAnsi="Times New Roman" w:cs="Times New Roman" w:eastAsia="Times New Roman"/>
          <w:i w:val="0"/>
          <w:sz w:val="22"/>
        </w:rPr>
        <w:t>, and the memetic budget K) that this paper shows are not fragile choices; its main practical payoff is a smaller, cheaper-to-store and cheaper-to-deploy feature subset at accuracy that matches or exceeds the swarm-based selectors it was compared against.</w:t>
      </w:r>
    </w:p>
    <w:p>
      <w:pPr>
        <w:spacing w:line="360" w:lineRule="auto" w:after="200"/>
        <w:jc w:val="both"/>
      </w:pPr>
      <w:r>
        <w:rPr>
          <w:rFonts w:ascii="Times New Roman" w:hAnsi="Times New Roman" w:cs="Times New Roman" w:eastAsia="Times New Roman"/>
          <w:b/>
          <w:sz w:val="22"/>
        </w:rPr>
        <w:t xml:space="preserve">Future work </w:t>
      </w:r>
      <w:r>
        <w:rPr>
          <w:rFonts w:ascii="Times New Roman" w:hAnsi="Times New Roman" w:cs="Times New Roman" w:eastAsia="Times New Roman"/>
          <w:sz w:val="22"/>
        </w:rPr>
        <w:t>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10</w:t>
      </w:r>
      <w:r>
        <w:rPr>
          <w:rFonts w:ascii="Times New Roman" w:hAnsi="Times New Roman" w:cs="Times New Roman" w:eastAsia="Times New Roman"/>
          <w:sz w:val="22"/>
          <w:vertAlign w:val="superscript"/>
        </w:rPr>
        <w:t>4</w:t>
      </w:r>
      <w:r>
        <w:rPr>
          <w:rFonts w:ascii="Times New Roman" w:hAnsi="Times New Roman" w:cs="Times New Roman" w:eastAsia="Times New Roman"/>
          <w:sz w:val="22"/>
        </w:rP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pPr>
        <w:pStyle w:val="Heading1"/>
      </w:pPr>
      <w:r>
        <w:rPr>
          <w:rFonts w:ascii="Times New Roman" w:hAnsi="Times New Roman" w:cs="Times New Roman" w:eastAsia="Times New Roman"/>
        </w:rPr>
        <w:t>6. Methods</w:t>
      </w:r>
    </w:p>
    <w:p>
      <w:pPr>
        <w:spacing w:line="360" w:lineRule="auto" w:after="200"/>
        <w:jc w:val="both"/>
      </w:pPr>
      <w:r>
        <w:rPr>
          <w:rFonts w:ascii="Times New Roman" w:hAnsi="Times New Roman" w:cs="Times New Roman" w:eastAsia="Times New Roman"/>
          <w:i w:val="0"/>
          <w:sz w:val="22"/>
        </w:rPr>
        <w:t>Table 8 collects the notation used throughout this section for reference.</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4819"/>
        <w:gridCol w:w="4819"/>
      </w:tblGrid>
      <w:tr>
        <w:trPr>
          <w:tblHeader w:val="true"/>
        </w:trPr>
        <w:tc>
          <w:tcPr>
            <w:tcW w:type="dxa" w:w="4819"/>
            <w:tcBorders>
              <w:bottom w:val="single" w:sz="6" w:space="0" w:color="000000"/>
            </w:tcBorders>
          </w:tcPr>
          <w:p>
            <w:r>
              <w:rPr>
                <w:rFonts w:ascii="Times New Roman" w:hAnsi="Times New Roman" w:cs="Times New Roman" w:eastAsia="Times New Roman"/>
                <w:b/>
                <w:sz w:val="16"/>
              </w:rPr>
              <w:t>Symbol</w:t>
            </w:r>
          </w:p>
        </w:tc>
        <w:tc>
          <w:tcPr>
            <w:tcW w:type="dxa" w:w="4819"/>
            <w:tcBorders>
              <w:bottom w:val="single" w:sz="6" w:space="0" w:color="000000"/>
            </w:tcBorders>
          </w:tcPr>
          <w:p>
            <w:r>
              <w:rPr>
                <w:rFonts w:ascii="Times New Roman" w:hAnsi="Times New Roman" w:cs="Times New Roman" w:eastAsia="Times New Roman"/>
                <w:b/>
                <w:sz w:val="16"/>
              </w:rPr>
              <w:t>Meaning</w:t>
            </w:r>
          </w:p>
        </w:tc>
      </w:tr>
      <w:tr>
        <w:tc>
          <w:tcPr>
            <w:tcW w:type="dxa" w:w="4819"/>
          </w:tcPr>
          <w:p>
            <m:oMath>
              <m:r>
                <w:rPr>
                  <w:sz w:val="16"/>
                  <w:szCs w:val="16"/>
                </w:rPr>
                <m:t xml:space="preserve">d</m:t>
              </m:r>
            </m:oMath>
          </w:p>
        </w:tc>
        <w:tc>
          <w:tcPr>
            <w:tcW w:type="dxa" w:w="4819"/>
          </w:tcPr>
          <w:p>
            <w:r>
              <w:rPr>
                <w:rFonts w:ascii="Times New Roman" w:hAnsi="Times New Roman" w:cs="Times New Roman" w:eastAsia="Times New Roman"/>
                <w:sz w:val="16"/>
              </w:rPr>
              <w:t>Total number of features (search-space dimension)</w:t>
            </w:r>
          </w:p>
        </w:tc>
      </w:tr>
      <w:tr>
        <w:tc>
          <w:tcPr>
            <w:tcW w:type="dxa" w:w="4819"/>
          </w:tcPr>
          <w:p>
            <m:oMath>
              <m:r>
                <w:rPr>
                  <w:sz w:val="16"/>
                  <w:szCs w:val="16"/>
                </w:rPr>
                <m:t xml:space="preserve">b ∈ </m:t>
              </m:r>
              <m:sSup>
                <m:e>
                  <m:r>
                    <w:rPr>
                      <w:sz w:val="16"/>
                      <w:szCs w:val="16"/>
                    </w:rPr>
                    <m:t xml:space="preserve">{0,1}</m:t>
                  </m:r>
                </m:e>
                <m:sup>
                  <m:r>
                    <w:rPr>
                      <w:sz w:val="16"/>
                      <w:szCs w:val="16"/>
                    </w:rPr>
                    <m:t xml:space="preserve">d</m:t>
                  </m:r>
                </m:sup>
              </m:sSup>
            </m:oMath>
          </w:p>
        </w:tc>
        <w:tc>
          <w:tcPr>
            <w:tcW w:type="dxa" w:w="4819"/>
          </w:tcPr>
          <w:p>
            <w:r>
              <w:rPr>
                <w:rFonts w:ascii="Times New Roman" w:hAnsi="Times New Roman" w:cs="Times New Roman" w:eastAsia="Times New Roman"/>
                <w:sz w:val="16"/>
              </w:rPr>
              <w:t>Candidate binary feature-subset mask</w:t>
            </w:r>
          </w:p>
        </w:tc>
      </w:tr>
      <w:tr>
        <w:tc>
          <w:tcPr>
            <w:tcW w:type="dxa" w:w="4819"/>
          </w:tcPr>
          <w:p>
            <m:oMath>
              <m:r>
                <w:rPr>
                  <w:sz w:val="16"/>
                  <w:szCs w:val="16"/>
                </w:rPr>
                <m:t xml:space="preserve">f</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Fitness function, Eq. (1)</w:t>
            </w:r>
          </w:p>
        </w:tc>
      </w:tr>
      <w:tr>
        <w:tc>
          <w:tcPr>
            <w:tcW w:type="dxa" w:w="4819"/>
          </w:tcPr>
          <w:p>
            <m:oMath>
              <m:r>
                <w:rPr>
                  <w:sz w:val="16"/>
                  <w:szCs w:val="16"/>
                </w:rPr>
                <m:t xml:space="preserve">Acc</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Stratified 5-fold KNN accuracy on subset b</w:t>
            </w:r>
          </w:p>
        </w:tc>
      </w:tr>
      <w:tr>
        <w:tc>
          <w:tcPr>
            <w:tcW w:type="dxa" w:w="4819"/>
          </w:tcPr>
          <w:p>
            <m:oMath>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Number of selected features (subset size)</w:t>
            </w:r>
          </w:p>
        </w:tc>
      </w:tr>
      <w:tr>
        <w:tc>
          <w:tcPr>
            <w:tcW w:type="dxa" w:w="4819"/>
          </w:tcPr>
          <w:p>
            <m:oMath>
              <m:r>
                <w:rPr>
                  <w:sz w:val="16"/>
                  <w:szCs w:val="16"/>
                </w:rPr>
                <m:t xml:space="preserve">λ</m:t>
              </m:r>
            </m:oMath>
          </w:p>
        </w:tc>
        <w:tc>
          <w:tcPr>
            <w:tcW w:type="dxa" w:w="4819"/>
          </w:tcPr>
          <w:p>
            <w:r>
              <w:rPr>
                <w:rFonts w:ascii="Times New Roman" w:hAnsi="Times New Roman" w:cs="Times New Roman" w:eastAsia="Times New Roman"/>
                <w:sz w:val="16"/>
              </w:rPr>
              <w:t>Cardinality weight in f(b) (deployed at 0.01; swept over {0, 0.001, 0.005, 0.01, 0.02, 0.05})</w:t>
            </w:r>
          </w:p>
        </w:tc>
      </w:tr>
      <w:tr>
        <w:tc>
          <w:tcPr>
            <w:tcW w:type="dxa" w:w="4819"/>
          </w:tcPr>
          <w:p>
            <m:oMath>
              <m:r>
                <w:rPr>
                  <w:sz w:val="16"/>
                  <w:szCs w:val="16"/>
                </w:rPr>
                <m:t xml:space="preserve">R</m:t>
              </m:r>
              <m:d>
                <m:dPr>
                  <m:begChr m:val="("/>
                  <m:endChr m:val=")"/>
                </m:dPr>
                <m:e>
                  <m:r>
                    <w:rPr>
                      <w:sz w:val="16"/>
                      <w:szCs w:val="16"/>
                    </w:rPr>
                    <m:t xml:space="preserve">t</m:t>
                  </m:r>
                </m:e>
              </m:d>
            </m:oMath>
          </w:p>
        </w:tc>
        <w:tc>
          <w:tcPr>
            <w:tcW w:type="dxa" w:w="4819"/>
          </w:tcPr>
          <w:p>
            <w:r>
              <w:rPr>
                <w:rFonts w:ascii="Times New Roman" w:hAnsi="Times New Roman" w:cs="Times New Roman" w:eastAsia="Times New Roman"/>
                <w:sz w:val="16"/>
              </w:rPr>
              <w:t>SCSO sensitivity range at iteration t</w:t>
            </w:r>
          </w:p>
        </w:tc>
      </w:tr>
      <w:tr>
        <w:tc>
          <w:tcPr>
            <w:tcW w:type="dxa" w:w="4819"/>
          </w:tcPr>
          <w:p>
            <m:oMath>
              <m:sSub>
                <m:e>
                  <m:r>
                    <w:rPr>
                      <w:sz w:val="16"/>
                      <w:szCs w:val="16"/>
                    </w:rPr>
                    <m:t xml:space="preserve">S</m:t>
                  </m:r>
                </m:e>
                <m:sub>
                  <m:r>
                    <w:rPr>
                      <w:sz w:val="16"/>
                      <w:szCs w:val="16"/>
                    </w:rPr>
                    <m:t xml:space="preserve">M</m:t>
                  </m:r>
                </m:sub>
              </m:sSub>
            </m:oMath>
          </w:p>
        </w:tc>
        <w:tc>
          <w:tcPr>
            <w:tcW w:type="dxa" w:w="4819"/>
          </w:tcPr>
          <w:p>
            <w:r>
              <w:rPr>
                <w:rFonts w:ascii="Times New Roman" w:hAnsi="Times New Roman" w:cs="Times New Roman" w:eastAsia="Times New Roman"/>
                <w:sz w:val="16"/>
              </w:rPr>
              <w:t>Maximum sensitivity range parameter (= 2)</w:t>
            </w:r>
          </w:p>
        </w:tc>
      </w:tr>
      <w:tr>
        <w:tc>
          <w:tcPr>
            <w:tcW w:type="dxa" w:w="4819"/>
          </w:tcPr>
          <w:p>
            <m:oMath>
              <m:sSub>
                <m:e>
                  <m:r>
                    <w:rPr>
                      <w:sz w:val="16"/>
                      <w:szCs w:val="16"/>
                    </w:rPr>
                    <m:t xml:space="preserve">T</m:t>
                  </m:r>
                </m:e>
                <m:sub>
                  <m:r>
                    <w:rPr>
                      <w:sz w:val="16"/>
                      <w:szCs w:val="16"/>
                    </w:rPr>
                    <m:t xml:space="preserve">max</m:t>
                  </m:r>
                </m:sub>
              </m:sSub>
            </m:oMath>
          </w:p>
        </w:tc>
        <w:tc>
          <w:tcPr>
            <w:tcW w:type="dxa" w:w="4819"/>
          </w:tcPr>
          <w:p>
            <w:r>
              <w:rPr>
                <w:rFonts w:ascii="Times New Roman" w:hAnsi="Times New Roman" w:cs="Times New Roman" w:eastAsia="Times New Roman"/>
                <w:sz w:val="16"/>
              </w:rPr>
              <w:t>Maximum number of iterations</w:t>
            </w:r>
          </w:p>
        </w:tc>
      </w:tr>
      <w:tr>
        <w:tc>
          <w:tcPr>
            <w:tcW w:type="dxa" w:w="4819"/>
          </w:tcPr>
          <w:p>
            <m:oMath>
              <m:r>
                <w:rPr>
                  <w:sz w:val="16"/>
                  <w:szCs w:val="16"/>
                </w:rPr>
                <m:t xml:space="preserve">T</m:t>
              </m:r>
              <m:d>
                <m:dPr>
                  <m:begChr m:val="("/>
                  <m:endChr m:val=")"/>
                </m:dPr>
                <m:e>
                  <m:r>
                    <w:rPr>
                      <w:sz w:val="16"/>
                      <w:szCs w:val="16"/>
                    </w:rPr>
                    <m:t xml:space="preserve">·</m:t>
                  </m:r>
                </m:e>
              </m:d>
            </m:oMath>
          </w:p>
        </w:tc>
        <w:tc>
          <w:tcPr>
            <w:tcW w:type="dxa" w:w="4819"/>
          </w:tcPr>
          <w:p>
            <w:r>
              <w:rPr>
                <w:rFonts w:ascii="Times New Roman" w:hAnsi="Times New Roman" w:cs="Times New Roman" w:eastAsia="Times New Roman"/>
                <w:sz w:val="16"/>
              </w:rPr>
              <w:t xml:space="preserve">Base/unmodulated continuous-to-binary transfer function, T: R </w:t>
            </w:r>
            <m:oMath>
              <m:r>
                <w:rPr>
                  <w:sz w:val="22"/>
                  <w:szCs w:val="22"/>
                </w:rPr>
                <m:t xml:space="preserve">→ [0,1]</m:t>
              </m:r>
            </m:oMath>
            <w:r>
              <w:rPr>
                <w:rFonts w:ascii="Times New Roman" w:hAnsi="Times New Roman" w:cs="Times New Roman" w:eastAsia="Times New Roman"/>
                <w:sz w:val="16"/>
              </w:rPr>
              <w:t xml:space="preserve"> (Lemma 1, Proposition 2; NOT RG-SCSO's own flip probability, which is p</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below)</w:t>
            </w:r>
          </w:p>
        </w:tc>
      </w:tr>
      <w:tr>
        <w:tc>
          <w:tcPr>
            <w:tcW w:type="dxa" w:w="4819"/>
          </w:tcPr>
          <w:p>
            <m:oMath>
              <m:sSub>
                <m:e>
                  <m:r>
                    <w:rPr>
                      <w:sz w:val="16"/>
                      <w:szCs w:val="16"/>
                    </w:rPr>
                    <m:t xml:space="preserve">x</m:t>
                  </m:r>
                </m:e>
                <m:sub>
                  <m:r>
                    <w:rPr>
                      <w:sz w:val="16"/>
                      <w:szCs w:val="16"/>
                    </w:rPr>
                    <m:t xml:space="preserve">j</m:t>
                  </m:r>
                </m:sub>
              </m:sSub>
            </m:oMath>
          </w:p>
        </w:tc>
        <w:tc>
          <w:tcPr>
            <w:tcW w:type="dxa" w:w="4819"/>
          </w:tcPr>
          <w:p>
            <w:r>
              <w:rPr>
                <w:rFonts w:ascii="Times New Roman" w:hAnsi="Times New Roman" w:cs="Times New Roman" w:eastAsia="Times New Roman"/>
                <w:sz w:val="16"/>
              </w:rPr>
              <w:t>Continuous position of feature 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Perturbation applied to x</w:t>
            </w:r>
            <w:r>
              <w:rPr>
                <w:rFonts w:ascii="Times New Roman" w:hAnsi="Times New Roman" w:cs="Times New Roman" w:eastAsia="Times New Roman"/>
                <w:sz w:val="16"/>
                <w:vertAlign w:val="subscript"/>
              </w:rPr>
              <w:t>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Induced change in bit-flip probability</w:t>
            </w:r>
          </w:p>
        </w:tc>
      </w:tr>
      <w:tr>
        <w:tc>
          <w:tcPr>
            <w:tcW w:type="dxa" w:w="4819"/>
          </w:tcPr>
          <w:p>
            <m:oMath>
              <m:sSub>
                <m:e>
                  <m:d>
                    <m:dPr>
                      <m:begChr m:val="‖"/>
                      <m:endChr m:val="‖"/>
                    </m:dPr>
                    <m:e>
                      <m:r>
                        <w:rPr>
                          <w:sz w:val="16"/>
                          <w:szCs w:val="16"/>
                        </w:rPr>
                        <m:t xml:space="preserve">T′</m:t>
                      </m:r>
                    </m:e>
                  </m:d>
                </m:e>
                <m:sub>
                  <m:r>
                    <w:rPr>
                      <w:sz w:val="16"/>
                      <w:szCs w:val="16"/>
                    </w:rPr>
                    <m:t xml:space="preserve">∞</m:t>
                  </m:r>
                </m:sub>
              </m:sSub>
            </m:oMath>
          </w:p>
        </w:tc>
        <w:tc>
          <w:tcPr>
            <w:tcW w:type="dxa" w:w="4819"/>
          </w:tcPr>
          <w:p>
            <w:r>
              <w:rPr>
                <w:rFonts w:ascii="Times New Roman" w:hAnsi="Times New Roman" w:cs="Times New Roman" w:eastAsia="Times New Roman"/>
                <w:sz w:val="16"/>
              </w:rPr>
              <w:t>Largest slope (Lipschitz bound) of the transfer function</w:t>
            </w:r>
          </w:p>
        </w:tc>
      </w:tr>
      <w:tr>
        <w:tc>
          <w:tcPr>
            <w:tcW w:type="dxa" w:w="4819"/>
          </w:tcPr>
          <w:p>
            <m:oMath>
              <m:r>
                <w:rPr>
                  <w:sz w:val="16"/>
                  <w:szCs w:val="16"/>
                </w:rPr>
                <m:t xml:space="preserve">ε</m:t>
              </m:r>
            </m:oMath>
          </w:p>
        </w:tc>
        <w:tc>
          <w:tcPr>
            <w:tcW w:type="dxa" w:w="4819"/>
          </w:tcPr>
          <w:p>
            <w:r>
              <w:rPr>
                <w:rFonts w:ascii="Times New Roman" w:hAnsi="Times New Roman" w:cs="Times New Roman" w:eastAsia="Times New Roman"/>
                <w:sz w:val="16"/>
              </w:rPr>
              <w:t>Slope bound in a flat/saturated region of T</w:t>
            </w:r>
          </w:p>
        </w:tc>
      </w:tr>
      <w:tr>
        <w:tc>
          <w:tcPr>
            <w:tcW w:type="dxa" w:w="4819"/>
          </w:tcPr>
          <w:p>
            <m:oMath>
              <m:r>
                <w:rPr>
                  <w:sz w:val="16"/>
                  <w:szCs w:val="16"/>
                </w:rPr>
                <m:t xml:space="preserve">γ</m:t>
              </m:r>
            </m:oMath>
          </w:p>
        </w:tc>
        <w:tc>
          <w:tcPr>
            <w:tcW w:type="dxa" w:w="4819"/>
          </w:tcPr>
          <w:p>
            <w:r>
              <w:rPr>
                <w:rFonts w:ascii="Times New Roman" w:hAnsi="Times New Roman" w:cs="Times New Roman" w:eastAsia="Times New Roman"/>
                <w:sz w:val="16"/>
              </w:rPr>
              <w:t>RMS modulation strength (bias intensity)</w:t>
            </w:r>
          </w:p>
        </w:tc>
      </w:tr>
      <w:tr>
        <w:tc>
          <w:tcPr>
            <w:tcW w:type="dxa" w:w="4819"/>
          </w:tcPr>
          <w:p>
            <m:oMath>
              <m:sSub>
                <m:e>
                  <m:r>
                    <w:rPr>
                      <w:sz w:val="16"/>
                      <w:szCs w:val="16"/>
                    </w:rPr>
                    <m:t xml:space="preserve">ρ</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Relevance score of feature j, </w:t>
            </w:r>
            <m:oMath>
              <m:sSub>
                <m:e>
                  <m:r>
                    <w:rPr>
                      <w:sz w:val="22"/>
                      <w:szCs w:val="22"/>
                    </w:rPr>
                    <m:t xml:space="preserve">ρ</m:t>
                  </m:r>
                </m:e>
                <m:sub>
                  <m:r>
                    <w:rPr>
                      <w:sz w:val="22"/>
                      <w:szCs w:val="22"/>
                    </w:rPr>
                    <m:t xml:space="preserve">j</m:t>
                  </m:r>
                </m:sub>
              </m:sSub>
              <m:r>
                <w:rPr>
                  <w:sz w:val="22"/>
                  <w:szCs w:val="22"/>
                </w:rPr>
                <m:t xml:space="preserve"> ∈ [0,1]</m:t>
              </m:r>
            </m:oMath>
          </w:p>
        </w:tc>
      </w:tr>
      <w:tr>
        <w:tc>
          <w:tcPr>
            <w:tcW w:type="dxa" w:w="4819"/>
          </w:tcPr>
          <w:p>
            <m:oMath>
              <m:sSub>
                <m:e>
                  <m:r>
                    <w:rPr>
                      <w:sz w:val="16"/>
                      <w:szCs w:val="16"/>
                    </w:rPr>
                    <m:t xml:space="preserve">b*</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Preferred bit value for feature j, </w:t>
            </w:r>
            <m:oMath>
              <m:r>
                <w:rPr>
                  <w:sz w:val="22"/>
                  <w:szCs w:val="22"/>
                </w:rPr>
                <m:t xml:space="preserve">1[</m:t>
              </m:r>
              <m:sSub>
                <m:e>
                  <m:r>
                    <w:rPr>
                      <w:sz w:val="22"/>
                      <w:szCs w:val="22"/>
                    </w:rPr>
                    <m:t xml:space="preserve">ρ</m:t>
                  </m:r>
                </m:e>
                <m:sub>
                  <m:r>
                    <w:rPr>
                      <w:sz w:val="22"/>
                      <w:szCs w:val="22"/>
                    </w:rPr>
                    <m:t xml:space="preserve">j</m:t>
                  </m:r>
                </m:sub>
              </m:sSub>
              <m:r>
                <w:rPr>
                  <w:sz w:val="22"/>
                  <w:szCs w:val="22"/>
                </w:rPr>
                <m:t xml:space="preserve"> &gt; 0.5]</m:t>
              </m:r>
            </m:oMath>
          </w:p>
        </w:tc>
      </w:tr>
      <w:tr>
        <w:tc>
          <w:tcPr>
            <w:tcW w:type="dxa" w:w="4819"/>
          </w:tcPr>
          <w:p>
            <m:oMath>
              <m:sSub>
                <m:e>
                  <m:r>
                    <w:rPr>
                      <w:sz w:val="16"/>
                      <w:szCs w:val="16"/>
                    </w:rPr>
                    <m:t xml:space="preserve">s</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Modulation strength, </w:t>
            </w:r>
            <m:oMath>
              <m:sSub>
                <m:e>
                  <m:r>
                    <w:rPr>
                      <w:sz w:val="22"/>
                      <w:szCs w:val="22"/>
                    </w:rPr>
                    <m:t xml:space="preserve">s</m:t>
                  </m:r>
                </m:e>
                <m:sub>
                  <m:r>
                    <w:rPr>
                      <w:sz w:val="22"/>
                      <w:szCs w:val="22"/>
                    </w:rPr>
                    <m:t xml:space="preserve">j</m:t>
                  </m:r>
                </m:sub>
              </m:sSub>
              <m:r>
                <w:rPr>
                  <w:sz w:val="22"/>
                  <w:szCs w:val="22"/>
                </w:rPr>
                <m:t xml:space="preserve"> = 2|</m:t>
              </m:r>
              <m:sSub>
                <m:e>
                  <m:r>
                    <w:rPr>
                      <w:sz w:val="22"/>
                      <w:szCs w:val="22"/>
                    </w:rPr>
                    <m:t xml:space="preserve">ρ</m:t>
                  </m:r>
                </m:e>
                <m:sub>
                  <m:r>
                    <w:rPr>
                      <w:sz w:val="22"/>
                      <w:szCs w:val="22"/>
                    </w:rPr>
                    <m:t xml:space="preserve">j</m:t>
                  </m:r>
                </m:sub>
              </m:sSub>
              <m:r>
                <w:rPr>
                  <w:sz w:val="22"/>
                  <w:szCs w:val="22"/>
                </w:rPr>
                <m:t xml:space="preserve"> − 0.5| ∈ [0,1]</m:t>
              </m:r>
            </m:oMath>
          </w:p>
        </w:tc>
      </w:tr>
      <w:tr>
        <w:tc>
          <w:tcPr>
            <w:tcW w:type="dxa" w:w="4819"/>
          </w:tcPr>
          <w:p>
            <m:oMath>
              <m:sSub>
                <m:e>
                  <m:r>
                    <w:rPr>
                      <w:sz w:val="16"/>
                      <w:szCs w:val="16"/>
                    </w:rPr>
                    <m:t xml:space="preserve">σ</m:t>
                  </m:r>
                </m:e>
                <m:sub>
                  <m:r>
                    <w:rPr>
                      <w:sz w:val="16"/>
                      <w:szCs w:val="16"/>
                    </w:rPr>
                    <m:t xml:space="preserve">j</m:t>
                  </m:r>
                </m:sub>
              </m:sSub>
            </m:oMath>
          </w:p>
        </w:tc>
        <w:tc>
          <w:tcPr>
            <w:tcW w:type="dxa" w:w="4819"/>
          </w:tcPr>
          <w:p>
            <w:r>
              <w:rPr>
                <w:rFonts w:ascii="Times New Roman" w:hAnsi="Times New Roman" w:cs="Times New Roman" w:eastAsia="Times New Roman"/>
                <w:sz w:val="16"/>
              </w:rPr>
              <w:t>Direction indicator (+1 toward b*</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−1 otherwise)</w:t>
            </w:r>
          </w:p>
        </w:tc>
      </w:tr>
      <w:tr>
        <w:tc>
          <w:tcPr>
            <w:tcW w:type="dxa" w:w="4819"/>
          </w:tcPr>
          <w:p>
            <m:oMath>
              <m:sSub>
                <m:e>
                  <m:r>
                    <w:rPr>
                      <w:sz w:val="16"/>
                      <w:szCs w:val="16"/>
                    </w:rPr>
                    <m:t xml:space="preserve">p</m:t>
                  </m:r>
                </m:e>
                <m:sub>
                  <m:r>
                    <w:rPr>
                      <w:sz w:val="16"/>
                      <w:szCs w:val="16"/>
                    </w:rPr>
                    <m:t xml:space="preserve">j</m:t>
                  </m:r>
                </m:sub>
              </m:sSub>
            </m:oMath>
          </w:p>
        </w:tc>
        <w:tc>
          <w:tcPr>
            <w:tcW w:type="dxa" w:w="4819"/>
          </w:tcPr>
          <w:p>
            <w:r>
              <w:rPr>
                <w:rFonts w:ascii="Times New Roman" w:hAnsi="Times New Roman" w:cs="Times New Roman" w:eastAsia="Times New Roman"/>
                <w:sz w:val="16"/>
              </w:rPr>
              <w:t>RMS-modulated flip probability for feature j, Eq. (2)</w:t>
            </w:r>
          </w:p>
        </w:tc>
      </w:tr>
      <w:tr>
        <w:tc>
          <w:tcPr>
            <w:tcW w:type="dxa" w:w="4819"/>
          </w:tcPr>
          <w:p>
            <m:oMath>
              <m:r>
                <w:rPr>
                  <w:sz w:val="16"/>
                  <w:szCs w:val="16"/>
                </w:rPr>
                <m:t xml:space="preserve">V</m:t>
              </m:r>
              <m:d>
                <m:dPr>
                  <m:begChr m:val="("/>
                  <m:endChr m:val=")"/>
                </m:dPr>
                <m:e>
                  <m:sSub>
                    <m:e>
                      <m:r>
                        <w:rPr>
                          <w:sz w:val="16"/>
                          <w:szCs w:val="16"/>
                        </w:rPr>
                        <m:t xml:space="preserve">x</m:t>
                      </m:r>
                    </m:e>
                    <m:sub>
                      <m:r>
                        <w:rPr>
                          <w:sz w:val="16"/>
                          <w:szCs w:val="16"/>
                        </w:rPr>
                        <m:t xml:space="preserve">j</m:t>
                      </m:r>
                    </m:sub>
                  </m:sSub>
                </m:e>
              </m:d>
            </m:oMath>
          </w:p>
        </w:tc>
        <w:tc>
          <w:tcPr>
            <w:tcW w:type="dxa" w:w="4819"/>
          </w:tcPr>
          <w:p>
            <w:r>
              <w:rPr>
                <w:rFonts w:ascii="Times New Roman" w:hAnsi="Times New Roman" w:cs="Times New Roman" w:eastAsia="Times New Roman"/>
                <w:sz w:val="16"/>
              </w:rPr>
              <w:t>V-shaped base transfer, |tanh(x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w:t>
            </w:r>
          </w:p>
        </w:tc>
      </w:tr>
      <w:tr>
        <w:tc>
          <w:tcPr>
            <w:tcW w:type="dxa" w:w="4819"/>
          </w:tcPr>
          <w:p>
            <m:oMath>
              <m:r>
                <w:rPr>
                  <w:sz w:val="16"/>
                  <w:szCs w:val="16"/>
                </w:rPr>
                <m:t xml:space="preserve">τ</m:t>
              </m:r>
            </m:oMath>
          </w:p>
        </w:tc>
        <w:tc>
          <w:tcPr>
            <w:tcW w:type="dxa" w:w="4819"/>
          </w:tcPr>
          <w:p>
            <w:r>
              <w:rPr>
                <w:rFonts w:ascii="Times New Roman" w:hAnsi="Times New Roman" w:cs="Times New Roman" w:eastAsia="Times New Roman"/>
                <w:sz w:val="16"/>
              </w:rPr>
              <w:t>Preferred-bit threshold (deployed at 0.5; swept over {0.4, 0.5, 0.6})</w:t>
            </w:r>
          </w:p>
        </w:tc>
      </w:tr>
      <w:tr>
        <w:tc>
          <w:tcPr>
            <w:tcW w:type="dxa" w:w="4819"/>
          </w:tcPr>
          <w:p>
            <m:oMath>
              <m:sSub>
                <m:e>
                  <m:r>
                    <w:rPr>
                      <w:sz w:val="16"/>
                      <w:szCs w:val="16"/>
                    </w:rPr>
                    <m:t xml:space="preserve">ρ</m:t>
                  </m:r>
                </m:e>
                <m:sub>
                  <m:r>
                    <w:rPr>
                      <w:sz w:val="16"/>
                      <w:szCs w:val="16"/>
                    </w:rPr>
                    <m:t xml:space="preserve">static</m:t>
                  </m:r>
                </m:sub>
              </m:sSub>
            </m:oMath>
          </w:p>
        </w:tc>
        <w:tc>
          <w:tcPr>
            <w:tcW w:type="dxa" w:w="4819"/>
          </w:tcPr>
          <w:p>
            <w:r>
              <w:rPr>
                <w:rFonts w:ascii="Times New Roman" w:hAnsi="Times New Roman" w:cs="Times New Roman" w:eastAsia="Times New Roman"/>
                <w:sz w:val="16"/>
              </w:rPr>
              <w:t>Static mutual-information relevance prior</w:t>
            </w:r>
          </w:p>
        </w:tc>
      </w:tr>
      <w:tr>
        <w:tc>
          <w:tcPr>
            <w:tcW w:type="dxa" w:w="4819"/>
          </w:tcPr>
          <w:p>
            <m:oMath>
              <m:r>
                <w:rPr>
                  <w:sz w:val="16"/>
                  <w:szCs w:val="16"/>
                </w:rPr>
                <m:t xml:space="preserve">I</m:t>
              </m:r>
              <m:d>
                <m:dPr>
                  <m:begChr m:val="("/>
                  <m:endChr m:val=")"/>
                </m:dPr>
                <m:e>
                  <m:sSub>
                    <m:e>
                      <m:r>
                        <w:rPr>
                          <w:sz w:val="16"/>
                          <w:szCs w:val="16"/>
                        </w:rPr>
                        <m:t xml:space="preserve">X</m:t>
                      </m:r>
                    </m:e>
                    <m:sub>
                      <m:r>
                        <w:rPr>
                          <w:sz w:val="16"/>
                          <w:szCs w:val="16"/>
                        </w:rPr>
                        <m:t xml:space="preserve">j</m:t>
                      </m:r>
                    </m:sub>
                  </m:sSub>
                  <m:r>
                    <w:rPr>
                      <w:sz w:val="16"/>
                      <w:szCs w:val="16"/>
                    </w:rPr>
                    <m:t xml:space="preserve">;y</m:t>
                  </m:r>
                </m:e>
              </m:d>
            </m:oMath>
          </w:p>
        </w:tc>
        <w:tc>
          <w:tcPr>
            <w:tcW w:type="dxa" w:w="4819"/>
          </w:tcPr>
          <w:p>
            <w:r>
              <w:rPr>
                <w:rFonts w:ascii="Times New Roman" w:hAnsi="Times New Roman" w:cs="Times New Roman" w:eastAsia="Times New Roman"/>
                <w:sz w:val="16"/>
              </w:rPr>
              <w:t>Mutual information between feature j and the label</w:t>
            </w:r>
          </w:p>
        </w:tc>
      </w:tr>
      <w:tr>
        <w:tc>
          <w:tcPr>
            <w:tcW w:type="dxa" w:w="4819"/>
          </w:tcPr>
          <w:p>
            <m:oMath>
              <m:r>
                <w:rPr>
                  <w:sz w:val="16"/>
                  <w:szCs w:val="16"/>
                </w:rPr>
                <m:t xml:space="preserve">H</m:t>
              </m:r>
              <m:d>
                <m:dPr>
                  <m:begChr m:val="("/>
                  <m:endChr m:val=")"/>
                </m:dPr>
                <m:e>
                  <m:r>
                    <w:rPr>
                      <w:sz w:val="16"/>
                      <w:szCs w:val="16"/>
                    </w:rPr>
                    <m:t xml:space="preserve">y</m:t>
                  </m:r>
                </m:e>
              </m:d>
            </m:oMath>
          </w:p>
        </w:tc>
        <w:tc>
          <w:tcPr>
            <w:tcW w:type="dxa" w:w="4819"/>
          </w:tcPr>
          <w:p>
            <w:r>
              <w:rPr>
                <w:rFonts w:ascii="Times New Roman" w:hAnsi="Times New Roman" w:cs="Times New Roman" w:eastAsia="Times New Roman"/>
                <w:sz w:val="16"/>
              </w:rPr>
              <w:t>Label entropy</w:t>
            </w:r>
          </w:p>
        </w:tc>
      </w:tr>
      <w:tr>
        <w:tc>
          <w:tcPr>
            <w:tcW w:type="dxa" w:w="4819"/>
          </w:tcPr>
          <w:p>
            <m:oMath>
              <m:r>
                <w:rPr>
                  <w:sz w:val="16"/>
                  <w:szCs w:val="16"/>
                </w:rPr>
                <m:t xml:space="preserve">K</m:t>
              </m:r>
            </m:oMath>
          </w:p>
        </w:tc>
        <w:tc>
          <w:tcPr>
            <w:tcW w:type="dxa" w:w="4819"/>
          </w:tcPr>
          <w:p>
            <w:r>
              <w:rPr>
                <w:rFonts w:ascii="Times New Roman" w:hAnsi="Times New Roman" w:cs="Times New Roman" w:eastAsia="Times New Roman"/>
                <w:sz w:val="16"/>
              </w:rPr>
              <w:t>Number of UMR memetic probes per iteration</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Population size (pop_size)</w:t>
            </w:r>
          </w:p>
        </w:tc>
      </w:tr>
      <w:tr>
        <w:tc>
          <w:tcPr>
            <w:tcW w:type="dxa" w:w="4819"/>
          </w:tcPr>
          <w:p>
            <m:oMath>
              <m:r>
                <w:rPr>
                  <w:sz w:val="16"/>
                  <w:szCs w:val="16"/>
                </w:rPr>
                <m:t xml:space="preserve">max_nfe</m:t>
              </m:r>
            </m:oMath>
          </w:p>
        </w:tc>
        <w:tc>
          <w:tcPr>
            <w:tcW w:type="dxa" w:w="4819"/>
          </w:tcPr>
          <w:p>
            <w:r>
              <w:rPr>
                <w:rFonts w:ascii="Times New Roman" w:hAnsi="Times New Roman" w:cs="Times New Roman" w:eastAsia="Times New Roman"/>
                <w:sz w:val="16"/>
              </w:rPr>
              <w:t xml:space="preserve">Total fitness-evaluation budget, pop_size </w:t>
            </w:r>
            <m:oMath>
              <m:r>
                <w:rPr>
                  <w:sz w:val="22"/>
                  <w:szCs w:val="22"/>
                </w:rPr>
                <m:t xml:space="preserve">×</m:t>
              </m:r>
            </m:oMath>
            <w:r>
              <w:rPr>
                <w:rFonts w:ascii="Times New Roman" w:hAnsi="Times New Roman" w:cs="Times New Roman" w:eastAsia="Times New Roman"/>
                <w:sz w:val="16"/>
              </w:rPr>
              <w:t xml:space="preserve"> max_iter</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Number of samples (in the O(dn log n) MI-prior cost)</w:t>
            </w:r>
          </w:p>
        </w:tc>
      </w:tr>
    </w:tbl>
    <w:p>
      <w:pPr>
        <w:jc w:val="left"/>
      </w:pPr>
      <w:r>
        <w:rPr>
          <w:rFonts w:ascii="Times New Roman" w:hAnsi="Times New Roman" w:cs="Times New Roman" w:eastAsia="Times New Roman"/>
          <w:sz w:val="18"/>
        </w:rPr>
        <w:t xml:space="preserve">Table 8 Notation used in Methods, compiled for reference. T_max (maximum iteration count, used in the SCSO sensitivity-range formula) and </w:t>
      </w:r>
      <m:oMath>
        <m:r>
          <w:rPr>
            <w:sz w:val="22"/>
            <w:szCs w:val="22"/>
          </w:rPr>
          <m:t xml:space="preserve">T(·)</m:t>
        </m:r>
      </m:oMath>
      <w:r>
        <w:rPr>
          <w:rFonts w:ascii="Times New Roman" w:hAnsi="Times New Roman" w:cs="Times New Roman" w:eastAsia="Times New Roman"/>
          <w:sz w:val="18"/>
        </w:rPr>
        <w:t xml:space="preserve"> (the continuous-to-binary transfer function used throughout the washout subsection) are kept as distinct symbols to avoid the overloading that a single bare T would otherwise cause.</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jc w:val="left"/>
      </w:pPr>
      <w:r>
        <w:rPr>
          <w:rFonts w:ascii="Times New Roman" w:hAnsi="Times New Roman" w:cs="Times New Roman" w:eastAsia="Times New Roman"/>
          <w:sz w:val="18"/>
        </w:rPr>
        <w:t>Algorithm 1 RG-SCSO</w:t>
      </w:r>
    </w:p>
    <w:tbl>
      <w:tblPr>
        <w:tblStyle w:val="TableGrid"/>
        <w:tblW w:type="auto" w:w="0"/>
        <w:tblLook w:firstColumn="1" w:firstRow="1" w:lastColumn="0" w:lastRow="0" w:noHBand="0" w:noVBand="1" w:val="04A0"/>
      </w:tblPr>
      <w:tblGrid>
        <w:gridCol w:w="9638"/>
      </w:tblGrid>
      <w:tr>
        <w:trPr>
          <w:tblHeader w:val="true"/>
        </w:trPr>
        <w:tc>
          <w:tcPr>
            <w:tcW w:type="dxa" w:w="9638"/>
          </w:tcPr>
          <w:p>
            <w:pPr>
              <w:spacing w:after="0"/>
              <w:jc w:val="left"/>
            </w:pPr>
            <w:r>
              <w:rPr>
                <w:rFonts w:ascii="Times New Roman" w:hAnsi="Times New Roman" w:cs="Times New Roman" w:eastAsia="Times New Roman"/>
                <w:sz w:val="17"/>
              </w:rPr>
              <w:t xml:space="preserve">Input: training partition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of the current outer split; population size </w:t>
            </w:r>
            <m:oMath>
              <m:r>
                <w:rPr>
                  <w:sz w:val="17"/>
                  <w:szCs w:val="17"/>
                </w:rPr>
                <m:t xml:space="preserve">N</m:t>
              </m:r>
            </m:oMath>
            <w:r>
              <w:rPr>
                <w:rFonts w:ascii="Times New Roman" w:hAnsi="Times New Roman" w:cs="Times New Roman" w:eastAsia="Times New Roman"/>
                <w:sz w:val="17"/>
              </w:rPr>
              <w:t xml:space="preserve">; iterations </w:t>
            </w:r>
            <m:oMath>
              <m:sSub>
                <m:e>
                  <m:r>
                    <w:rPr>
                      <w:sz w:val="17"/>
                      <w:szCs w:val="17"/>
                    </w:rPr>
                    <m:t xml:space="preserve">T</m:t>
                  </m:r>
                </m:e>
                <m:sub>
                  <m:r>
                    <w:rPr>
                      <w:sz w:val="17"/>
                      <w:szCs w:val="17"/>
                    </w:rPr>
                    <m:t xml:space="preserve">max</m:t>
                  </m:r>
                </m:sub>
              </m:sSub>
            </m:oMath>
            <w:r>
              <w:rPr>
                <w:rFonts w:ascii="Times New Roman" w:hAnsi="Times New Roman" w:cs="Times New Roman" w:eastAsia="Times New Roman"/>
                <w:sz w:val="17"/>
              </w:rPr>
              <w:t xml:space="preserve">; budget max_nfe; memetic size </w:t>
            </w:r>
            <m:oMath>
              <m:r>
                <w:rPr>
                  <w:sz w:val="17"/>
                  <w:szCs w:val="17"/>
                </w:rPr>
                <m:t xml:space="preserve">K</m:t>
              </m:r>
            </m:oMath>
            <w:r>
              <w:rPr>
                <w:rFonts w:ascii="Times New Roman" w:hAnsi="Times New Roman" w:cs="Times New Roman" w:eastAsia="Times New Roman"/>
                <w:sz w:val="17"/>
              </w:rPr>
              <w:t xml:space="preserve">; bias strength </w:t>
            </w:r>
            <m:oMath>
              <m:r>
                <w:rPr>
                  <w:sz w:val="17"/>
                  <w:szCs w:val="17"/>
                </w:rPr>
                <m:t xml:space="preserve">γ</m:t>
              </m:r>
            </m:oMath>
            <w:r>
              <w:rPr>
                <w:rFonts w:ascii="Times New Roman" w:hAnsi="Times New Roman" w:cs="Times New Roman" w:eastAsia="Times New Roman"/>
                <w:sz w:val="17"/>
              </w:rPr>
              <w:t xml:space="preserve">; threshold </w:t>
            </w:r>
            <m:oMath>
              <m:r>
                <w:rPr>
                  <w:sz w:val="17"/>
                  <w:szCs w:val="17"/>
                </w:rPr>
                <m:t xml:space="preserve">τ</m:t>
              </m:r>
            </m:oMath>
          </w:p>
          <w:p>
            <w:pPr>
              <w:spacing w:after="0"/>
              <w:jc w:val="left"/>
            </w:pPr>
            <w:r>
              <w:rPr>
                <w:rFonts w:ascii="Times New Roman" w:hAnsi="Times New Roman" w:cs="Times New Roman" w:eastAsia="Times New Roman"/>
                <w:sz w:val="17"/>
              </w:rPr>
              <w:t xml:space="preserve">Output: best feature mask </w:t>
            </w:r>
            <m:oMath>
              <m:sSup>
                <m:e>
                  <m:r>
                    <w:rPr>
                      <w:sz w:val="17"/>
                      <w:szCs w:val="17"/>
                    </w:rPr>
                    <m:t xml:space="preserve">b</m:t>
                  </m:r>
                </m:e>
                <m:sup>
                  <m:r>
                    <w:rPr>
                      <w:sz w:val="17"/>
                      <w:szCs w:val="17"/>
                    </w:rPr>
                    <m:t xml:space="preserve">*</m:t>
                  </m:r>
                </m:sup>
              </m:sSup>
            </m:oMath>
          </w:p>
          <w:p>
            <w:pPr>
              <w:spacing w:after="0"/>
              <w:jc w:val="left"/>
            </w:pPr>
            <w:r>
              <w:rPr>
                <w:rFonts w:ascii="Times New Roman" w:hAnsi="Times New Roman" w:cs="Times New Roman" w:eastAsia="Times New Roman"/>
                <w:sz w:val="17"/>
              </w:rPr>
              <w:t xml:space="preserve">1: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 normalized mutual information </w:t>
            </w:r>
            <m:oMath>
              <m:r>
                <w:rPr>
                  <w:sz w:val="17"/>
                  <w:szCs w:val="17"/>
                </w:rPr>
                <m:t xml:space="preserve">I</m:t>
              </m:r>
              <m:d>
                <m:dPr>
                  <m:begChr m:val="("/>
                  <m:endChr m:val=")"/>
                </m:dPr>
                <m:e>
                  <m:sSub>
                    <m:e>
                      <m:r>
                        <w:rPr>
                          <w:sz w:val="17"/>
                          <w:szCs w:val="17"/>
                        </w:rPr>
                        <m:t xml:space="preserve">X</m:t>
                      </m:r>
                    </m:e>
                    <m:sub>
                      <m:r>
                        <w:rPr>
                          <w:sz w:val="17"/>
                          <w:szCs w:val="17"/>
                        </w:rPr>
                        <m:t xml:space="preserve">j</m:t>
                      </m:r>
                    </m:sub>
                  </m:sSub>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for all </w:t>
            </w:r>
            <m:oMath>
              <m:r>
                <w:rPr>
                  <w:sz w:val="17"/>
                  <w:szCs w:val="17"/>
                </w:rPr>
                <m:t xml:space="preserve">j</m:t>
              </m:r>
            </m:oMath>
            <w:r>
              <w:rPr>
                <w:rFonts w:ascii="Times New Roman" w:hAnsi="Times New Roman" w:cs="Times New Roman" w:eastAsia="Times New Roman"/>
                <w:sz w:val="17"/>
              </w:rPr>
              <w:t xml:space="preserve">, computed 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only   ▷ static relevance field</w:t>
            </w:r>
          </w:p>
          <w:p>
            <w:pPr>
              <w:spacing w:after="0"/>
              <w:jc w:val="left"/>
            </w:pPr>
            <w:r>
              <w:rPr>
                <w:rFonts w:ascii="Times New Roman" w:hAnsi="Times New Roman" w:cs="Times New Roman" w:eastAsia="Times New Roman"/>
                <w:sz w:val="17"/>
              </w:rPr>
              <w:t xml:space="preserve">2:  for all </w:t>
            </w:r>
            <m:oMath>
              <m:r>
                <w:rPr>
                  <w:sz w:val="17"/>
                  <w:szCs w:val="17"/>
                </w:rPr>
                <m:t xml:space="preserve">j</m:t>
              </m:r>
            </m:oMath>
            <w:r>
              <w:rPr>
                <w:rFonts w:ascii="Times New Roman" w:hAnsi="Times New Roman" w:cs="Times New Roman" w:eastAsia="Times New Roman"/>
                <w:sz w:val="17"/>
              </w:rPr>
              <w:t xml:space="preserve">: preferred bit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 1 if </w:t>
            </w:r>
            <m:oMath>
              <m:sSub>
                <m:e>
                  <m:r>
                    <w:rPr>
                      <w:sz w:val="17"/>
                      <w:szCs w:val="17"/>
                    </w:rPr>
                    <m:t xml:space="preserve">ρ</m:t>
                  </m:r>
                </m:e>
                <m:sub>
                  <m:r>
                    <w:rPr>
                      <w:sz w:val="17"/>
                      <w:szCs w:val="17"/>
                    </w:rPr>
                    <m:t xml:space="preserve">j</m:t>
                  </m:r>
                </m:sub>
              </m:sSub>
              <m:r>
                <w:rPr>
                  <w:sz w:val="17"/>
                  <w:szCs w:val="17"/>
                </w:rPr>
                <m:t xml:space="preserve"> </m:t>
              </m:r>
              <m:r>
                <w:rPr>
                  <w:sz w:val="17"/>
                  <w:szCs w:val="17"/>
                </w:rPr>
                <m:t xml:space="preserve">&gt;</m:t>
              </m:r>
              <m:r>
                <w:rPr>
                  <w:sz w:val="17"/>
                  <w:szCs w:val="17"/>
                </w:rPr>
                <m:t xml:space="preserve"> </m:t>
              </m:r>
              <m:r>
                <w:rPr>
                  <w:sz w:val="17"/>
                  <w:szCs w:val="17"/>
                </w:rPr>
                <m:t xml:space="preserve">τ</m:t>
              </m:r>
            </m:oMath>
            <w:r>
              <w:rPr>
                <w:rFonts w:ascii="Times New Roman" w:hAnsi="Times New Roman" w:cs="Times New Roman" w:eastAsia="Times New Roman"/>
                <w:sz w:val="17"/>
              </w:rPr>
              <w:t xml:space="preserve"> else 0; strength </w:t>
            </w:r>
            <m:oMath>
              <m:sSub>
                <m:e>
                  <m:r>
                    <w:rPr>
                      <w:sz w:val="17"/>
                      <w:szCs w:val="17"/>
                    </w:rPr>
                    <m:t xml:space="preserve">s</m:t>
                  </m:r>
                </m:e>
                <m:sub>
                  <m:r>
                    <w:rPr>
                      <w:sz w:val="17"/>
                      <w:szCs w:val="17"/>
                    </w:rPr>
                    <m:t xml:space="preserve">j</m:t>
                  </m:r>
                </m:sub>
              </m:sSub>
            </m:oMath>
            <w:r>
              <w:rPr>
                <w:rFonts w:ascii="Times New Roman" w:hAnsi="Times New Roman" w:cs="Times New Roman" w:eastAsia="Times New Roman"/>
                <w:sz w:val="17"/>
              </w:rPr>
              <w:t xml:space="preserve"> ← </w:t>
            </w:r>
            <m:oMath>
              <m:r>
                <w:rPr>
                  <w:sz w:val="17"/>
                  <w:szCs w:val="17"/>
                </w:rPr>
                <m:t xml:space="preserve">2</m:t>
              </m:r>
              <m:d>
                <m:dPr>
                  <m:begChr m:val="|"/>
                  <m:endChr m:val="|"/>
                </m:dPr>
                <m:e>
                  <m:sSub>
                    <m:e>
                      <m:r>
                        <w:rPr>
                          <w:sz w:val="17"/>
                          <w:szCs w:val="17"/>
                        </w:rPr>
                        <m:t xml:space="preserve">ρ</m:t>
                      </m:r>
                    </m:e>
                    <m:sub>
                      <m:r>
                        <w:rPr>
                          <w:sz w:val="17"/>
                          <w:szCs w:val="17"/>
                        </w:rPr>
                        <m:t xml:space="preserve">j</m:t>
                      </m:r>
                    </m:sub>
                  </m:sSub>
                  <m:r>
                    <w:rPr>
                      <w:sz w:val="17"/>
                      <w:szCs w:val="17"/>
                    </w:rPr>
                    <m:t xml:space="preserve"> </m:t>
                  </m:r>
                  <m:r>
                    <w:rPr>
                      <w:sz w:val="17"/>
                      <w:szCs w:val="17"/>
                    </w:rPr>
                    <m:t xml:space="preserve">−</m:t>
                  </m:r>
                  <m:r>
                    <w:rPr>
                      <w:sz w:val="17"/>
                      <w:szCs w:val="17"/>
                    </w:rPr>
                    <m:t xml:space="preserve"> </m:t>
                  </m:r>
                  <m:r>
                    <w:rPr>
                      <w:sz w:val="17"/>
                      <w:szCs w:val="17"/>
                    </w:rPr>
                    <m:t xml:space="preserve">τ</m:t>
                  </m:r>
                </m:e>
              </m:d>
            </m:oMath>
          </w:p>
          <w:p>
            <w:pPr>
              <w:spacing w:after="0"/>
              <w:jc w:val="left"/>
            </w:pPr>
            <w:r>
              <w:rPr>
                <w:rFonts w:ascii="Times New Roman" w:hAnsi="Times New Roman" w:cs="Times New Roman" w:eastAsia="Times New Roman"/>
                <w:sz w:val="17"/>
              </w:rPr>
              <w:t xml:space="preserve">3:  initialize positions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 </w:t>
            </w:r>
            <m:oMath>
              <m:r>
                <w:rPr>
                  <w:sz w:val="17"/>
                  <w:szCs w:val="17"/>
                </w:rPr>
                <m:t xml:space="preserve">U</m:t>
              </m:r>
              <m:sSup>
                <m:e>
                  <m:d>
                    <m:dPr>
                      <m:begChr m:val="("/>
                      <m:endChr m:val=")"/>
                    </m:dPr>
                    <m:e>
                      <m:r>
                        <w:rPr>
                          <w:sz w:val="17"/>
                          <w:szCs w:val="17"/>
                        </w:rPr>
                        <m:t xml:space="preserve">−</m:t>
                      </m:r>
                      <m:r>
                        <w:rPr>
                          <w:sz w:val="17"/>
                          <w:szCs w:val="17"/>
                        </w:rPr>
                        <m:t xml:space="preserve">1</m:t>
                      </m:r>
                      <m:r>
                        <w:rPr>
                          <w:sz w:val="17"/>
                          <w:szCs w:val="17"/>
                        </w:rPr>
                        <m:t xml:space="preserve">,</m:t>
                      </m:r>
                      <m:r>
                        <w:rPr>
                          <w:sz w:val="17"/>
                          <w:szCs w:val="17"/>
                        </w:rPr>
                        <m:t xml:space="preserve">1</m:t>
                      </m:r>
                    </m:e>
                  </m:d>
                </m:e>
                <m:sup>
                  <m:r>
                    <w:rPr>
                      <w:sz w:val="17"/>
                      <w:szCs w:val="17"/>
                    </w:rPr>
                    <m:t xml:space="preserve">d</m:t>
                  </m:r>
                </m:sup>
              </m:sSup>
            </m:oMath>
            <w:r>
              <w:rPr>
                <w:rFonts w:ascii="Times New Roman" w:hAnsi="Times New Roman" w:cs="Times New Roman" w:eastAsia="Times New Roman"/>
                <w:sz w:val="17"/>
              </w:rPr>
              <w:t xml:space="preserve">,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form the initial masks by sign only (bit=1 if </w:t>
            </w:r>
            <m:oMath>
              <m:r>
                <w:rPr>
                  <w:sz w:val="17"/>
                  <w:szCs w:val="17"/>
                </w:rPr>
                <m:t xml:space="preserve">x</m:t>
              </m:r>
              <m:r>
                <w:rPr>
                  <w:sz w:val="17"/>
                  <w:szCs w:val="17"/>
                </w:rPr>
                <m:t xml:space="preserve">&gt;</m:t>
              </m:r>
              <m:r>
                <w:rPr>
                  <w:sz w:val="17"/>
                  <w:szCs w:val="17"/>
                </w:rPr>
                <m:t xml:space="preserve">0</m:t>
              </m:r>
            </m:oMath>
            <w:r>
              <w:rPr>
                <w:rFonts w:ascii="Times New Roman" w:hAnsi="Times New Roman" w:cs="Times New Roman" w:eastAsia="Times New Roman"/>
                <w:sz w:val="17"/>
              </w:rPr>
              <w:t xml:space="preserve">, else 0); evaluate; set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 the relevance-modulated flip rule (lines 8–11) is not applied at initialization</w:t>
            </w:r>
          </w:p>
          <w:p>
            <w:pPr>
              <w:spacing w:after="0"/>
              <w:jc w:val="left"/>
            </w:pPr>
            <w:r>
              <w:rPr>
                <w:rFonts w:ascii="Times New Roman" w:hAnsi="Times New Roman" w:cs="Times New Roman" w:eastAsia="Times New Roman"/>
                <w:sz w:val="17"/>
              </w:rPr>
              <w:t>4:  while nfe &lt; max_nfe do</w:t>
            </w:r>
          </w:p>
          <w:p>
            <w:pPr>
              <w:spacing w:after="0"/>
              <w:jc w:val="left"/>
            </w:pPr>
            <w:r>
              <w:rPr>
                <w:rFonts w:ascii="Times New Roman" w:hAnsi="Times New Roman" w:cs="Times New Roman" w:eastAsia="Times New Roman"/>
                <w:sz w:val="17"/>
              </w:rPr>
              <w:t xml:space="preserve">5:     </w:t>
            </w:r>
            <m:oMath>
              <m:r>
                <w:rPr>
                  <w:sz w:val="17"/>
                  <w:szCs w:val="17"/>
                </w:rPr>
                <m:t xml:space="preserve">R</m:t>
              </m:r>
            </m:oMath>
            <w:r>
              <w:rPr>
                <w:rFonts w:ascii="Times New Roman" w:hAnsi="Times New Roman" w:cs="Times New Roman" w:eastAsia="Times New Roman"/>
                <w:sz w:val="17"/>
              </w:rPr>
              <w:t xml:space="preserve"> ← </w:t>
            </w:r>
            <m:oMath>
              <m:sSub>
                <m:e>
                  <m:r>
                    <w:rPr>
                      <w:sz w:val="17"/>
                      <w:szCs w:val="17"/>
                    </w:rPr>
                    <m:t xml:space="preserve">S</m:t>
                  </m:r>
                </m:e>
                <m:sub>
                  <m:r>
                    <w:rPr>
                      <w:sz w:val="17"/>
                      <w:szCs w:val="17"/>
                    </w:rPr>
                    <m:t xml:space="preserve">M</m:t>
                  </m:r>
                </m:sub>
              </m:sSub>
              <m:r>
                <w:rPr>
                  <w:sz w:val="17"/>
                  <w:szCs w:val="17"/>
                </w:rPr>
                <m:t xml:space="preserve"> </m:t>
              </m:r>
              <m:r>
                <w:rPr>
                  <w:sz w:val="17"/>
                  <w:szCs w:val="17"/>
                </w:rPr>
                <m:t xml:space="preserve">·</m:t>
              </m:r>
              <m:r>
                <w:rPr>
                  <w:sz w:val="17"/>
                  <w:szCs w:val="17"/>
                </w:rPr>
                <m:t xml:space="preserve"> </m:t>
              </m:r>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t</m:t>
                  </m:r>
                  <m:r>
                    <w:rPr>
                      <w:sz w:val="17"/>
                      <w:szCs w:val="17"/>
                    </w:rPr>
                    <m:t xml:space="preserve">/</m:t>
                  </m:r>
                  <m:sSub>
                    <m:e>
                      <m:r>
                        <w:rPr>
                          <w:sz w:val="17"/>
                          <w:szCs w:val="17"/>
                        </w:rPr>
                        <m:t xml:space="preserve">T</m:t>
                      </m:r>
                    </m:e>
                    <m:sub>
                      <m:r>
                        <w:rPr>
                          <w:sz w:val="17"/>
                          <w:szCs w:val="17"/>
                        </w:rPr>
                        <m:t xml:space="preserve">max</m:t>
                      </m:r>
                    </m:sub>
                  </m:sSub>
                </m:e>
              </m:d>
            </m:oMath>
            <w:r>
              <w:rPr>
                <w:rFonts w:ascii="Times New Roman" w:hAnsi="Times New Roman" w:cs="Times New Roman" w:eastAsia="Times New Roman"/>
                <w:sz w:val="17"/>
              </w:rPr>
              <w:t xml:space="preserve">   ▷ sensitivity range contracts</w:t>
            </w:r>
          </w:p>
          <w:p>
            <w:pPr>
              <w:spacing w:after="0"/>
              <w:jc w:val="left"/>
            </w:pPr>
            <w:r>
              <w:rPr>
                <w:rFonts w:ascii="Times New Roman" w:hAnsi="Times New Roman" w:cs="Times New Roman" w:eastAsia="Times New Roman"/>
                <w:sz w:val="17"/>
              </w:rPr>
              <w:t xml:space="preserve">6:     for each agent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7:        update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by the SCSO position rule using range </w:t>
            </w:r>
            <m:oMath>
              <m:r>
                <w:rPr>
                  <w:sz w:val="17"/>
                  <w:szCs w:val="17"/>
                </w:rPr>
                <m:t xml:space="preserve">R</m:t>
              </m:r>
            </m:oMath>
          </w:p>
          <w:p>
            <w:pPr>
              <w:spacing w:after="0"/>
              <w:jc w:val="left"/>
            </w:pPr>
            <w:r>
              <w:rPr>
                <w:rFonts w:ascii="Times New Roman" w:hAnsi="Times New Roman" w:cs="Times New Roman" w:eastAsia="Times New Roman"/>
                <w:sz w:val="17"/>
              </w:rPr>
              <w:t xml:space="preserve">8:        for each feature </w:t>
            </w:r>
            <m:oMath>
              <m:r>
                <w:rPr>
                  <w:sz w:val="17"/>
                  <w:szCs w:val="17"/>
                </w:rPr>
                <m:t xml:space="preserve">j</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9:           </w:t>
            </w:r>
            <m:oMath>
              <m:sSub>
                <m:e>
                  <m:r>
                    <w:rPr>
                      <w:sz w:val="17"/>
                      <w:szCs w:val="17"/>
                    </w:rPr>
                    <m:t xml:space="preserve">p</m:t>
                  </m:r>
                </m:e>
                <m:sub>
                  <m:r>
                    <w:rPr>
                      <w:sz w:val="17"/>
                      <w:szCs w:val="17"/>
                    </w:rPr>
                    <m:t xml:space="preserve">base</m:t>
                  </m:r>
                </m:sub>
              </m:sSub>
            </m:oMath>
            <w:r>
              <w:rPr>
                <w:rFonts w:ascii="Times New Roman" w:hAnsi="Times New Roman" w:cs="Times New Roman" w:eastAsia="Times New Roman"/>
                <w:sz w:val="17"/>
              </w:rPr>
              <w:t xml:space="preserve"> ← </w:t>
            </w:r>
            <m:oMath>
              <m:d>
                <m:dPr>
                  <m:begChr m:val="|"/>
                  <m:endChr m:val="|"/>
                </m:dPr>
                <m:e>
                  <m:r>
                    <w:rPr>
                      <w:sz w:val="17"/>
                      <w:szCs w:val="17"/>
                    </w:rPr>
                    <m:t xml:space="preserve">tanh</m:t>
                  </m:r>
                  <m:d>
                    <m:dPr>
                      <m:begChr m:val="("/>
                      <m:endChr m:val=")"/>
                    </m:dPr>
                    <m:e>
                      <m:sSub>
                        <m:e>
                          <m:r>
                            <w:rPr>
                              <w:sz w:val="17"/>
                              <w:szCs w:val="17"/>
                            </w:rPr>
                            <m:t xml:space="preserve">x</m:t>
                          </m:r>
                        </m:e>
                        <m:sub>
                          <m:r>
                            <w:rPr>
                              <w:sz w:val="17"/>
                              <w:szCs w:val="17"/>
                            </w:rPr>
                            <m:t xml:space="preserve">ij</m:t>
                          </m:r>
                        </m:sub>
                      </m:sSub>
                    </m:e>
                  </m:d>
                </m:e>
              </m:d>
            </m:oMath>
            <w:r>
              <w:rPr>
                <w:rFonts w:ascii="Times New Roman" w:hAnsi="Times New Roman" w:cs="Times New Roman" w:eastAsia="Times New Roman"/>
                <w:sz w:val="17"/>
              </w:rPr>
              <w:t xml:space="preserve">   ▷ base transfer </w:t>
            </w:r>
            <m:oMath>
              <m:r>
                <w:rPr>
                  <w:sz w:val="17"/>
                  <w:szCs w:val="17"/>
                </w:rPr>
                <m:t xml:space="preserve">T</m:t>
              </m:r>
              <m:d>
                <m:dPr>
                  <m:begChr m:val="("/>
                  <m:endChr m:val=")"/>
                </m:dPr>
                <m:e>
                  <m:sSub>
                    <m:e>
                      <m:r>
                        <w:rPr>
                          <w:sz w:val="17"/>
                          <w:szCs w:val="17"/>
                        </w:rPr>
                        <m:t xml:space="preserve">x</m:t>
                      </m:r>
                    </m:e>
                    <m:sub>
                      <m:r>
                        <w:rPr>
                          <w:sz w:val="17"/>
                          <w:szCs w:val="17"/>
                        </w:rPr>
                        <m:t xml:space="preserve">ij</m:t>
                      </m:r>
                    </m:sub>
                  </m:sSub>
                </m:e>
              </m:d>
            </m:oMath>
          </w:p>
          <w:p>
            <w:pPr>
              <w:spacing w:after="0"/>
              <w:jc w:val="left"/>
            </w:pPr>
            <w:r>
              <w:rPr>
                <w:rFonts w:ascii="Times New Roman" w:hAnsi="Times New Roman" w:cs="Times New Roman" w:eastAsia="Times New Roman"/>
                <w:sz w:val="17"/>
              </w:rPr>
              <w:t xml:space="preserve">10:          </w:t>
            </w:r>
            <m:oMath>
              <m:sSub>
                <m:e>
                  <m:r>
                    <w:rPr>
                      <w:sz w:val="17"/>
                      <w:szCs w:val="17"/>
                    </w:rPr>
                    <m:t xml:space="preserve">p</m:t>
                  </m:r>
                </m:e>
                <m:sub>
                  <m:r>
                    <w:rPr>
                      <w:sz w:val="17"/>
                      <w:szCs w:val="17"/>
                    </w:rPr>
                    <m:t xml:space="preserve">j</m:t>
                  </m:r>
                </m:sub>
              </m:sSub>
            </m:oMath>
            <w:r>
              <w:rPr>
                <w:rFonts w:ascii="Times New Roman" w:hAnsi="Times New Roman" w:cs="Times New Roman" w:eastAsia="Times New Roman"/>
                <w:sz w:val="17"/>
              </w:rPr>
              <w:t xml:space="preserve"> ←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r>
              <w:rPr>
                <w:rFonts w:ascii="Times New Roman" w:hAnsi="Times New Roman" w:cs="Times New Roman" w:eastAsia="Times New Roman"/>
                <w:sz w:val="17"/>
              </w:rPr>
              <w:t xml:space="preserve"> if the flip moves bit </w:t>
            </w:r>
            <m:oMath>
              <m:r>
                <w:rPr>
                  <w:sz w:val="17"/>
                  <w:szCs w:val="17"/>
                </w:rPr>
                <m:t xml:space="preserve">j</m:t>
              </m:r>
            </m:oMath>
            <w:r>
              <w:rPr>
                <w:rFonts w:ascii="Times New Roman" w:hAnsi="Times New Roman" w:cs="Times New Roman" w:eastAsia="Times New Roman"/>
                <w:sz w:val="17"/>
              </w:rPr>
              <w:t xml:space="preserve"> toward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else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p>
          <w:p>
            <w:pPr>
              <w:spacing w:after="0"/>
              <w:jc w:val="left"/>
            </w:pPr>
            <w:r>
              <w:rPr>
                <w:rFonts w:ascii="Times New Roman" w:hAnsi="Times New Roman" w:cs="Times New Roman" w:eastAsia="Times New Roman"/>
                <w:sz w:val="17"/>
              </w:rPr>
              <w:t xml:space="preserve">11:          flip bit </w:t>
            </w:r>
            <m:oMath>
              <m:r>
                <w:rPr>
                  <w:sz w:val="17"/>
                  <w:szCs w:val="17"/>
                </w:rPr>
                <m:t xml:space="preserve">j</m:t>
              </m:r>
            </m:oMath>
            <w:r>
              <w:rPr>
                <w:rFonts w:ascii="Times New Roman" w:hAnsi="Times New Roman" w:cs="Times New Roman" w:eastAsia="Times New Roman"/>
                <w:sz w:val="17"/>
              </w:rPr>
              <w:t xml:space="preserve"> with probability </w:t>
            </w:r>
            <m:oMath>
              <m:r>
                <w:rPr>
                  <w:sz w:val="17"/>
                  <w:szCs w:val="17"/>
                </w:rPr>
                <m:t xml:space="preserve">clip</m:t>
              </m:r>
              <m:d>
                <m:dPr>
                  <m:begChr m:val="("/>
                  <m:endChr m:val=")"/>
                </m:dPr>
                <m:e>
                  <m:sSub>
                    <m:e>
                      <m:r>
                        <w:rPr>
                          <w:sz w:val="17"/>
                          <w:szCs w:val="17"/>
                        </w:rPr>
                        <m:t xml:space="preserve">p</m:t>
                      </m:r>
                    </m:e>
                    <m:sub>
                      <m:r>
                        <w:rPr>
                          <w:sz w:val="17"/>
                          <w:szCs w:val="17"/>
                        </w:rPr>
                        <m:t xml:space="preserve">j</m:t>
                      </m:r>
                    </m:sub>
                  </m:sSub>
                  <m:r>
                    <w:rPr>
                      <w:sz w:val="17"/>
                      <w:szCs w:val="17"/>
                    </w:rPr>
                    <m:t xml:space="preserve">,</m:t>
                  </m:r>
                  <m:r>
                    <w:rPr>
                      <w:sz w:val="17"/>
                      <w:szCs w:val="17"/>
                    </w:rPr>
                    <m:t xml:space="preserve"> </m:t>
                  </m:r>
                  <m:r>
                    <w:rPr>
                      <w:sz w:val="17"/>
                      <w:szCs w:val="17"/>
                    </w:rPr>
                    <m:t xml:space="preserve">0</m:t>
                  </m:r>
                  <m:r>
                    <w:rPr>
                      <w:sz w:val="17"/>
                      <w:szCs w:val="17"/>
                    </w:rPr>
                    <m:t xml:space="preserve">,</m:t>
                  </m:r>
                  <m:r>
                    <w:rPr>
                      <w:sz w:val="17"/>
                      <w:szCs w:val="17"/>
                    </w:rPr>
                    <m:t xml:space="preserve"> </m:t>
                  </m:r>
                  <m:r>
                    <w:rPr>
                      <w:sz w:val="17"/>
                      <w:szCs w:val="17"/>
                    </w:rPr>
                    <m:t xml:space="preserve">1</m:t>
                  </m:r>
                </m:e>
              </m:d>
            </m:oMath>
          </w:p>
          <w:p>
            <w:pPr>
              <w:spacing w:after="0"/>
              <w:jc w:val="left"/>
            </w:pPr>
            <w:r>
              <w:rPr>
                <w:rFonts w:ascii="Times New Roman" w:hAnsi="Times New Roman" w:cs="Times New Roman" w:eastAsia="Times New Roman"/>
                <w:sz w:val="17"/>
              </w:rPr>
              <w:t xml:space="preserve">12:       evaluate mask; update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if improved</w:t>
            </w:r>
          </w:p>
          <w:p>
            <w:pPr>
              <w:spacing w:after="0"/>
              <w:jc w:val="left"/>
            </w:pPr>
            <w:r>
              <w:rPr>
                <w:rFonts w:ascii="Times New Roman" w:hAnsi="Times New Roman" w:cs="Times New Roman" w:eastAsia="Times New Roman"/>
                <w:sz w:val="17"/>
              </w:rPr>
              <w:t xml:space="preserve">13:    </w:t>
            </w:r>
            <m:oMath>
              <m:r>
                <w:rPr>
                  <w:sz w:val="17"/>
                  <w:szCs w:val="17"/>
                </w:rPr>
                <m:t xml:space="preserve">U</m:t>
              </m:r>
            </m:oMath>
            <w:r>
              <w:rPr>
                <w:rFonts w:ascii="Times New Roman" w:hAnsi="Times New Roman" w:cs="Times New Roman" w:eastAsia="Times New Roman"/>
                <w:sz w:val="17"/>
              </w:rPr>
              <w:t xml:space="preserve"> ← </w:t>
            </w:r>
            <m:oMath>
              <m:r>
                <w:rPr>
                  <w:sz w:val="17"/>
                  <w:szCs w:val="17"/>
                </w:rPr>
                <m:t xml:space="preserve">K</m:t>
              </m:r>
            </m:oMath>
            <w:r>
              <w:rPr>
                <w:rFonts w:ascii="Times New Roman" w:hAnsi="Times New Roman" w:cs="Times New Roman" w:eastAsia="Times New Roman"/>
                <w:sz w:val="17"/>
              </w:rPr>
              <w:t xml:space="preserve"> features whose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is closest to </w:t>
            </w:r>
            <m:oMath>
              <m:r>
                <w:rPr>
                  <w:sz w:val="17"/>
                  <w:szCs w:val="17"/>
                </w:rPr>
                <m:t xml:space="preserve">τ</m:t>
              </m:r>
            </m:oMath>
            <w:r>
              <w:rPr>
                <w:rFonts w:ascii="Times New Roman" w:hAnsi="Times New Roman" w:cs="Times New Roman" w:eastAsia="Times New Roman"/>
                <w:sz w:val="17"/>
              </w:rPr>
              <w:t xml:space="preserve">   ▷ UMR on uncertain bits</w:t>
            </w:r>
          </w:p>
          <w:p>
            <w:pPr>
              <w:spacing w:after="0"/>
              <w:jc w:val="left"/>
            </w:pPr>
            <w:r>
              <w:rPr>
                <w:rFonts w:ascii="Times New Roman" w:hAnsi="Times New Roman" w:cs="Times New Roman" w:eastAsia="Times New Roman"/>
                <w:sz w:val="17"/>
              </w:rPr>
              <w:t xml:space="preserve">14:    for each </w:t>
            </w:r>
            <m:oMath>
              <m:r>
                <w:rPr>
                  <w:sz w:val="17"/>
                  <w:szCs w:val="17"/>
                </w:rPr>
                <m:t xml:space="preserve">j</m:t>
              </m:r>
              <m:r>
                <w:rPr>
                  <w:sz w:val="17"/>
                  <w:szCs w:val="17"/>
                </w:rPr>
                <m:t xml:space="preserve"> </m:t>
              </m:r>
              <m:r>
                <w:rPr>
                  <w:sz w:val="17"/>
                  <w:szCs w:val="17"/>
                </w:rPr>
                <m:t xml:space="preserve">∈</m:t>
              </m:r>
              <m:r>
                <w:rPr>
                  <w:sz w:val="17"/>
                  <w:szCs w:val="17"/>
                </w:rPr>
                <m:t xml:space="preserve"> </m:t>
              </m:r>
              <m:r>
                <w:rPr>
                  <w:sz w:val="17"/>
                  <w:szCs w:val="17"/>
                </w:rPr>
                <m:t xml:space="preserve">U</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15:       flip bit </w:t>
            </w:r>
            <m:oMath>
              <m:r>
                <w:rPr>
                  <w:sz w:val="17"/>
                  <w:szCs w:val="17"/>
                </w:rPr>
                <m:t xml:space="preserve">j</m:t>
              </m:r>
            </m:oMath>
            <w:r>
              <w:rPr>
                <w:rFonts w:ascii="Times New Roman" w:hAnsi="Times New Roman" w:cs="Times New Roman" w:eastAsia="Times New Roman"/>
                <w:sz w:val="17"/>
              </w:rPr>
              <w:t xml:space="preserve"> of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keep the flip only if fitness improves</w:t>
            </w:r>
          </w:p>
          <w:p>
            <w:pPr>
              <w:spacing w:after="0"/>
              <w:jc w:val="left"/>
            </w:pPr>
            <w:r>
              <w:rPr>
                <w:rFonts w:ascii="Times New Roman" w:hAnsi="Times New Roman" w:cs="Times New Roman" w:eastAsia="Times New Roman"/>
                <w:sz w:val="17"/>
              </w:rPr>
              <w:t xml:space="preserve">16: return </w:t>
            </w:r>
            <m:oMath>
              <m:sSup>
                <m:e>
                  <m:r>
                    <w:rPr>
                      <w:sz w:val="17"/>
                      <w:szCs w:val="17"/>
                    </w:rPr>
                    <m:t xml:space="preserve">b</m:t>
                  </m:r>
                </m:e>
                <m:sup>
                  <m:r>
                    <w:rPr>
                      <w:sz w:val="17"/>
                      <w:szCs w:val="17"/>
                    </w:rPr>
                    <m:t xml:space="preserve">*</m:t>
                  </m:r>
                </m:sup>
              </m:sSup>
            </m:oMath>
          </w:p>
        </w:tc>
      </w:tr>
    </w:tbl>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6.1 Problem formulation</w:t>
      </w:r>
    </w:p>
    <w:p>
      <w:pPr>
        <w:spacing w:line="360" w:lineRule="auto" w:after="200"/>
        <w:jc w:val="both"/>
      </w:pPr>
      <w:r>
        <w:rPr>
          <w:rFonts w:ascii="Times New Roman" w:hAnsi="Times New Roman" w:cs="Times New Roman" w:eastAsia="Times New Roman"/>
          <w:i w:val="0"/>
          <w:sz w:val="22"/>
        </w:rPr>
        <w:t>We encode a candidate subset as a binary mask b in {0,1}</w:t>
      </w:r>
      <w:r>
        <w:rPr>
          <w:rFonts w:ascii="Times New Roman" w:hAnsi="Times New Roman" w:cs="Times New Roman" w:eastAsia="Times New Roman"/>
          <w:i w:val="0"/>
          <w:sz w:val="22"/>
          <w:vertAlign w:val="superscript"/>
        </w:rPr>
        <w:t>d</w:t>
      </w:r>
      <w:r>
        <w:rPr>
          <w:rFonts w:ascii="Times New Roman" w:hAnsi="Times New Roman" w:cs="Times New Roman" w:eastAsia="Times New Roman"/>
          <w:i w:val="0"/>
          <w:sz w:val="22"/>
        </w:rPr>
        <w:t xml:space="preserve"> over the d features, where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marks feature j as selected. The wrapper objective minimizes a scalarized trade-off between predictive error and subset cardinality:</w:t>
      </w:r>
    </w:p>
    <w:p>
      <w:pPr>
        <w:jc w:val="center"/>
      </w:pPr>
      <m:oMathPara>
        <m:oMath>
          <m:r>
            <m:t>f</m:t>
          </m:r>
          <m:d>
            <m:dPr>
              <m:begChr m:val="("/>
              <m:endChr m:val=")"/>
            </m:dPr>
            <m:e>
              <m:r>
                <m:t>b</m:t>
              </m:r>
            </m:e>
          </m:d>
          <m:r>
            <m:t> = (1 − </m:t>
          </m:r>
          <m:r>
            <m:t>λ</m:t>
          </m:r>
          <m:r>
            <m:t>)</m:t>
          </m:r>
          <m:d>
            <m:dPr>
              <m:begChr m:val="("/>
              <m:endChr m:val=")"/>
            </m:dPr>
            <m:e>
              <m:r>
                <m:t>1 − Acc</m:t>
              </m:r>
              <m:d>
                <m:dPr>
                  <m:begChr m:val="("/>
                  <m:endChr m:val=")"/>
                </m:dPr>
                <m:e>
                  <m:r>
                    <m:t>b</m:t>
                  </m:r>
                </m:e>
              </m:d>
            </m:e>
          </m:d>
          <m:r>
            <m:t> + </m:t>
          </m:r>
          <m:r>
            <m:t>λ</m:t>
          </m:r>
          <m:f>
            <m:fPr/>
            <m:num>
              <m:r>
                <m:t>|b|</m:t>
              </m:r>
            </m:num>
            <m:den>
              <m:r>
                <m:t>d</m:t>
              </m:r>
            </m:den>
          </m:f>
          <m:r>
            <m:t>,   λ = 0.01</m:t>
          </m:r>
        </m:oMath>
      </m:oMathPara>
    </w:p>
    <w:p>
      <w:pPr>
        <w:spacing w:line="360" w:lineRule="auto" w:after="200"/>
        <w:jc w:val="both"/>
      </w:pPr>
      <w:r>
        <w:rPr>
          <w:rFonts w:ascii="Times New Roman" w:hAnsi="Times New Roman" w:cs="Times New Roman" w:eastAsia="Times New Roman"/>
          <w:i w:val="0"/>
          <w:sz w:val="22"/>
        </w:rPr>
        <w:t xml:space="preserve">where Acc(b) is the stratified 5-fold KNN accuracy (k = 5) computed on the selected features alone and </w:t>
      </w:r>
      <m:oMath>
        <m:r>
          <w:rPr>
            <w:sz w:val="22"/>
            <w:szCs w:val="22"/>
          </w:rPr>
          <m:t xml:space="preserve">λ</m:t>
        </m:r>
      </m:oMath>
      <w:r>
        <w:rPr>
          <w:rFonts w:ascii="Times New Roman" w:hAnsi="Times New Roman" w:cs="Times New Roman" w:eastAsia="Times New Roman"/>
          <w:i w:val="0"/>
          <w:sz w:val="22"/>
        </w:rPr>
        <w:t xml:space="preserve"> is the cardinality weight (Table 10, later in this section, reports a sensitivity sweep over </w:t>
      </w:r>
      <m:oMath>
        <m:r>
          <w:rPr>
            <w:sz w:val="22"/>
            <w:szCs w:val="22"/>
          </w:rPr>
          <m:t xml:space="preserve">λ)</m:t>
        </m:r>
      </m:oMath>
      <w:r>
        <w:rPr>
          <w:rFonts w:ascii="Times New Roman" w:hAnsi="Times New Roman" w:cs="Times New Roman" w:eastAsia="Times New Roman"/>
          <w:i w:val="0"/>
          <w:sz w:val="22"/>
        </w:rPr>
        <w:t xml:space="preserve">. Every baseline in this study optimizes this same objective with the same </w:t>
      </w:r>
      <m:oMath>
        <m:r>
          <w:rPr>
            <w:sz w:val="22"/>
            <w:szCs w:val="22"/>
          </w:rPr>
          <m:t xml:space="preserve">λ = 0.01</m:t>
        </m:r>
      </m:oMath>
      <w:r>
        <w:rPr>
          <w:rFonts w:ascii="Times New Roman" w:hAnsi="Times New Roman" w:cs="Times New Roman" w:eastAsia="Times New Roman"/>
          <w:i w:val="0"/>
          <w:sz w:val="22"/>
        </w:rPr>
        <w:t>.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pPr>
        <w:jc w:val="center"/>
      </w:pPr>
      <m:oMathPara>
        <m:oMath>
          <m:r>
            <m:t>R</m:t>
          </m:r>
          <m:d>
            <m:dPr>
              <m:begChr m:val="("/>
              <m:endChr m:val=")"/>
            </m:dPr>
            <m:e>
              <m:r>
                <m:t>t</m:t>
              </m:r>
            </m:e>
          </m:d>
          <m:r>
            <m:t> = </m:t>
          </m:r>
          <m:sSub>
            <m:e>
              <m:r>
                <m:t>S</m:t>
              </m:r>
            </m:e>
            <m:sub>
              <m:r>
                <m:t>M</m:t>
              </m:r>
            </m:sub>
          </m:sSub>
          <m:r>
            <m:t> − </m:t>
          </m:r>
          <m:sSub>
            <m:e>
              <m:r>
                <m:t>S</m:t>
              </m:r>
            </m:e>
            <m:sub>
              <m:r>
                <m:t>M</m:t>
              </m:r>
            </m:sub>
          </m:sSub>
          <m:r>
            <m:t>·</m:t>
          </m:r>
          <m:f>
            <m:fPr/>
            <m:num>
              <m:r>
                <m:t>t</m:t>
              </m:r>
            </m:num>
            <m:den>
              <m:sSub>
                <m:e>
                  <m:r>
                    <m:t>T</m:t>
                  </m:r>
                </m:e>
                <m:sub>
                  <m:r>
                    <m:t>max</m:t>
                  </m:r>
                </m:sub>
              </m:sSub>
            </m:den>
          </m:f>
          <m:r>
            <m:t>,   </m:t>
          </m:r>
          <m:sSub>
            <m:e>
              <m:r>
                <m:t>S</m:t>
              </m:r>
            </m:e>
            <m:sub>
              <m:r>
                <m:t>M</m:t>
              </m:r>
            </m:sub>
          </m:sSub>
          <m:r>
            <m:t> = 2</m:t>
          </m:r>
        </m:oMath>
      </m:oMathPara>
    </w:p>
    <w:p>
      <w:pPr>
        <w:spacing w:line="360" w:lineRule="auto" w:after="200"/>
        <w:jc w:val="both"/>
      </w:pPr>
      <w:r>
        <w:rPr>
          <w:rFonts w:ascii="Times New Roman" w:hAnsi="Times New Roman" w:cs="Times New Roman" w:eastAsia="Times New Roman"/>
          <w:i w:val="0"/>
          <w:sz w:val="22"/>
        </w:rPr>
        <w:t>which RG-SCSO retains while replacing the binarization and adding a relevance field.</w:t>
      </w:r>
    </w:p>
    <w:p>
      <w:pPr>
        <w:pStyle w:val="Heading2"/>
      </w:pPr>
      <w:r>
        <w:rPr>
          <w:rFonts w:ascii="Times New Roman" w:hAnsi="Times New Roman" w:cs="Times New Roman" w:eastAsia="Times New Roman"/>
        </w:rPr>
        <w:t>6.2 Theoretical motivation: transfer-function washout</w:t>
      </w:r>
    </w:p>
    <w:p>
      <w:pPr>
        <w:spacing w:line="360" w:lineRule="auto" w:after="200"/>
        <w:jc w:val="both"/>
      </w:pPr>
      <w:r>
        <w:rPr>
          <w:rFonts w:ascii="Times New Roman" w:hAnsi="Times New Roman" w:cs="Times New Roman" w:eastAsia="Times New Roman"/>
          <w:i w:val="0"/>
          <w:sz w:val="22"/>
        </w:rPr>
        <w:t xml:space="preserve">Consider any binary-native optimizer that keeps a real-valued position and binarizes coordinate j through a transfer T: R </w:t>
      </w:r>
      <m:oMath>
        <m:r>
          <w:rPr>
            <w:sz w:val="22"/>
            <w:szCs w:val="22"/>
          </w:rPr>
          <m:t xml:space="preserve">→ [0,1]</m:t>
        </m:r>
      </m:oMath>
      <w:r>
        <w:rPr>
          <w:rFonts w:ascii="Times New Roman" w:hAnsi="Times New Roman" w:cs="Times New Roman" w:eastAsia="Times New Roman"/>
          <w:i w:val="0"/>
          <w:sz w:val="22"/>
        </w:rPr>
        <w:t xml:space="preserve"> that returns a selection-or-flip probability. A continuous-space enhancement can influence the retained subset only by perturbing a coordinate,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w:t>
      </w:r>
      <m:oMath>
        <m:sSub>
          <m:e>
            <m:r>
              <w:rPr>
                <w:sz w:val="22"/>
                <w:szCs w:val="22"/>
              </w:rPr>
              <m:t xml:space="preserve">x</m:t>
            </m:r>
          </m:e>
          <m:sub>
            <m:r>
              <w:rPr>
                <w:sz w:val="22"/>
                <w:szCs w:val="22"/>
              </w:rPr>
              <m:t xml:space="preserve">j</m:t>
            </m:r>
          </m:sub>
        </m:sSub>
        <m:r>
          <w:rPr>
            <w:sz w:val="22"/>
            <w:szCs w:val="22"/>
          </w:rPr>
          <m:t xml:space="preserve"> + </m:t>
        </m:r>
        <m:sSub>
          <m:e>
            <m:r>
              <w:rPr>
                <w:sz w:val="22"/>
                <w:szCs w:val="22"/>
              </w:rPr>
              <m:t xml:space="preserve">δ</m:t>
            </m:r>
          </m:e>
          <m:sub>
            <m:r>
              <w:rPr>
                <w:sz w:val="22"/>
                <w:szCs w:val="22"/>
              </w:rPr>
              <m:t xml:space="preserve">j</m:t>
            </m:r>
          </m:sub>
        </m:sSub>
      </m:oMath>
      <w:r>
        <w:rPr>
          <w:rFonts w:ascii="Times New Roman" w:hAnsi="Times New Roman" w:cs="Times New Roman" w:eastAsia="Times New Roman"/>
          <w:i w:val="0"/>
          <w:sz w:val="22"/>
        </w:rPr>
        <w:t xml:space="preserve">; its entire effect on the discrete decision is the induced change in probability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val="0"/>
          <w:sz w:val="22"/>
        </w:rPr>
        <w:t xml:space="preserve"> = </w:t>
      </w:r>
      <m:oMath>
        <m:r>
          <w:rPr>
            <w:sz w:val="22"/>
            <w:szCs w:val="22"/>
          </w:rPr>
          <m:t xml:space="preserve">T(</m:t>
        </m:r>
        <m:sSub>
          <m:e>
            <m:r>
              <w:rPr>
                <w:sz w:val="22"/>
                <w:szCs w:val="22"/>
              </w:rPr>
              <m:t xml:space="preserve">x</m:t>
            </m:r>
          </m:e>
          <m:sub>
            <m:r>
              <w:rPr>
                <w:sz w:val="22"/>
                <w:szCs w:val="22"/>
              </w:rPr>
              <m:t xml:space="preserve">j</m:t>
            </m:r>
          </m:sub>
        </m:sSub>
        <m:r>
          <w:rPr>
            <w:sz w:val="22"/>
            <w:szCs w:val="22"/>
          </w:rPr>
          <m:t xml:space="preserve">+</m:t>
        </m:r>
        <m:sSub>
          <m:e>
            <m:r>
              <w:rPr>
                <w:sz w:val="22"/>
                <w:szCs w:val="22"/>
              </w:rPr>
              <m:t xml:space="preserve">δ</m:t>
            </m:r>
          </m:e>
          <m:sub>
            <m:r>
              <w:rPr>
                <w:sz w:val="22"/>
                <w:szCs w:val="22"/>
              </w:rPr>
              <m:t xml:space="preserve">j</m:t>
            </m:r>
          </m:sub>
        </m:sSub>
        <m:r>
          <w:rPr>
            <w:sz w:val="22"/>
            <w:szCs w:val="22"/>
          </w:rPr>
          <m:t xml:space="preserve">)</m:t>
        </m:r>
      </m:oMath>
      <w:r>
        <w:rPr>
          <w:rFonts w:ascii="Times New Roman" w:hAnsi="Times New Roman" w:cs="Times New Roman" w:eastAsia="Times New Roman"/>
          <w:i w:val="0"/>
          <w:sz w:val="22"/>
        </w:rPr>
        <w:t xml:space="preserve">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next result shows this leverage is governed by the local slope of T alone, and therefore collapses wherever T saturates, the mechanism we call washout.</w:t>
      </w:r>
    </w:p>
    <w:p>
      <w:r>
        <w:rPr>
          <w:rFonts w:ascii="Times New Roman" w:hAnsi="Times New Roman" w:cs="Times New Roman" w:eastAsia="Times New Roman"/>
          <w:b/>
        </w:rPr>
        <w:t xml:space="preserve">Lemma 1 (Leverage bound). </w:t>
      </w:r>
      <w:r>
        <w:rPr>
          <w:rFonts w:ascii="Times New Roman" w:hAnsi="Times New Roman" w:cs="Times New Roman" w:eastAsia="Times New Roman"/>
          <w:i/>
        </w:rPr>
        <w:t xml:space="preserve">Let T: R </w:t>
      </w:r>
      <m:oMath>
        <m:r>
          <w:rPr>
            <w:sz w:val="22"/>
            <w:szCs w:val="22"/>
          </w:rPr>
          <m:t xml:space="preserve">→ [0,1]</m:t>
        </m:r>
      </m:oMath>
      <w:r>
        <w:rPr>
          <w:rFonts w:ascii="Times New Roman" w:hAnsi="Times New Roman" w:cs="Times New Roman" w:eastAsia="Times New Roman"/>
          <w:i/>
        </w:rPr>
        <w:t xml:space="preserve"> be Lipschitz and piecewise continuously differentiable. If a coordinate-space enhancement perturbs x</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by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rPr>
        <w:t>, the induced change in the selection or flip probability satisfies</w:t>
      </w:r>
    </w:p>
    <w:p>
      <w:pPr>
        <w:jc w:val="center"/>
      </w:pPr>
      <m:oMathPara>
        <m:oMath>
          <m:d>
            <m:dPr>
              <m:begChr m:val="|"/>
              <m:endChr m:val="|"/>
            </m:dPr>
            <m:e>
              <m:sSub>
                <m:e>
                  <m:r>
                    <m:t>Δ</m:t>
                  </m:r>
                </m:e>
                <m:sub>
                  <m:r>
                    <m:t>j</m:t>
                  </m:r>
                </m:sub>
              </m:sSub>
            </m:e>
          </m:d>
          <m:r>
            <m:t> ≤ </m:t>
          </m:r>
          <m:sSub>
            <m:e>
              <m:d>
                <m:dPr>
                  <m:begChr m:val="‖"/>
                  <m:endChr m:val="‖"/>
                </m:dPr>
                <m:e>
                  <m:r>
                    <m:t>T′</m:t>
                  </m:r>
                </m:e>
              </m:d>
            </m:e>
            <m:sub>
              <m:r>
                <m:t>∞</m:t>
              </m:r>
            </m:sub>
          </m:sSub>
          <m:r>
            <m:t> · </m:t>
          </m:r>
          <m:d>
            <m:dPr>
              <m:begChr m:val="|"/>
              <m:endChr m:val="|"/>
            </m:dPr>
            <m:e>
              <m:sSub>
                <m:e>
                  <m:r>
                    <m:t>δ</m:t>
                  </m:r>
                </m:e>
                <m:sub>
                  <m:r>
                    <m:t>j</m:t>
                  </m:r>
                </m:sub>
              </m:sSub>
            </m:e>
          </m:d>
        </m:oMath>
      </m:oMathPara>
    </w:p>
    <w:p>
      <w:pPr>
        <w:spacing w:line="360" w:lineRule="auto" w:after="200"/>
        <w:jc w:val="both"/>
      </w:pPr>
      <w:r>
        <w:rPr>
          <w:rFonts w:ascii="Times New Roman" w:hAnsi="Times New Roman" w:cs="Times New Roman" w:eastAsia="Times New Roman"/>
          <w:i/>
          <w:sz w:val="22"/>
        </w:rPr>
        <w:t xml:space="preserve">where </w:t>
      </w:r>
      <m:oMath>
        <m:r>
          <w:rPr>
            <w:sz w:val="22"/>
            <w:szCs w:val="22"/>
          </w:rPr>
          <m:t xml:space="preserve">‖</m:t>
        </m:r>
        <m:sSup>
          <m:e>
            <m:r>
              <w:rPr>
                <w:sz w:val="22"/>
                <w:szCs w:val="22"/>
              </w:rPr>
              <m:t xml:space="preserve">T</m:t>
            </m:r>
          </m:e>
          <m:sup>
            <m:r>
              <w:rPr>
                <w:sz w:val="22"/>
                <w:szCs w:val="22"/>
              </w:rPr>
              <m:t xml:space="preserve">′</m:t>
            </m:r>
          </m:sup>
        </m:sSup>
        <m:r>
          <w:rPr>
            <w:sz w:val="22"/>
            <w:szCs w:val="22"/>
          </w:rPr>
          <m:t xml:space="preserve">‖∞</m:t>
        </m:r>
      </m:oMath>
      <w:r>
        <w:rPr>
          <w:rFonts w:ascii="Times New Roman" w:hAnsi="Times New Roman" w:cs="Times New Roman" w:eastAsia="Times New Roman"/>
          <w:i/>
          <w:sz w:val="22"/>
        </w:rPr>
        <w:t xml:space="preserve"> is the largest slope T attains between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xml:space="preserve"> and </w:t>
      </w:r>
      <m:oMath>
        <m:sSub>
          <m:e>
            <m:r>
              <w:rPr>
                <w:sz w:val="22"/>
                <w:szCs w:val="22"/>
              </w:rPr>
              <m:t xml:space="preserve">x</m:t>
            </m:r>
          </m:e>
          <m:sub>
            <m:r>
              <w:rPr>
                <w:sz w:val="22"/>
                <w:szCs w:val="22"/>
              </w:rPr>
              <m:t xml:space="preserve">j</m:t>
            </m:r>
          </m:sub>
        </m:sSub>
        <m:r>
          <w:rPr>
            <w:sz w:val="22"/>
            <w:szCs w:val="22"/>
          </w:rPr>
          <m:t xml:space="preserve">+</m:t>
        </m:r>
        <m:sSub>
          <m:e>
            <m:r>
              <w:rPr>
                <w:sz w:val="22"/>
                <w:szCs w:val="22"/>
              </w:rPr>
              <m:t xml:space="preserve">δ</m:t>
            </m:r>
          </m:e>
          <m:sub>
            <m:r>
              <w:rPr>
                <w:sz w:val="22"/>
                <w:szCs w:val="22"/>
              </w:rPr>
              <m:t xml:space="preserve">j</m:t>
            </m:r>
          </m:sub>
        </m:sSub>
      </m:oMath>
      <w:r>
        <w:rPr>
          <w:rFonts w:ascii="Times New Roman" w:hAnsi="Times New Roman" w:cs="Times New Roman" w:eastAsia="Times New Roman"/>
          <w:i/>
          <w:sz w:val="22"/>
        </w:rPr>
        <w:t xml:space="preserve">. For the two standard transfers </w:t>
      </w:r>
      <m:oMath>
        <m:r>
          <w:rPr>
            <w:sz w:val="22"/>
            <w:szCs w:val="22"/>
          </w:rPr>
          <m:t xml:space="preserve">‖</m:t>
        </m:r>
        <m:sSup>
          <m:e>
            <m:r>
              <w:rPr>
                <w:sz w:val="22"/>
                <w:szCs w:val="22"/>
              </w:rPr>
              <m:t xml:space="preserve">σ</m:t>
            </m:r>
          </m:e>
          <m:sup>
            <m:r>
              <w:rPr>
                <w:sz w:val="22"/>
                <w:szCs w:val="22"/>
              </w:rPr>
              <m:t xml:space="preserve">′</m:t>
            </m:r>
          </m:sup>
        </m:sSup>
        <m:r>
          <w:rPr>
            <w:sz w:val="22"/>
            <w:szCs w:val="22"/>
          </w:rPr>
          <m:t xml:space="preserve">‖∞ = 1/4</m:t>
        </m:r>
      </m:oMath>
      <w:r>
        <w:rPr>
          <w:rFonts w:ascii="Times New Roman" w:hAnsi="Times New Roman" w:cs="Times New Roman" w:eastAsia="Times New Roman"/>
          <w:i/>
          <w:sz w:val="22"/>
        </w:rPr>
        <w:t xml:space="preserve"> and ‖|tanh</w:t>
      </w:r>
      <m:oMath>
        <m:sSup>
          <m:e>
            <m:r>
              <w:rPr>
                <w:sz w:val="22"/>
                <w:szCs w:val="22"/>
              </w:rPr>
              <m:t xml:space="preserve">|</m:t>
            </m:r>
          </m:e>
          <m:sup>
            <m:r>
              <w:rPr>
                <w:sz w:val="22"/>
                <w:szCs w:val="22"/>
              </w:rPr>
              <m:t xml:space="preserve">′</m:t>
            </m:r>
          </m:sup>
        </m:sSup>
        <m:r>
          <w:rPr>
            <w:sz w:val="22"/>
            <w:szCs w:val="22"/>
          </w:rPr>
          <m:t xml:space="preserve">‖∞ = 1</m:t>
        </m:r>
      </m:oMath>
      <w:r>
        <w:rPr>
          <w:rFonts w:ascii="Times New Roman" w:hAnsi="Times New Roman" w:cs="Times New Roman" w:eastAsia="Times New Roman"/>
          <w:i/>
          <w:sz w:val="22"/>
        </w:rPr>
        <w:t>, and each slope decays away from the origin,</w:t>
      </w:r>
    </w:p>
    <w:p>
      <w:pPr>
        <w:jc w:val="center"/>
      </w:pPr>
      <m:oMathPara>
        <m:oMath>
          <m:r>
            <m:t>σ′</m:t>
          </m:r>
          <m:d>
            <m:dPr>
              <m:begChr m:val="("/>
              <m:endChr m:val=")"/>
            </m:dPr>
            <m:e>
              <m:r>
                <m:t>x</m:t>
              </m:r>
            </m:e>
          </m:d>
          <m:r>
            <m:t> ≤ </m:t>
          </m:r>
          <m:sSup>
            <m:e>
              <m:r>
                <m:t>e</m:t>
              </m:r>
            </m:e>
            <m:sup>
              <m:r>
                <m:t>−|x|</m:t>
              </m:r>
            </m:sup>
          </m:sSup>
        </m:oMath>
      </m:oMathPara>
    </w:p>
    <w:p>
      <w:pPr>
        <w:jc w:val="center"/>
      </w:pPr>
      <m:oMathPara>
        <m:oMath>
          <m:d>
            <m:dPr>
              <m:begChr m:val="|"/>
              <m:endChr m:val="|"/>
            </m:dPr>
            <m:e>
              <m:r>
                <m:t>|tanh|′</m:t>
              </m:r>
              <m:d>
                <m:dPr>
                  <m:begChr m:val="("/>
                  <m:endChr m:val=")"/>
                </m:dPr>
                <m:e>
                  <m:r>
                    <m:t>x</m:t>
                  </m:r>
                </m:e>
              </m:d>
            </m:e>
          </m:d>
          <m:r>
            <m:t> ≤ 4</m:t>
          </m:r>
          <m:sSup>
            <m:e>
              <m:r>
                <m:t>e</m:t>
              </m:r>
            </m:e>
            <m:sup>
              <m:r>
                <m:t>−2|x|</m:t>
              </m:r>
            </m:sup>
          </m:sSup>
        </m:oMath>
      </m:oMathPara>
    </w:p>
    <w:p>
      <w:pPr>
        <w:spacing w:line="360" w:lineRule="auto" w:after="200"/>
        <w:jc w:val="both"/>
      </w:pPr>
      <w:r>
        <w:rPr>
          <w:rFonts w:ascii="Times New Roman" w:hAnsi="Times New Roman" w:cs="Times New Roman" w:eastAsia="Times New Roman"/>
          <w:i/>
          <w:sz w:val="22"/>
        </w:rPr>
        <w:t xml:space="preserve">in a flat region, where </w:t>
      </w:r>
      <m:oMath>
        <m:r>
          <w:rPr>
            <w:sz w:val="22"/>
            <w:szCs w:val="22"/>
          </w:rPr>
          <m:t xml:space="preserve">‖</m:t>
        </m:r>
        <m:sSup>
          <m:e>
            <m:r>
              <w:rPr>
                <w:sz w:val="22"/>
                <w:szCs w:val="22"/>
              </w:rPr>
              <m:t xml:space="preserve">T</m:t>
            </m:r>
          </m:e>
          <m:sup>
            <m:r>
              <w:rPr>
                <w:sz w:val="22"/>
                <w:szCs w:val="22"/>
              </w:rPr>
              <m:t xml:space="preserve">′</m:t>
            </m:r>
          </m:sup>
        </m:sSup>
        <m:r>
          <w:rPr>
            <w:sz w:val="22"/>
            <w:szCs w:val="22"/>
          </w:rPr>
          <m:t xml:space="preserve">‖∞ ≤ ε</m:t>
        </m:r>
      </m:oMath>
      <w:r>
        <w:rPr>
          <w:rFonts w:ascii="Times New Roman" w:hAnsi="Times New Roman" w:cs="Times New Roman" w:eastAsia="Times New Roman"/>
          <w:i/>
          <w:sz w:val="22"/>
        </w:rPr>
        <w:t xml:space="preserve">, the leverage collapses to </w:t>
      </w:r>
      <m:oMath>
        <m:r>
          <w:rPr>
            <w:sz w:val="22"/>
            <w:szCs w:val="22"/>
          </w:rPr>
          <m:t xml:space="preserve">|</m:t>
        </m:r>
        <m:sSub>
          <m:e>
            <m:r>
              <w:rPr>
                <w:sz w:val="22"/>
                <w:szCs w:val="22"/>
              </w:rPr>
              <m:t xml:space="preserve">Δ</m:t>
            </m:r>
          </m:e>
          <m:sub>
            <m:r>
              <w:rPr>
                <w:sz w:val="22"/>
                <w:szCs w:val="22"/>
              </w:rPr>
              <m:t xml:space="preserve">j</m:t>
            </m:r>
          </m:sub>
        </m:sSub>
        <m:r>
          <w:rPr>
            <w:sz w:val="22"/>
            <w:szCs w:val="22"/>
          </w:rPr>
          <m:t xml:space="preserve">| ≤ ε·|</m:t>
        </m:r>
        <m:sSub>
          <m:e>
            <m:r>
              <w:rPr>
                <w:sz w:val="22"/>
                <w:szCs w:val="22"/>
              </w:rPr>
              <m:t xml:space="preserve">δ</m:t>
            </m:r>
          </m:e>
          <m:sub>
            <m:r>
              <w:rPr>
                <w:sz w:val="22"/>
                <w:szCs w:val="22"/>
              </w:rPr>
              <m:t xml:space="preserve">j</m:t>
            </m:r>
          </m:sub>
        </m:sSub>
        <m:r>
          <w:rPr>
            <w:sz w:val="22"/>
            <w:szCs w:val="22"/>
          </w:rPr>
          <m:t xml:space="preserve">|</m:t>
        </m:r>
      </m:oMath>
      <w:r>
        <w:rPr>
          <w:rFonts w:ascii="Times New Roman" w:hAnsi="Times New Roman" w:cs="Times New Roman" w:eastAsia="Times New Roman"/>
          <w:i/>
          <w:sz w:val="22"/>
        </w:rPr>
        <w:t xml:space="preserve"> (proof in the Supplementary Information PDF distributed with this submission).</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895065"/>
            <wp:docPr id="10" name="Picture 10"/>
            <wp:cNvGraphicFramePr>
              <a:graphicFrameLocks noChangeAspect="1"/>
            </wp:cNvGraphicFramePr>
            <a:graphic>
              <a:graphicData uri="http://schemas.openxmlformats.org/drawingml/2006/picture">
                <pic:pic>
                  <pic:nvPicPr>
                    <pic:cNvPr id="0" name="washout.png"/>
                    <pic:cNvPicPr/>
                  </pic:nvPicPr>
                  <pic:blipFill>
                    <a:blip r:embed="rId18"/>
                    <a:stretch>
                      <a:fillRect/>
                    </a:stretch>
                  </pic:blipFill>
                  <pic:spPr>
                    <a:xfrm>
                      <a:off x="0" y="0"/>
                      <a:ext cx="4846320" cy="1895065"/>
                    </a:xfrm>
                    <a:prstGeom prst="rect"/>
                  </pic:spPr>
                </pic:pic>
              </a:graphicData>
            </a:graphic>
          </wp:inline>
        </w:drawing>
      </w:r>
    </w:p>
    <w:p>
      <w:pPr>
        <w:jc w:val="center"/>
      </w:pPr>
      <w:r>
        <w:rPr>
          <w:rFonts w:ascii="Times New Roman" w:hAnsi="Times New Roman" w:cs="Times New Roman" w:eastAsia="Times New Roman"/>
          <w:sz w:val="17"/>
        </w:rPr>
        <w:t xml:space="preserve">Fig. 10. Illustration of Lemma 1. Left: the two standard transfers, S-shaped (sigmoid) and V-shaped (|tanh|). Right: the induced leverage </w:t>
      </w:r>
      <m:oMath>
        <m:r>
          <w:rPr>
            <w:sz w:val="22"/>
            <w:szCs w:val="22"/>
          </w:rPr>
          <m:t xml:space="preserve">|T(x+δ)−T(x)|</m:t>
        </m:r>
      </m:oMath>
      <w:r>
        <w:rPr>
          <w:rFonts w:ascii="Times New Roman" w:hAnsi="Times New Roman" w:cs="Times New Roman" w:eastAsia="Times New Roman"/>
          <w:sz w:val="17"/>
        </w:rPr>
        <w:t xml:space="preserve"> for a fixed perturbation </w:t>
      </w:r>
      <m:oMath>
        <m:r>
          <w:rPr>
            <w:sz w:val="22"/>
            <w:szCs w:val="22"/>
          </w:rPr>
          <m:t xml:space="preserve">δ=0.2</m:t>
        </m:r>
      </m:oMath>
      <w:r>
        <w:rPr>
          <w:rFonts w:ascii="Times New Roman" w:hAnsi="Times New Roman" w:cs="Times New Roman" w:eastAsia="Times New Roman"/>
          <w:sz w:val="17"/>
        </w:rPr>
        <w:t xml:space="preserve">, plotted against the coordinate x. Both transfers saturate away from the origin (shaded region), where leverage falls toward zero regardless of which optimizer produced the perturbation; V-shaped attains a higher peak leverage near the origin but saturates over a narrower range than S-shaped. RG-SCSO's flip-probability modulation bypasses this transfer entirely (Remark below), so its leverage does not collapse in the shaded region.</w:t>
      </w:r>
    </w:p>
    <w:p>
      <w:pPr>
        <w:sectPr>
          <w:type w:val="continuous"/>
          <w:pgSz w:w="11906" w:h="16838"/>
          <w:pgMar w:top="1134" w:right="1134" w:bottom="1134" w:left="1134" w:header="720" w:footer="720" w:gutter="0"/>
          <w:cols w:space="460" w:num="1"/>
          <w:docGrid w:linePitch="360"/>
        </w:sectPr>
      </w:pPr>
    </w:p>
    <w:p>
      <w:r>
        <w:rPr>
          <w:rFonts w:ascii="Times New Roman" w:hAnsi="Times New Roman" w:cs="Times New Roman" w:eastAsia="Times New Roman"/>
          <w:b/>
        </w:rPr>
        <w:t xml:space="preserve">Remark (why RG-SCSO is exempt). </w:t>
      </w:r>
      <w:r>
        <w:rPr>
          <w:rFonts w:ascii="Times New Roman" w:hAnsi="Times New Roman" w:cs="Times New Roman" w:eastAsia="Times New Roman"/>
        </w:rPr>
        <w:t>RG-SCSO breaks the premise of the lemma: instead of routing information through the coordinate, it modulates the flip probability directly at the transfer output,</w:t>
      </w:r>
    </w:p>
    <w:p>
      <w:pPr>
        <w:jc w:val="center"/>
      </w:pPr>
      <m:oMathPara>
        <m:oMath>
          <m:sSub>
            <m:e>
              <m:r>
                <m:t>Δ</m:t>
              </m:r>
            </m:e>
            <m:sub>
              <m:r>
                <m:t>j</m:t>
              </m:r>
            </m:sub>
          </m:sSub>
          <m:r>
            <m:t> = ± γ·</m:t>
          </m:r>
          <m:sSub>
            <m:e>
              <m:r>
                <m:t>s</m:t>
              </m:r>
            </m:e>
            <m:sub>
              <m:r>
                <m:t>j</m:t>
              </m:r>
            </m:sub>
          </m:sSub>
          <m:r>
            <m:t>·V</m:t>
          </m:r>
          <m:d>
            <m:dPr>
              <m:begChr m:val="("/>
              <m:endChr m:val=")"/>
            </m:dPr>
            <m:e>
              <m:sSub>
                <m:e>
                  <m:r>
                    <m:t>x</m:t>
                  </m:r>
                </m:e>
                <m:sub>
                  <m:r>
                    <m:t>j</m:t>
                  </m:r>
                </m:sub>
              </m:sSub>
            </m:e>
          </m:d>
        </m:oMath>
      </m:oMathPara>
      <w:r>
        <w:rPr>
          <w:rFonts w:ascii="Times New Roman" w:hAnsi="Times New Roman" w:cs="Times New Roman" w:eastAsia="Times New Roman"/>
          <w:sz w:val="22"/>
        </w:rPr>
        <w:t xml:space="preserve">   independent of T′.</w:t>
      </w:r>
    </w:p>
    <w:p>
      <w:r>
        <w:rPr>
          <w:rFonts w:ascii="Times New Roman" w:hAnsi="Times New Roman" w:cs="Times New Roman" w:eastAsia="Times New Roman"/>
        </w:rPr>
        <w:t xml:space="preserve">This exemption has one boundary case worth flagging: it holds where the clip in Eq. (2) is inactive. If </w:t>
      </w:r>
      <m:oMath>
        <m:r>
          <w:rPr>
            <w:sz w:val="22"/>
            <w:szCs w:val="22"/>
          </w:rPr>
          <m:t xml:space="preserve">V(</m:t>
        </m:r>
        <m:sSub>
          <m:e>
            <m:r>
              <w:rPr>
                <w:sz w:val="22"/>
                <w:szCs w:val="22"/>
              </w:rPr>
              <m:t xml:space="preserve">x</m:t>
            </m:r>
          </m:e>
          <m:sub>
            <m:r>
              <w:rPr>
                <w:sz w:val="22"/>
                <w:szCs w:val="22"/>
              </w:rPr>
              <m:t xml:space="preserve">j</m:t>
            </m:r>
          </m:sub>
        </m:sSub>
        <m:r>
          <w:rPr>
            <w:sz w:val="22"/>
            <w:szCs w:val="22"/>
          </w:rPr>
          <m:t xml:space="preserve">)(1+γ</m:t>
        </m:r>
        <m:sSub>
          <m:e>
            <m:r>
              <w:rPr>
                <w:sz w:val="22"/>
                <w:szCs w:val="22"/>
              </w:rPr>
              <m:t xml:space="preserve">σ</m:t>
            </m:r>
          </m:e>
          <m:sub>
            <m:r>
              <w:rPr>
                <w:sz w:val="22"/>
                <w:szCs w:val="22"/>
              </w:rPr>
              <m:t xml:space="preserve">j</m:t>
            </m:r>
          </m:sub>
        </m:sSub>
        <m:sSub>
          <m:e>
            <m:r>
              <w:rPr>
                <w:sz w:val="22"/>
                <w:szCs w:val="22"/>
              </w:rPr>
              <m:t xml:space="preserve">s</m:t>
            </m:r>
          </m:e>
          <m:sub>
            <m:r>
              <w:rPr>
                <w:sz w:val="22"/>
                <w:szCs w:val="22"/>
              </w:rPr>
              <m:t xml:space="preserve">j</m:t>
            </m:r>
          </m:sub>
        </m:sSub>
        <m:r>
          <w:rPr>
            <w:sz w:val="22"/>
            <w:szCs w:val="22"/>
          </w:rPr>
          <m:t xml:space="preserve">)</m:t>
        </m:r>
      </m:oMath>
      <w:r>
        <w:rPr>
          <w:rFonts w:ascii="Times New Roman" w:hAnsi="Times New Roman" w:cs="Times New Roman" w:eastAsia="Times New Roman"/>
        </w:rPr>
        <w:t xml:space="preserve"> already falls outside [0,1], the clip absorbs the modulation and pⱼ saturates regardless of </w:t>
      </w:r>
      <m:oMath>
        <m:r>
          <w:rPr>
            <w:sz w:val="22"/>
            <w:szCs w:val="22"/>
          </w:rPr>
          <m:t xml:space="preserve">γ</m:t>
        </m:r>
      </m:oMath>
      <w:r>
        <w:rPr>
          <w:rFonts w:ascii="Times New Roman" w:hAnsi="Times New Roman" w:cs="Times New Roman" w:eastAsia="Times New Roman"/>
        </w:rPr>
        <w:t xml:space="preserve">, so RG-SCSO is not immune to washout at that extreme. It is immune only to the slope-driven collapse that constrains the base transfer everywhere short of it.</w:t>
      </w:r>
    </w:p>
    <w:p>
      <w:r>
        <w:rPr>
          <w:rFonts w:ascii="Times New Roman" w:hAnsi="Times New Roman" w:cs="Times New Roman" w:eastAsia="Times New Roman"/>
          <w:i/>
        </w:rPr>
        <w:t>The base transfer T still appears inside RG-SCSO's own rule as one multiplicative factor (Eq. (2) below), but Proposition 2, which follows next, characterizes only the base operator's transition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itself, not RG-SCSO's realized flip probability p</w:t>
      </w:r>
      <w:r>
        <w:rPr>
          <w:rFonts w:ascii="Times New Roman" w:hAnsi="Times New Roman" w:cs="Times New Roman" w:eastAsia="Times New Roman"/>
          <w:i/>
          <w:vertAlign w:val="subscript"/>
        </w:rPr>
        <w:t>j</w:t>
      </w:r>
      <w:r>
        <w:rPr>
          <w:rFonts w:ascii="Times New Roman" w:hAnsi="Times New Roman" w:cs="Times New Roman" w:eastAsia="Times New Roman"/>
          <w:i/>
        </w:rPr>
        <w:t>, which this Remark has just shown is exempt from Lemma 1's bound by construction.</w:t>
      </w:r>
    </w:p>
    <w:p>
      <w:r>
        <w:rPr>
          <w:rFonts w:ascii="Times New Roman" w:hAnsi="Times New Roman" w:cs="Times New Roman" w:eastAsia="Times New Roman"/>
          <w:b/>
        </w:rPr>
        <w:t xml:space="preserve">Proposition 2 (Transition probability under the base V-shaped transfer). </w:t>
      </w:r>
      <w:r>
        <w:rPr>
          <w:rFonts w:ascii="Times New Roman" w:hAnsi="Times New Roman" w:cs="Times New Roman" w:eastAsia="Times New Roman"/>
          <w:i/>
        </w:rPr>
        <w:t>This proposition characterizes only the base, unmodulated V-shaped transfer introduced above (the NoRMS reference operator used in the ablation); RG-SCSO's own operator is exempt from it by construction, per the Remark above. Under this unmodulated V-shaped binarization rule, bit j flips at iteration t with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so the base operator's one-step bit-transition probability coincides with T,</w:t>
      </w:r>
    </w:p>
    <w:p>
      <w:pPr>
        <w:jc w:val="center"/>
      </w:pPr>
      <m:oMathPara>
        <m:oMath>
          <m:sSub>
            <m:e>
              <m:r>
                <m:t>P</m:t>
              </m:r>
            </m:e>
            <m:sub>
              <m:r>
                <m:t>base</m:t>
              </m:r>
            </m:sub>
          </m:sSub>
          <m:d>
            <m:dPr>
              <m:begChr m:val="("/>
              <m:endChr m:val=")"/>
            </m:dPr>
            <m:e>
              <m:sSub>
                <m:e>
                  <m:r>
                    <m:t>b</m:t>
                  </m:r>
                </m:e>
                <m:sub>
                  <m:r>
                    <m:t>j</m:t>
                  </m:r>
                </m:sub>
              </m:sSub>
              <m:r>
                <m:t>(t+1)≠</m:t>
              </m:r>
              <m:sSub>
                <m:e>
                  <m:r>
                    <m:t>b</m:t>
                  </m:r>
                </m:e>
                <m:sub>
                  <m:r>
                    <m:t>j</m:t>
                  </m:r>
                </m:sub>
              </m:sSub>
              <m:r>
                <m:t>(t) | </m:t>
              </m:r>
              <m:sSub>
                <m:e>
                  <m:r>
                    <m:t>x</m:t>
                  </m:r>
                </m:e>
                <m:sub>
                  <m:r>
                    <m:t>j</m:t>
                  </m:r>
                </m:sub>
              </m:sSub>
              <m:r>
                <m:t>(t)</m:t>
              </m:r>
            </m:e>
          </m:d>
          <m:r>
            <m:t> = T</m:t>
          </m:r>
          <m:d>
            <m:dPr>
              <m:begChr m:val="("/>
              <m:endChr m:val=")"/>
            </m:dPr>
            <m:e>
              <m:sSub>
                <m:e>
                  <m:r>
                    <m:t>x</m:t>
                  </m:r>
                </m:e>
                <m:sub>
                  <m:r>
                    <m:t>j</m:t>
                  </m:r>
                </m:sub>
              </m:sSub>
              <m:r>
                <m:t>(t)</m:t>
              </m:r>
            </m:e>
          </m:d>
        </m:oMath>
      </m:oMathPara>
    </w:p>
    <w:p>
      <w:r>
        <w:rPr>
          <w:rFonts w:ascii="Times New Roman" w:hAnsi="Times New Roman" w:cs="Times New Roman" w:eastAsia="Times New Roman"/>
          <w:i/>
        </w:rPr>
        <w:t xml:space="preserve">Lemma 1's bound on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rPr>
        <w:t xml:space="preserve"> is therefore, without further assumption, already a bound on the one-step change in the base operator's transition probability,</w:t>
      </w:r>
    </w:p>
    <w:p>
      <w:pPr>
        <w:jc w:val="center"/>
      </w:pPr>
      <m:oMathPara>
        <m:oMath>
          <m:d>
            <m:dPr>
              <m:begChr m:val="|"/>
              <m:endChr m:val="|"/>
            </m:dPr>
            <m:e>
              <m:r>
                <m:t>ΔP</m:t>
              </m:r>
              <m:d>
                <m:dPr>
                  <m:begChr m:val="("/>
                  <m:endChr m:val=")"/>
                </m:dPr>
                <m:e>
                  <m:sSub>
                    <m:e>
                      <m:r>
                        <m:t>b</m:t>
                      </m:r>
                    </m:e>
                    <m:sub>
                      <m:r>
                        <m:t>j</m:t>
                      </m:r>
                    </m:sub>
                  </m:sSub>
                  <m:r>
                    <m:t>(t+1)≠</m:t>
                  </m:r>
                  <m:sSub>
                    <m:e>
                      <m:r>
                        <m:t>b</m:t>
                      </m:r>
                    </m:e>
                    <m:sub>
                      <m:r>
                        <m:t>j</m:t>
                      </m:r>
                    </m:sub>
                  </m:sSub>
                  <m:r>
                    <m:t>(t)</m:t>
                  </m:r>
                </m:e>
              </m:d>
            </m:e>
          </m:d>
          <m:r>
            <m:t> ≤ </m:t>
          </m:r>
          <m:sSub>
            <m:e>
              <m:d>
                <m:dPr>
                  <m:begChr m:val="‖"/>
                  <m:endChr m:val="‖"/>
                </m:dPr>
                <m:e>
                  <m:r>
                    <m:t>T′</m:t>
                  </m:r>
                </m:e>
              </m:d>
            </m:e>
            <m:sub>
              <m:r>
                <m:t>∞</m:t>
              </m:r>
            </m:sub>
          </m:sSub>
          <m:r>
            <m:t> · </m:t>
          </m:r>
          <m:d>
            <m:dPr>
              <m:begChr m:val="|"/>
              <m:endChr m:val="|"/>
            </m:dPr>
            <m:e>
              <m:sSub>
                <m:e>
                  <m:r>
                    <m:t>δ</m:t>
                  </m:r>
                </m:e>
                <m:sub>
                  <m:r>
                    <m:t>j</m:t>
                  </m:r>
                </m:sub>
              </m:sSub>
            </m:e>
          </m:d>
        </m:oMath>
      </m:oMathPara>
    </w:p>
    <w:p>
      <w:r>
        <w:rPr>
          <w:rFonts w:ascii="Times New Roman" w:hAnsi="Times New Roman" w:cs="Times New Roman" w:eastAsia="Times New Roman"/>
          <w:i/>
        </w:rPr>
        <w:t xml:space="preserve">Moreover, if a coordinate's trajectory and a </w:t>
      </w:r>
      <m:oMath>
        <m:r>
          <w:rPr>
            <w:sz w:val="22"/>
            <w:szCs w:val="22"/>
          </w:rPr>
          <m:t xml:space="preserve">δ</m:t>
        </m:r>
      </m:oMath>
      <w:r>
        <w:rPr>
          <w:rFonts w:ascii="Times New Roman" w:hAnsi="Times New Roman" w:cs="Times New Roman" w:eastAsia="Times New Roman"/>
          <w:i/>
        </w:rPr>
        <w:t xml:space="preserve">-perturbed twin trajectory differ by </w:t>
      </w:r>
      <m:oMath>
        <m:sSub>
          <m:e>
            <m:r>
              <w:rPr>
                <w:sz w:val="22"/>
                <w:szCs w:val="22"/>
              </w:rPr>
              <m:t xml:space="preserve">δ</m:t>
            </m:r>
          </m:e>
          <m:sub>
            <m:r>
              <w:rPr>
                <w:sz w:val="22"/>
                <w:szCs w:val="22"/>
              </w:rPr>
              <m:t xml:space="preserve">j</m:t>
            </m:r>
          </m:sub>
        </m:sSub>
        <m:r>
          <w:rPr>
            <w:sz w:val="22"/>
            <w:szCs w:val="22"/>
          </w:rPr>
          <m:t xml:space="preserve">(t)</m:t>
        </m:r>
      </m:oMath>
      <w:r>
        <w:rPr>
          <w:rFonts w:ascii="Times New Roman" w:hAnsi="Times New Roman" w:cs="Times New Roman" w:eastAsia="Times New Roman"/>
          <w:i/>
        </w:rPr>
        <w:t xml:space="preserve"> at each of N successive iterations, and </w:t>
      </w:r>
      <m:oMath>
        <m:sSup>
          <m:e>
            <m:r>
              <w:rPr>
                <w:sz w:val="22"/>
                <w:szCs w:val="22"/>
              </w:rPr>
              <m:t xml:space="preserve">T</m:t>
            </m:r>
          </m:e>
          <m:sup>
            <m:r>
              <w:rPr>
                <w:sz w:val="22"/>
                <w:szCs w:val="22"/>
              </w:rPr>
              <m:t xml:space="preserve">′</m:t>
            </m:r>
          </m:sup>
        </m:sSup>
        <m:r>
          <w:rPr>
            <w:sz w:val="22"/>
            <w:szCs w:val="22"/>
          </w:rPr>
          <m:t xml:space="preserve">≤ε</m:t>
        </m:r>
      </m:oMath>
      <w:r>
        <w:rPr>
          <w:rFonts w:ascii="Times New Roman" w:hAnsi="Times New Roman" w:cs="Times New Roman" w:eastAsia="Times New Roman"/>
          <w:i/>
        </w:rPr>
        <w:t xml:space="preserve"> throughout (the flat, saturated regime), linearity of expectation applied to the one-step bound gives a cumulative bound on the expected number of bit flips accumulated over the N steps,</w:t>
      </w:r>
    </w:p>
    <w:p>
      <w:pPr>
        <w:jc w:val="center"/>
      </w:pPr>
      <m:oMathPara>
        <m:oMath>
          <m:d>
            <m:dPr>
              <m:begChr m:val="|"/>
              <m:endChr m:val="|"/>
            </m:dPr>
            <m:e>
              <m:r>
                <m:t>Σ</m:t>
              </m:r>
              <m:d>
                <m:dPr>
                  <m:begChr m:val="("/>
                  <m:endChr m:val=")"/>
                </m:dPr>
                <m:e>
                  <m:r>
                    <m:t>t=1..N</m:t>
                  </m:r>
                </m:e>
              </m:d>
              <m:r>
                <m:t> ΔP</m:t>
              </m:r>
              <m:d>
                <m:dPr>
                  <m:begChr m:val="("/>
                  <m:endChr m:val=")"/>
                </m:dPr>
                <m:e>
                  <m:sSub>
                    <m:e>
                      <m:r>
                        <m:t>b</m:t>
                      </m:r>
                    </m:e>
                    <m:sub>
                      <m:r>
                        <m:t>j</m:t>
                      </m:r>
                    </m:sub>
                  </m:sSub>
                  <m:r>
                    <m:t>(t+1)≠</m:t>
                  </m:r>
                  <m:sSub>
                    <m:e>
                      <m:r>
                        <m:t>b</m:t>
                      </m:r>
                    </m:e>
                    <m:sub>
                      <m:r>
                        <m:t>j</m:t>
                      </m:r>
                    </m:sub>
                  </m:sSub>
                  <m:r>
                    <m:t>(t)</m:t>
                  </m:r>
                </m:e>
              </m:d>
            </m:e>
          </m:d>
          <m:r>
            <m:t> ≤ ε·Σ</m:t>
          </m:r>
          <m:d>
            <m:dPr>
              <m:begChr m:val="("/>
              <m:endChr m:val=")"/>
            </m:dPr>
            <m:e>
              <m:r>
                <m:t>t=1..N</m:t>
              </m:r>
            </m:e>
          </m:d>
          <m:d>
            <m:dPr>
              <m:begChr m:val="|"/>
              <m:endChr m:val="|"/>
            </m:dPr>
            <m:e>
              <m:sSub>
                <m:e>
                  <m:r>
                    <m:t>δ</m:t>
                  </m:r>
                </m:e>
                <m:sub>
                  <m:r>
                    <m:t>j</m:t>
                  </m:r>
                </m:sub>
              </m:sSub>
            </m:e>
          </m:d>
        </m:oMath>
      </m:oMathPara>
      <w:r>
        <w:rPr>
          <w:rFonts w:ascii="Times New Roman" w:hAnsi="Times New Roman" w:cs="Times New Roman" w:eastAsia="Times New Roman"/>
          <w:sz w:val="22"/>
        </w:rPr>
        <w:t xml:space="preserve">   (proof in the Supplementary Information PDF).</w:t>
      </w:r>
    </w:p>
    <w:p>
      <w:r>
        <w:rPr>
          <w:rFonts w:ascii="Times New Roman" w:hAnsi="Times New Roman" w:cs="Times New Roman" w:eastAsia="Times New Roman"/>
          <w:b/>
        </w:rPr>
        <w:t xml:space="preserve">Scope of this result. </w:t>
      </w:r>
      <w:r>
        <w:rPr>
          <w:rFonts w:ascii="Times New Roman" w:hAnsi="Times New Roman" w:cs="Times New Roman" w:eastAsia="Times New Roman"/>
        </w:rP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pPr>
        <w:pStyle w:val="Heading2"/>
      </w:pPr>
      <w:r>
        <w:rPr>
          <w:rFonts w:ascii="Times New Roman" w:hAnsi="Times New Roman" w:cs="Times New Roman" w:eastAsia="Times New Roman"/>
        </w:rPr>
        <w:t>6.3 The RG-SCSO mechanism</w:t>
      </w:r>
    </w:p>
    <w:p>
      <w:pPr>
        <w:spacing w:line="360" w:lineRule="auto" w:after="200"/>
        <w:jc w:val="both"/>
      </w:pPr>
      <w:r>
        <w:rPr>
          <w:rFonts w:ascii="Times New Roman" w:hAnsi="Times New Roman" w:cs="Times New Roman" w:eastAsia="Times New Roman"/>
          <w:i w:val="0"/>
          <w:sz w:val="22"/>
        </w:rPr>
        <w:t>Given the updated position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base flip probability uses a V-shaped transfer V(x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|tanh(x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With relevance </w:t>
      </w:r>
      <m:oMath>
        <m:sSub>
          <m:e>
            <m:r>
              <w:rPr>
                <w:sz w:val="22"/>
                <w:szCs w:val="22"/>
              </w:rPr>
              <m:t xml:space="preserve">ρ</m:t>
            </m:r>
          </m:e>
          <m:sub>
            <m:r>
              <w:rPr>
                <w:sz w:val="22"/>
                <w:szCs w:val="22"/>
              </w:rPr>
              <m:t xml:space="preserve">j</m:t>
            </m:r>
          </m:sub>
        </m:sSub>
      </m:oMath>
      <w:r>
        <w:rPr>
          <w:rFonts w:ascii="Times New Roman" w:hAnsi="Times New Roman" w:cs="Times New Roman" w:eastAsia="Times New Roman"/>
          <w:i w:val="0"/>
          <w:sz w:val="22"/>
        </w:rPr>
        <w:t xml:space="preserve"> in [0,1], preferred bit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w:t>
      </w:r>
      <m:oMath>
        <m:sSub>
          <m:e>
            <m:r>
              <w:rPr>
                <w:sz w:val="22"/>
                <w:szCs w:val="22"/>
              </w:rPr>
              <m:t xml:space="preserve">ρ</m:t>
            </m:r>
          </m:e>
          <m:sub>
            <m:r>
              <w:rPr>
                <w:sz w:val="22"/>
                <w:szCs w:val="22"/>
              </w:rPr>
              <m:t xml:space="preserve">j</m:t>
            </m:r>
          </m:sub>
        </m:sSub>
        <m:r>
          <w:rPr>
            <w:sz w:val="22"/>
            <w:szCs w:val="22"/>
          </w:rPr>
          <m:t xml:space="preserve"> &gt; 0.5</m:t>
        </m:r>
      </m:oMath>
      <w:r>
        <w:rPr>
          <w:rFonts w:ascii="Times New Roman" w:hAnsi="Times New Roman" w:cs="Times New Roman" w:eastAsia="Times New Roman"/>
          <w:i w:val="0"/>
          <w:sz w:val="22"/>
        </w:rPr>
        <w:t xml:space="preserve"> else 0, and strength </w:t>
      </w:r>
      <m:oMath>
        <m:sSub>
          <m:e>
            <m:r>
              <w:rPr>
                <w:sz w:val="22"/>
                <w:szCs w:val="22"/>
              </w:rPr>
              <m:t xml:space="preserve">s</m:t>
            </m:r>
          </m:e>
          <m:sub>
            <m:r>
              <w:rPr>
                <w:sz w:val="22"/>
                <w:szCs w:val="22"/>
              </w:rPr>
              <m:t xml:space="preserve">j</m:t>
            </m:r>
          </m:sub>
        </m:sSub>
        <m:r>
          <w:rPr>
            <w:sz w:val="22"/>
            <w:szCs w:val="22"/>
          </w:rPr>
          <m:t xml:space="preserve"> = 2|</m:t>
        </m:r>
        <m:sSub>
          <m:e>
            <m:r>
              <w:rPr>
                <w:sz w:val="22"/>
                <w:szCs w:val="22"/>
              </w:rPr>
              <m:t xml:space="preserve">ρ</m:t>
            </m:r>
          </m:e>
          <m:sub>
            <m:r>
              <w:rPr>
                <w:sz w:val="22"/>
                <w:szCs w:val="22"/>
              </w:rPr>
              <m:t xml:space="preserve">j</m:t>
            </m:r>
          </m:sub>
        </m:sSub>
        <m:r>
          <w:rPr>
            <w:sz w:val="22"/>
            <w:szCs w:val="22"/>
          </w:rPr>
          <m:t xml:space="preserve"> − 0.5|</m:t>
        </m:r>
      </m:oMath>
      <w:r>
        <w:rPr>
          <w:rFonts w:ascii="Times New Roman" w:hAnsi="Times New Roman" w:cs="Times New Roman" w:eastAsia="Times New Roman"/>
          <w:i w:val="0"/>
          <w:sz w:val="22"/>
        </w:rPr>
        <w:t xml:space="preserve"> in [0,1], the flip probability is biased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w:t>
      </w:r>
    </w:p>
    <w:p>
      <w:pPr>
        <w:jc w:val="center"/>
      </w:pPr>
      <m:oMathPara>
        <m:oMath>
          <m:sSub>
            <m:e>
              <m:r>
                <m:t>p</m:t>
              </m:r>
            </m:e>
            <m:sub>
              <m:r>
                <m:t>j</m:t>
              </m:r>
            </m:sub>
          </m:sSub>
          <m:r>
            <m:t> = clip</m:t>
          </m:r>
          <m:d>
            <m:dPr>
              <m:begChr m:val="("/>
              <m:endChr m:val=")"/>
            </m:dPr>
            <m:e>
              <m:r>
                <m:t>|tanh</m:t>
              </m:r>
              <m:d>
                <m:dPr>
                  <m:begChr m:val="("/>
                  <m:endChr m:val=")"/>
                </m:dPr>
                <m:e>
                  <m:sSub>
                    <m:e>
                      <m:r>
                        <m:t>x</m:t>
                      </m:r>
                    </m:e>
                    <m:sub>
                      <m:r>
                        <m:t>j</m:t>
                      </m:r>
                    </m:sub>
                  </m:sSub>
                </m:e>
              </m:d>
              <m:r>
                <m:t>|·</m:t>
              </m:r>
              <m:d>
                <m:dPr>
                  <m:begChr m:val="("/>
                  <m:endChr m:val=")"/>
                </m:dPr>
                <m:e>
                  <m:r>
                    <m:t>1+γ·</m:t>
                  </m:r>
                  <m:sSub>
                    <m:e>
                      <m:r>
                        <m:t>σ</m:t>
                      </m:r>
                    </m:e>
                    <m:sub>
                      <m:r>
                        <m:t>j</m:t>
                      </m:r>
                    </m:sub>
                  </m:sSub>
                  <m:r>
                    <m:t>·</m:t>
                  </m:r>
                  <m:sSub>
                    <m:e>
                      <m:r>
                        <m:t>s</m:t>
                      </m:r>
                    </m:e>
                    <m:sub>
                      <m:r>
                        <m:t>j</m:t>
                      </m:r>
                    </m:sub>
                  </m:sSub>
                </m:e>
              </m:d>
              <m:r>
                <m:t>, 0, 1</m:t>
              </m:r>
            </m:e>
          </m:d>
        </m:oMath>
      </m:oMathPara>
    </w:p>
    <w:p>
      <w:pPr>
        <w:spacing w:line="360" w:lineRule="auto" w:after="200"/>
        <w:jc w:val="both"/>
      </w:pPr>
      <w:r>
        <w:rPr>
          <w:rFonts w:ascii="Times New Roman" w:hAnsi="Times New Roman" w:cs="Times New Roman" w:eastAsia="Times New Roman"/>
          <w:i w:val="0"/>
          <w:sz w:val="22"/>
        </w:rPr>
        <w:t xml:space="preserve">where </w:t>
      </w:r>
      <m:oMath>
        <m:sSub>
          <m:e>
            <m:r>
              <w:rPr>
                <w:sz w:val="22"/>
                <w:szCs w:val="22"/>
              </w:rPr>
              <m:t xml:space="preserve">σ</m:t>
            </m:r>
          </m:e>
          <m:sub>
            <m:r>
              <w:rPr>
                <w:sz w:val="22"/>
                <w:szCs w:val="22"/>
              </w:rPr>
              <m:t xml:space="preserve">j</m:t>
            </m:r>
          </m:sub>
        </m:sSub>
        <m:r>
          <w:rPr>
            <w:sz w:val="22"/>
            <w:szCs w:val="22"/>
          </w:rPr>
          <m:t xml:space="preserve"> = +1</m:t>
        </m:r>
      </m:oMath>
      <w:r>
        <w:rPr>
          <w:rFonts w:ascii="Times New Roman" w:hAnsi="Times New Roman" w:cs="Times New Roman" w:eastAsia="Times New Roman"/>
          <w:i w:val="0"/>
          <w:sz w:val="22"/>
        </w:rPr>
        <w:t xml:space="preserve"> if the flip moves bit j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and </w:t>
      </w:r>
      <m:oMath>
        <m:sSub>
          <m:e>
            <m:r>
              <w:rPr>
                <w:sz w:val="22"/>
                <w:szCs w:val="22"/>
              </w:rPr>
              <m:t xml:space="preserve">σ</m:t>
            </m:r>
          </m:e>
          <m:sub>
            <m:r>
              <w:rPr>
                <w:sz w:val="22"/>
                <w:szCs w:val="22"/>
              </w:rPr>
              <m:t xml:space="preserve">j</m:t>
            </m:r>
          </m:sub>
        </m:sSub>
        <m:r>
          <w:rPr>
            <w:sz w:val="22"/>
            <w:szCs w:val="22"/>
          </w:rPr>
          <m:t xml:space="preserve"> = −1</m:t>
        </m:r>
      </m:oMath>
      <w:r>
        <w:rPr>
          <w:rFonts w:ascii="Times New Roman" w:hAnsi="Times New Roman" w:cs="Times New Roman" w:eastAsia="Times New Roman"/>
          <w:i w:val="0"/>
          <w:sz w:val="22"/>
        </w:rPr>
        <w:t xml:space="preserve"> otherwise. Setting </w:t>
      </w:r>
      <m:oMath>
        <m:r>
          <w:rPr>
            <w:sz w:val="22"/>
            <w:szCs w:val="22"/>
          </w:rPr>
          <m:t xml:space="preserve">γ = 0</m:t>
        </m:r>
      </m:oMath>
      <w:r>
        <w:rPr>
          <w:rFonts w:ascii="Times New Roman" w:hAnsi="Times New Roman" w:cs="Times New Roman" w:eastAsia="Times New Roman"/>
          <w:i w:val="0"/>
          <w:sz w:val="22"/>
        </w:rPr>
        <w:t xml:space="preserve"> recovers a plain V-shaped operator (the NoRMS ablation). The 0.5 threshold that separates preferred from disfavored bits is a convenience, not a theoretically grounded neutral point: with </w:t>
      </w:r>
      <m:oMath>
        <m:sSub>
          <m:e>
            <m:r>
              <w:rPr>
                <w:sz w:val="22"/>
                <w:szCs w:val="22"/>
              </w:rPr>
              <m:t xml:space="preserve">ρ</m:t>
            </m:r>
          </m:e>
          <m:sub>
            <m:r>
              <w:rPr>
                <w:sz w:val="22"/>
                <w:szCs w:val="22"/>
              </w:rPr>
              <m:t xml:space="preserve">j</m:t>
            </m:r>
          </m:sub>
        </m:sSub>
      </m:oMath>
      <w:r>
        <w:rPr>
          <w:rFonts w:ascii="Times New Roman" w:hAnsi="Times New Roman" w:cs="Times New Roman" w:eastAsia="Times New Roman"/>
          <w:i w:val="0"/>
          <w:sz w:val="22"/>
        </w:rPr>
        <w:t xml:space="preserve"> = I(X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;y)/H(y),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w:t>
      </w:r>
      <m:oMath>
        <m:r>
          <w:rPr>
            <w:sz w:val="22"/>
            <w:szCs w:val="22"/>
          </w:rPr>
          <m:t xml:space="preserve">τ</m:t>
        </m:r>
      </m:oMath>
      <w:r>
        <w:rPr>
          <w:rFonts w:ascii="Times New Roman" w:hAnsi="Times New Roman" w:cs="Times New Roman" w:eastAsia="Times New Roman"/>
          <w:i w:val="0"/>
          <w:sz w:val="22"/>
        </w:rPr>
        <w:t xml:space="preserve"> in {0.4, 0.5, 0.6}, Results Section 3.5) supports this choice as reasonable rather than arbitrary: </w:t>
      </w:r>
      <m:oMath>
        <m:r>
          <w:rPr>
            <w:sz w:val="22"/>
            <w:szCs w:val="22"/>
          </w:rPr>
          <m:t xml:space="preserve">τ=0.5</m:t>
        </m:r>
      </m:oMath>
      <w:r>
        <w:rPr>
          <w:rFonts w:ascii="Times New Roman" w:hAnsi="Times New Roman" w:cs="Times New Roman" w:eastAsia="Times New Roman"/>
          <w:i w:val="0"/>
          <w:sz w:val="22"/>
        </w:rPr>
        <w:t xml:space="preserve"> attains the highest accuracy on two of five datasets tested, and every value trades a modest, dataset-dependent accuracy shift for a monotonic reduction in feature count as </w:t>
      </w:r>
      <m:oMath>
        <m:r>
          <w:rPr>
            <w:sz w:val="22"/>
            <w:szCs w:val="22"/>
          </w:rPr>
          <m:t xml:space="preserve">τ</m:t>
        </m:r>
      </m:oMath>
      <w:r>
        <w:rPr>
          <w:rFonts w:ascii="Times New Roman" w:hAnsi="Times New Roman" w:cs="Times New Roman" w:eastAsia="Times New Roman"/>
          <w:i w:val="0"/>
          <w:sz w:val="22"/>
        </w:rPr>
        <w:t xml:space="preserve"> increases, with no single value dominating uniformly.</w:t>
      </w:r>
    </w:p>
    <w:p>
      <w:pPr>
        <w:jc w:val="both"/>
      </w:pPr>
      <m:oMath>
        <m:r>
          <w:rPr>
            <w:sz w:val="22"/>
            <w:szCs w:val="22"/>
          </w:rPr>
          <m:t xml:space="preserve">ρ</m:t>
        </m:r>
      </m:oMath>
      <m:oMath>
        <m:r>
          <w:rPr>
            <w:sz w:val="22"/>
            <w:szCs w:val="22"/>
          </w:rPr>
          <m:t xml:space="preserve">ρ</m:t>
        </m:r>
      </m:oMath>
      <m:oMath>
        <m:r>
          <w:rPr>
            <w:sz w:val="22"/>
            <w:szCs w:val="22"/>
          </w:rPr>
          <m:t xml:space="preserve">ρ</m:t>
        </m:r>
      </m:oMath>
      <w:r>
        <w:rPr>
          <w:rFonts w:ascii="Times New Roman" w:hAnsi="Times New Roman" w:cs="Times New Roman" w:eastAsia="Times New Roman"/>
          <w:sz w:val="22"/>
        </w:rPr>
        <w:t xml:space="preserve">The field  that drives this mechanism is, in the final method, the static prior static = clip(MI(fj;ytrain)/H(ytrain), 0, 1), a normalized mutual-information filter score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computed once per outer split. For each outer split, 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uncertainty-guided memetic refinement (UMR), spends a fixed local-search budget on the K features whose relevance sits closest to 0.5, the boundary where the prior is least decisive: each iteration, these features are greedily flipped on the incumbent best mask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and the flip is kept only if fitness improves. Discussion reports a control showing this targeting rule is not always what drives UMR's benefit.</w:t>
      </w:r>
    </w:p>
    <w:p>
      <w:pPr>
        <w:pStyle w:val="Heading2"/>
      </w:pPr>
      <w:r>
        <w:rPr>
          <w:rFonts w:ascii="Times New Roman" w:hAnsi="Times New Roman" w:cs="Times New Roman" w:eastAsia="Times New Roman"/>
        </w:rPr>
        <w:t>6.4 Algorithm and computational cost</w:t>
      </w:r>
    </w:p>
    <w:p>
      <w:pPr>
        <w:spacing w:line="360" w:lineRule="auto" w:after="200"/>
        <w:jc w:val="both"/>
      </w:pPr>
      <w:r>
        <w:rPr>
          <w:rFonts w:ascii="Times New Roman" w:hAnsi="Times New Roman" w:cs="Times New Roman" w:eastAsia="Times New Roman"/>
          <w:i w:val="0"/>
          <w:sz w:val="22"/>
        </w:rPr>
        <w:t>Every fitness evaluation, whether from population moves, memetic probes, or initialization, is counted against a single budget,</w:t>
      </w:r>
    </w:p>
    <w:p>
      <w:pPr>
        <w:jc w:val="center"/>
      </w:pPr>
      <m:oMathPara>
        <m:oMath>
          <m:r>
            <m:t>N</m:t>
          </m:r>
          <m:r>
            <m:t> × </m:t>
          </m:r>
          <m:sSub>
            <m:e>
              <m:r>
                <m:t>T</m:t>
              </m:r>
            </m:e>
            <m:sub>
              <m:r>
                <m:t>max</m:t>
              </m:r>
            </m:sub>
          </m:sSub>
          <m:r>
            <m:t> = 15,000,</m:t>
          </m:r>
        </m:oMath>
      </m:oMathPara>
    </w:p>
    <w:p>
      <w:pPr>
        <w:spacing w:line="360" w:lineRule="auto" w:after="200"/>
        <w:jc w:val="both"/>
      </w:pPr>
      <w:r>
        <w:rPr>
          <w:rFonts w:ascii="Times New Roman" w:hAnsi="Times New Roman" w:cs="Times New Roman" w:eastAsia="Times New Roman"/>
          <w:i w:val="0"/>
          <w:sz w:val="22"/>
        </w:rPr>
        <w:t>so UMR's extra probes are drawn from this same fixed total rather than added on top of it; the exact accounting against every baseline, verified on the implementation rather than assumed, is given below.</w:t>
      </w:r>
    </w:p>
    <w:p>
      <w:pPr>
        <w:spacing w:line="360" w:lineRule="auto" w:after="200"/>
        <w:jc w:val="both"/>
      </w:pPr>
      <w:r>
        <w:rPr>
          <w:rFonts w:ascii="Times New Roman" w:hAnsi="Times New Roman" w:cs="Times New Roman" w:eastAsia="Times New Roman"/>
          <w:sz w:val="22"/>
        </w:rPr>
        <w:t xml:space="preserve">The per-iteration cost is dominated by the N + K wrapper evaluations, each a KNN fit under fixed folds; the mutual-information prior adds a one-time O(dn log n) preprocessing cost (the nearest-neighbor MI estimator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8–3571-feature range tested (Supplementary Information) are consistent with this expectation, and we make no runtime-speedup claim for RG-SCSO over same-budget baselines.</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Algorithm</w:t>
            </w:r>
          </w:p>
        </w:tc>
        <w:tc>
          <w:tcPr>
            <w:tcW w:type="dxa" w:w="2409"/>
            <w:tcBorders>
              <w:bottom w:val="single" w:sz="6" w:space="0" w:color="000000"/>
            </w:tcBorders>
          </w:tcPr>
          <w:p>
            <w:r>
              <w:rPr>
                <w:rFonts w:ascii="Times New Roman" w:hAnsi="Times New Roman" w:cs="Times New Roman" w:eastAsia="Times New Roman"/>
                <w:b/>
                <w:sz w:val="16"/>
              </w:rPr>
              <w:t>Position-update cost/iter</w:t>
            </w:r>
          </w:p>
        </w:tc>
        <w:tc>
          <w:tcPr>
            <w:tcW w:type="dxa" w:w="2409"/>
            <w:tcBorders>
              <w:bottom w:val="single" w:sz="6" w:space="0" w:color="000000"/>
            </w:tcBorders>
          </w:tcPr>
          <w:p>
            <w:r>
              <w:rPr>
                <w:rFonts w:ascii="Times New Roman" w:hAnsi="Times New Roman" w:cs="Times New Roman" w:eastAsia="Times New Roman"/>
                <w:b/>
                <w:sz w:val="16"/>
              </w:rPr>
              <w:t>Wrapper evaluations/iter</w:t>
            </w:r>
          </w:p>
        </w:tc>
        <w:tc>
          <w:tcPr>
            <w:tcW w:type="dxa" w:w="2409"/>
            <w:tcBorders>
              <w:bottom w:val="single" w:sz="6" w:space="0" w:color="000000"/>
            </w:tcBorders>
          </w:tcPr>
          <w:p>
            <w:r>
              <w:rPr>
                <w:rFonts w:ascii="Times New Roman" w:hAnsi="Times New Roman" w:cs="Times New Roman" w:eastAsia="Times New Roman"/>
                <w:b/>
                <w:sz w:val="16"/>
              </w:rPr>
              <w:t>Extra structural cost</w:t>
            </w:r>
          </w:p>
        </w:tc>
      </w:tr>
      <w:tr>
        <w:tc>
          <w:tcPr>
            <w:tcW w:type="dxa" w:w="2409"/>
          </w:tcPr>
          <w:p>
            <w:r>
              <w:rPr>
                <w:rFonts w:ascii="Times New Roman" w:hAnsi="Times New Roman" w:cs="Times New Roman" w:eastAsia="Times New Roman"/>
                <w:b/>
                <w:sz w:val="16"/>
              </w:rPr>
              <w:t>RG-SCSO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 K (30 + 8 = 38)</w:t>
            </w:r>
          </w:p>
        </w:tc>
        <w:tc>
          <w:tcPr>
            <w:tcW w:type="dxa" w:w="2409"/>
          </w:tcPr>
          <w:p>
            <w:r>
              <w:rPr>
                <w:rFonts w:ascii="Times New Roman" w:hAnsi="Times New Roman" w:cs="Times New Roman" w:eastAsia="Times New Roman"/>
                <w:sz w:val="16"/>
              </w:rPr>
              <w:t>O(dn log n) one-time MI-prior</w:t>
            </w:r>
          </w:p>
        </w:tc>
      </w:tr>
      <w:tr>
        <w:tc>
          <w:tcPr>
            <w:tcW w:type="dxa" w:w="2409"/>
          </w:tcPr>
          <w:p>
            <w:r>
              <w:rPr>
                <w:rFonts w:ascii="Times New Roman" w:hAnsi="Times New Roman" w:cs="Times New Roman" w:eastAsia="Times New Roman"/>
                <w:sz w:val="16"/>
              </w:rPr>
              <w:t>SCSO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AOA</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CoatiOA</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GWO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PSO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RIME</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bl>
    <w:p>
      <w:pPr>
        <w:jc w:val="left"/>
      </w:pPr>
      <w:r>
        <w:rPr>
          <w:rFonts w:ascii="Times New Roman" w:hAnsi="Times New Roman" w:cs="Times New Roman" w:eastAsia="Times New Roman"/>
          <w:sz w:val="18"/>
        </w:rPr>
        <w:t xml:space="preserve">Table 9 Per-iteration computational cost of the seven compared algorithms. N = population size (30), d = search-space dimension (number of features), K = number of UMR memetic probes per iteration (8). Position-update cost is the standard </w:t>
      </w:r>
      <m:oMath>
        <m:r>
          <w:rPr>
            <w:sz w:val="22"/>
            <w:szCs w:val="22"/>
          </w:rPr>
          <m:t xml:space="preserve">O(N·d)</m:t>
        </m:r>
      </m:oMath>
      <w:r>
        <w:rPr>
          <w:rFonts w:ascii="Times New Roman" w:hAnsi="Times New Roman" w:cs="Times New Roman" w:eastAsia="Times New Roman"/>
          <w:sz w:val="18"/>
        </w:rPr>
        <w:t xml:space="preserve"> class shared by every population-based metaheuristic compared here; none introduces an asymptotically different update rule. The wrapper evaluation itself, a stratified 5-fold KNN fit under the shared fitness function, is identical across all seven and, as noted above, dominates real-world cost as feature dimensionality grows; this table isolates the search mechanism's own footprint rather than re-ranking that shared, dominant term.</w:t>
      </w:r>
    </w:p>
    <w:p>
      <w:pPr>
        <w:spacing w:line="360" w:lineRule="auto" w:after="200"/>
        <w:jc w:val="both"/>
      </w:pPr>
      <w:r>
        <w:rPr>
          <w:rFonts w:ascii="Times New Roman" w:hAnsi="Times New Roman" w:cs="Times New Roman" w:eastAsia="Times New Roman"/>
          <w:i w:val="0"/>
          <w:sz w:val="22"/>
        </w:rPr>
        <w:t>Nominal fitness-evaluation budget is</w:t>
      </w:r>
    </w:p>
    <w:p>
      <w:pPr>
        <w:jc w:val="center"/>
      </w:pPr>
      <m:oMathPara>
        <m:oMath>
          <m:r>
            <m:t>N</m:t>
          </m:r>
          <m:r>
            <m:t> × </m:t>
          </m:r>
          <m:sSub>
            <m:e>
              <m:r>
                <m:t>T</m:t>
              </m:r>
            </m:e>
            <m:sub>
              <m:r>
                <m:t>max</m:t>
              </m:r>
            </m:sub>
          </m:sSub>
          <m:r>
            <m:t> = 30 × 500 = 15,000.</m:t>
          </m:r>
        </m:oMath>
      </m:oMathPara>
    </w:p>
    <w:p>
      <w:pPr>
        <w:spacing w:line="360" w:lineRule="auto" w:after="200"/>
        <w:jc w:val="both"/>
      </w:pPr>
      <w:r>
        <w:rPr>
          <w:rFonts w:ascii="Times New Roman" w:hAnsi="Times New Roman" w:cs="Times New Roman" w:eastAsia="Times New Roman"/>
          <w:i w:val="0"/>
          <w:sz w:val="22"/>
        </w:rPr>
        <w:t>This cap is enforced identically for every algorithm, verified directly against the implementation. RG-SCSO and the base SCSO maintain an evaluation counter checked before every individual evaluation (each population move and each UMR probe), stopping the moment the counter reaches 15,000; each population-based baseline (AOA/GWO/PSO/RIME/CoatiOA via the mealpy library) is run under a hard function-evaluation termination at the same 15,000. The only residual difference is CoatiOA, which evaluates in sub-population batches and so halts at the first batch boundary not below the cap (15,030, a 0.2% excess that favours the baseline, not RG-SCSO). Budgets are thus matched to within 0.2% across all seven methods, removing any budget advantage for the proposed method; UMR's extra per-iteration cost is absorbed within, not added on top of, this cap.</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6.5 Cardinality-weight sensitivity</w:t>
      </w:r>
    </w:p>
    <w:p>
      <w:pPr>
        <w:spacing w:line="360" w:lineRule="auto" w:after="200"/>
        <w:jc w:val="both"/>
      </w:pPr>
      <w:r>
        <w:rPr>
          <w:rFonts w:ascii="Times New Roman" w:hAnsi="Times New Roman" w:cs="Times New Roman" w:eastAsia="Times New Roman"/>
          <w:i w:val="0"/>
          <w:sz w:val="22"/>
        </w:rPr>
        <w:t xml:space="preserve">The </w:t>
      </w:r>
      <m:oMath>
        <m:r>
          <w:rPr>
            <w:sz w:val="22"/>
            <w:szCs w:val="22"/>
          </w:rPr>
          <m:t xml:space="preserve">λ = 0.01</m:t>
        </m:r>
      </m:oMath>
      <w:r>
        <w:rPr>
          <w:rFonts w:ascii="Times New Roman" w:hAnsi="Times New Roman" w:cs="Times New Roman" w:eastAsia="Times New Roman"/>
          <w:i w:val="0"/>
          <w:sz w:val="22"/>
        </w:rPr>
        <w:t xml:space="preserve"> cardinality weight in Eq. (1) was fixed before the full run, together with every other hyperparameter (Statistics and reproducibility, below). To check that this choice is not load-bearing, we reran the full protocol on five representative datasets (Zoo, Sonar, WDBC, ColonCancer, Leukemia; 30 independent runs each) at five additional </w:t>
      </w:r>
      <m:oMath>
        <m:r>
          <w:rPr>
            <w:sz w:val="22"/>
            <w:szCs w:val="22"/>
          </w:rPr>
          <m:t xml:space="preserve">λ</m:t>
        </m:r>
      </m:oMath>
      <w:r>
        <w:rPr>
          <w:rFonts w:ascii="Times New Roman" w:hAnsi="Times New Roman" w:cs="Times New Roman" w:eastAsia="Times New Roman"/>
          <w:i w:val="0"/>
          <w:sz w:val="22"/>
        </w:rPr>
        <w:t xml:space="preserve"> values spanning zero cardinality penalty to </w:t>
      </w:r>
      <m:oMath>
        <m:r>
          <w:rPr>
            <w:sz w:val="22"/>
            <w:szCs w:val="22"/>
          </w:rPr>
          <m:t xml:space="preserve">5×</m:t>
        </m:r>
      </m:oMath>
      <w:r>
        <w:rPr>
          <w:rFonts w:ascii="Times New Roman" w:hAnsi="Times New Roman" w:cs="Times New Roman" w:eastAsia="Times New Roman"/>
          <w:i w:val="0"/>
          <w:sz w:val="22"/>
        </w:rPr>
        <w:t xml:space="preserve"> the deployed weight. Table 10 reports the sweep.</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Dataset</w:t>
            </w:r>
          </w:p>
        </w:tc>
        <w:tc>
          <w:tcPr>
            <w:tcW w:type="dxa" w:w="2409"/>
            <w:tcBorders>
              <w:bottom w:val="single" w:sz="6" w:space="0" w:color="000000"/>
            </w:tcBorders>
          </w:tcPr>
          <w:p>
            <m:oMath>
              <m:r>
                <w:rPr>
                  <w:sz w:val="22"/>
                  <w:szCs w:val="22"/>
                </w:rPr>
                <m:t xml:space="preserve">λ</m:t>
              </m:r>
            </m:oMath>
          </w:p>
        </w:tc>
        <w:tc>
          <w:tcPr>
            <w:tcW w:type="dxa" w:w="2409"/>
            <w:tcBorders>
              <w:bottom w:val="single" w:sz="6" w:space="0" w:color="000000"/>
            </w:tcBorders>
          </w:tcPr>
          <w:p>
            <w:r>
              <w:rPr>
                <w:rFonts w:ascii="Times New Roman" w:hAnsi="Times New Roman" w:cs="Times New Roman" w:eastAsia="Times New Roman"/>
                <w:b/>
                <w:sz w:val="16"/>
              </w:rPr>
              <w:t>Mean Acc.</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sz w:val="16"/>
              </w:rPr>
              <w:t>ColonCancer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0.8837</w:t>
            </w:r>
          </w:p>
        </w:tc>
        <w:tc>
          <w:tcPr>
            <w:tcW w:type="dxa" w:w="2409"/>
          </w:tcPr>
          <w:p>
            <w:r>
              <w:rPr>
                <w:rFonts w:ascii="Times New Roman" w:hAnsi="Times New Roman" w:cs="Times New Roman" w:eastAsia="Times New Roman"/>
                <w:sz w:val="16"/>
              </w:rPr>
              <w:t>568.4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0.8824</w:t>
            </w:r>
          </w:p>
        </w:tc>
        <w:tc>
          <w:tcPr>
            <w:tcW w:type="dxa" w:w="2409"/>
          </w:tcPr>
          <w:p>
            <w:r>
              <w:rPr>
                <w:rFonts w:ascii="Times New Roman" w:hAnsi="Times New Roman" w:cs="Times New Roman" w:eastAsia="Times New Roman"/>
                <w:sz w:val="16"/>
              </w:rPr>
              <w:t>557.8</w:t>
            </w:r>
          </w:p>
        </w:tc>
      </w:tr>
      <w:tr>
        <w:tc>
          <w:tcPr>
            <w:tcW w:type="dxa" w:w="2409"/>
          </w:tcPr>
          <w:p>
            <w:r>
              <w:rPr>
                <w:rFonts w:ascii="Times New Roman" w:hAnsi="Times New Roman" w:cs="Times New Roman" w:eastAsia="Times New Roman"/>
                <w:sz w:val="16"/>
              </w:rPr>
              <w:t>Leukemia</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0.9860</w:t>
            </w:r>
          </w:p>
        </w:tc>
        <w:tc>
          <w:tcPr>
            <w:tcW w:type="dxa" w:w="2409"/>
          </w:tcPr>
          <w:p>
            <w:r>
              <w:rPr>
                <w:rFonts w:ascii="Times New Roman" w:hAnsi="Times New Roman" w:cs="Times New Roman" w:eastAsia="Times New Roman"/>
                <w:sz w:val="16"/>
              </w:rPr>
              <w:t>1441.4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t>Sonar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0.8951</w:t>
            </w:r>
          </w:p>
        </w:tc>
        <w:tc>
          <w:tcPr>
            <w:tcW w:type="dxa" w:w="2409"/>
          </w:tcPr>
          <w:p>
            <w:r>
              <w:rPr>
                <w:rFonts w:ascii="Times New Roman" w:hAnsi="Times New Roman" w:cs="Times New Roman" w:eastAsia="Times New Roman"/>
                <w:sz w:val="16"/>
              </w:rPr>
              <w:t>19.0</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0.8947</w:t>
            </w:r>
          </w:p>
        </w:tc>
        <w:tc>
          <w:tcPr>
            <w:tcW w:type="dxa" w:w="2409"/>
          </w:tcPr>
          <w:p>
            <w:r>
              <w:rPr>
                <w:rFonts w:ascii="Times New Roman" w:hAnsi="Times New Roman" w:cs="Times New Roman" w:eastAsia="Times New Roman"/>
                <w:sz w:val="16"/>
              </w:rPr>
              <w:t>19.5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0.8930</w:t>
            </w:r>
          </w:p>
        </w:tc>
        <w:tc>
          <w:tcPr>
            <w:tcW w:type="dxa" w:w="2409"/>
          </w:tcPr>
          <w:p>
            <w:r>
              <w:rPr>
                <w:rFonts w:ascii="Times New Roman" w:hAnsi="Times New Roman" w:cs="Times New Roman" w:eastAsia="Times New Roman"/>
                <w:sz w:val="16"/>
              </w:rPr>
              <w:t>18.7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0.8940</w:t>
            </w:r>
          </w:p>
        </w:tc>
        <w:tc>
          <w:tcPr>
            <w:tcW w:type="dxa" w:w="2409"/>
          </w:tcPr>
          <w:p>
            <w:r>
              <w:rPr>
                <w:rFonts w:ascii="Times New Roman" w:hAnsi="Times New Roman" w:cs="Times New Roman" w:eastAsia="Times New Roman"/>
                <w:sz w:val="16"/>
              </w:rPr>
              <w:t>19.1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0.8943</w:t>
            </w:r>
          </w:p>
        </w:tc>
        <w:tc>
          <w:tcPr>
            <w:tcW w:type="dxa" w:w="2409"/>
          </w:tcPr>
          <w:p>
            <w:r>
              <w:rPr>
                <w:rFonts w:ascii="Times New Roman" w:hAnsi="Times New Roman" w:cs="Times New Roman" w:eastAsia="Times New Roman"/>
                <w:sz w:val="16"/>
              </w:rPr>
              <w:t>18.4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0.8934</w:t>
            </w:r>
          </w:p>
        </w:tc>
        <w:tc>
          <w:tcPr>
            <w:tcW w:type="dxa" w:w="2409"/>
          </w:tcPr>
          <w:p>
            <w:r>
              <w:rPr>
                <w:rFonts w:ascii="Times New Roman" w:hAnsi="Times New Roman" w:cs="Times New Roman" w:eastAsia="Times New Roman"/>
                <w:sz w:val="16"/>
              </w:rPr>
              <w:t>17.2</w:t>
            </w:r>
          </w:p>
        </w:tc>
      </w:tr>
      <w:tr>
        <w:tc>
          <w:tcPr>
            <w:tcW w:type="dxa" w:w="2409"/>
          </w:tcPr>
          <w:p>
            <w:r>
              <w:rPr>
                <w:rFonts w:ascii="Times New Roman" w:hAnsi="Times New Roman" w:cs="Times New Roman" w:eastAsia="Times New Roman"/>
                <w:sz w:val="16"/>
              </w:rPr>
              <w:t>WDBC</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sz w:val="16"/>
              </w:rPr>
              <w:t>0.9787</w:t>
            </w:r>
          </w:p>
        </w:tc>
        <w:tc>
          <w:tcPr>
            <w:tcW w:type="dxa" w:w="2409"/>
          </w:tcPr>
          <w:p>
            <w:r>
              <w:rPr>
                <w:rFonts w:ascii="Times New Roman" w:hAnsi="Times New Roman" w:cs="Times New Roman" w:eastAsia="Times New Roman"/>
                <w:sz w:val="16"/>
              </w:rPr>
              <w:t>13.7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b/>
                <w:sz w:val="16"/>
              </w:rPr>
              <w:t>0.9794</w:t>
            </w:r>
          </w:p>
        </w:tc>
        <w:tc>
          <w:tcPr>
            <w:tcW w:type="dxa" w:w="2409"/>
          </w:tcPr>
          <w:p>
            <w:r>
              <w:rPr>
                <w:rFonts w:ascii="Times New Roman" w:hAnsi="Times New Roman" w:cs="Times New Roman" w:eastAsia="Times New Roman"/>
                <w:sz w:val="16"/>
              </w:rPr>
              <w:t>11.8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0.9785</w:t>
            </w:r>
          </w:p>
        </w:tc>
        <w:tc>
          <w:tcPr>
            <w:tcW w:type="dxa" w:w="2409"/>
          </w:tcPr>
          <w:p>
            <w:r>
              <w:rPr>
                <w:rFonts w:ascii="Times New Roman" w:hAnsi="Times New Roman" w:cs="Times New Roman" w:eastAsia="Times New Roman"/>
                <w:sz w:val="16"/>
              </w:rPr>
              <w:t>10.5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0.9763</w:t>
            </w:r>
          </w:p>
        </w:tc>
        <w:tc>
          <w:tcPr>
            <w:tcW w:type="dxa" w:w="2409"/>
          </w:tcPr>
          <w:p>
            <w:r>
              <w:rPr>
                <w:rFonts w:ascii="Times New Roman" w:hAnsi="Times New Roman" w:cs="Times New Roman" w:eastAsia="Times New Roman"/>
                <w:sz w:val="16"/>
              </w:rPr>
              <w:t>8.2</w:t>
            </w:r>
          </w:p>
        </w:tc>
      </w:tr>
      <w:tr>
        <w:tc>
          <w:tcPr>
            <w:tcW w:type="dxa" w:w="2409"/>
          </w:tcPr>
          <w:p>
            <w:r>
              <w:rPr>
                <w:rFonts w:ascii="Times New Roman" w:hAnsi="Times New Roman" w:cs="Times New Roman" w:eastAsia="Times New Roman"/>
                <w:sz w:val="16"/>
              </w:rPr>
              <w:t>Zoo</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0.9808</w:t>
            </w:r>
          </w:p>
        </w:tc>
        <w:tc>
          <w:tcPr>
            <w:tcW w:type="dxa" w:w="2409"/>
          </w:tcPr>
          <w:p>
            <w:r>
              <w:rPr>
                <w:rFonts w:ascii="Times New Roman" w:hAnsi="Times New Roman" w:cs="Times New Roman" w:eastAsia="Times New Roman"/>
                <w:sz w:val="16"/>
              </w:rPr>
              <w:t>8.3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6.8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0.9808</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0.9804</w:t>
            </w:r>
          </w:p>
        </w:tc>
        <w:tc>
          <w:tcPr>
            <w:tcW w:type="dxa" w:w="2409"/>
          </w:tcPr>
          <w:p>
            <w:r>
              <w:rPr>
                <w:rFonts w:ascii="Times New Roman" w:hAnsi="Times New Roman" w:cs="Times New Roman" w:eastAsia="Times New Roman"/>
                <w:sz w:val="16"/>
              </w:rPr>
              <w:t>7.2</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0.9775</w:t>
            </w:r>
          </w:p>
        </w:tc>
        <w:tc>
          <w:tcPr>
            <w:tcW w:type="dxa" w:w="2409"/>
          </w:tcPr>
          <w:p>
            <w:r>
              <w:rPr>
                <w:rFonts w:ascii="Times New Roman" w:hAnsi="Times New Roman" w:cs="Times New Roman" w:eastAsia="Times New Roman"/>
                <w:sz w:val="16"/>
              </w:rPr>
              <w:t>6.0</w:t>
            </w:r>
          </w:p>
        </w:tc>
      </w:tr>
    </w:tbl>
    <w:p>
      <w:pPr>
        <w:jc w:val="left"/>
      </w:pPr>
      <w:r>
        <w:rPr>
          <w:rFonts w:ascii="Times New Roman" w:hAnsi="Times New Roman" w:cs="Times New Roman" w:eastAsia="Times New Roman"/>
          <w:sz w:val="18"/>
        </w:rPr>
        <w:t>Table 10 Cardinality-weight sensitivity (</w:t>
      </w:r>
      <m:oMath>
        <m:r>
          <w:rPr>
            <w:sz w:val="22"/>
            <w:szCs w:val="22"/>
          </w:rPr>
          <m:t xml:space="preserve">λ</m:t>
        </m:r>
      </m:oMath>
      <w:r>
        <w:rPr>
          <w:rFonts w:ascii="Times New Roman" w:hAnsi="Times New Roman" w:cs="Times New Roman" w:eastAsia="Times New Roman"/>
          <w:sz w:val="18"/>
        </w:rPr>
        <w:t xml:space="preserve"> in {0, 0.001, 0.005, 0.01, 0.02, 0.05} in Eq. (1); 30 independent runs per cell, same protocol and five of the 18 datasets used elsewhere in this section). Highest accuracy per dataset in bold. Accuracy is essentially flat across the sweep: </w:t>
      </w:r>
      <m:oMath>
        <m:r>
          <w:rPr>
            <w:sz w:val="22"/>
            <w:szCs w:val="22"/>
          </w:rPr>
          <m:t xml:space="preserve">λ=0.01</m:t>
        </m:r>
      </m:oMath>
      <w:r>
        <w:rPr>
          <w:rFonts w:ascii="Times New Roman" w:hAnsi="Times New Roman" w:cs="Times New Roman" w:eastAsia="Times New Roman"/>
          <w:sz w:val="18"/>
        </w:rPr>
        <w:t xml:space="preserve">, the value deployed throughout this paper, attains the highest accuracy on one of five datasets and is within 0.3 percentage points of the best value on the remaining four, well inside the run-to-run standard deviation. Mean selected-feature count trends downward as </w:t>
      </w:r>
      <m:oMath>
        <m:r>
          <w:rPr>
            <w:sz w:val="22"/>
            <w:szCs w:val="22"/>
          </w:rPr>
          <m:t xml:space="preserve">λ</m:t>
        </m:r>
      </m:oMath>
      <w:r>
        <w:rPr>
          <w:rFonts w:ascii="Times New Roman" w:hAnsi="Times New Roman" w:cs="Times New Roman" w:eastAsia="Times New Roman"/>
          <w:sz w:val="18"/>
        </w:rPr>
        <w:t xml:space="preserve"> increases on every dataset (cleanest on WDBC, noisier on the higher-dimensional ColonCancer and Sonar sets), so </w:t>
      </w:r>
      <m:oMath>
        <m:r>
          <w:rPr>
            <w:sz w:val="22"/>
            <w:szCs w:val="22"/>
          </w:rPr>
          <m:t xml:space="preserve">λ</m:t>
        </m:r>
      </m:oMath>
      <w:r>
        <w:rPr>
          <w:rFonts w:ascii="Times New Roman" w:hAnsi="Times New Roman" w:cs="Times New Roman" w:eastAsia="Times New Roman"/>
          <w:sz w:val="18"/>
        </w:rPr>
        <w:t xml:space="preserve"> mainly trades a modest, dataset-dependent subset reduction against a negligible accuracy change; 0.01 sits inside this flat region rather than at either extreme.</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6.6 Datasets, baselines, and protocol</w:t>
      </w:r>
    </w:p>
    <w:p>
      <w:pPr>
        <w:spacing w:line="360" w:lineRule="auto" w:after="200"/>
        <w:jc w:val="both"/>
      </w:pPr>
      <w:r>
        <w:rPr>
          <w:rFonts w:ascii="Times New Roman" w:hAnsi="Times New Roman" w:cs="Times New Roman" w:eastAsia="Times New Roman"/>
          <w:i w:val="0"/>
          <w:sz w:val="22"/>
        </w:rPr>
        <w:t>The benchmark spans 18 preprocessed datasets of 8 to 3571 features across biomedical, gene-expression, and categorical domains, full characteristics in Supplementary Table S1.</w:t>
      </w:r>
    </w:p>
    <w:p>
      <w:pPr>
        <w:spacing w:line="360" w:lineRule="auto" w:after="200"/>
        <w:jc w:val="both"/>
      </w:pPr>
      <w:r>
        <w:rPr>
          <w:rFonts w:ascii="Times New Roman" w:hAnsi="Times New Roman" w:cs="Times New Roman" w:eastAsia="Times New Roman"/>
          <w:sz w:val="22"/>
        </w:rPr>
        <w:t xml:space="preserve">Leakage control (data flow). Every step that could learn from the labels or the held-out partition is confined to the training fold: raw data </w:t>
      </w:r>
      <m:oMath>
        <m:r>
          <w:rPr>
            <w:sz w:val="22"/>
            <w:szCs w:val="22"/>
          </w:rPr>
          <m:t xml:space="preserve">→</m:t>
        </m:r>
      </m:oMath>
      <w:r>
        <w:rPr>
          <w:rFonts w:ascii="Times New Roman" w:hAnsi="Times New Roman" w:cs="Times New Roman" w:eastAsia="Times New Roman"/>
          <w:sz w:val="22"/>
        </w:rPr>
        <w:t xml:space="preserve"> label-independent cleaning/encoding </w:t>
      </w:r>
      <m:oMath>
        <m:r>
          <w:rPr>
            <w:sz w:val="22"/>
            <w:szCs w:val="22"/>
          </w:rPr>
          <m:t xml:space="preserve">→</m:t>
        </m:r>
      </m:oMath>
      <w:r>
        <w:rPr>
          <w:rFonts w:ascii="Times New Roman" w:hAnsi="Times New Roman" w:cs="Times New Roman" w:eastAsia="Times New Roman"/>
          <w:sz w:val="22"/>
        </w:rPr>
        <w:t xml:space="preserve"> outer 80/20 split </w:t>
      </w:r>
      <m:oMath>
        <m:r>
          <w:rPr>
            <w:sz w:val="22"/>
            <w:szCs w:val="22"/>
          </w:rPr>
          <m:t xml:space="preserve">→ [</m:t>
        </m:r>
      </m:oMath>
      <w:r>
        <w:rPr>
          <w:rFonts w:ascii="Times New Roman" w:hAnsi="Times New Roman" w:cs="Times New Roman" w:eastAsia="Times New Roman"/>
          <w:sz w:val="22"/>
        </w:rPr>
        <w:t xml:space="preserve">on the 80% train only] fit standardizer </w:t>
      </w:r>
      <m:oMath>
        <m:r>
          <w:rPr>
            <w:sz w:val="22"/>
            <w:szCs w:val="22"/>
          </w:rPr>
          <m:t xml:space="preserve">·</m:t>
        </m:r>
      </m:oMath>
      <w:r>
        <w:rPr>
          <w:rFonts w:ascii="Times New Roman" w:hAnsi="Times New Roman" w:cs="Times New Roman" w:eastAsia="Times New Roman"/>
          <w:sz w:val="22"/>
        </w:rPr>
        <w:t xml:space="preserve"> compute MI relevance prior </w:t>
      </w:r>
      <m:oMath>
        <m:r>
          <w:rPr>
            <w:sz w:val="22"/>
            <w:szCs w:val="22"/>
          </w:rPr>
          <m:t xml:space="preserve">ρ · 5</m:t>
        </m:r>
      </m:oMath>
      <w:r>
        <w:rPr>
          <w:rFonts w:ascii="Times New Roman" w:hAnsi="Times New Roman" w:cs="Times New Roman" w:eastAsia="Times New Roman"/>
          <w:sz w:val="22"/>
        </w:rPr>
        <w:t xml:space="preserve">-fold CV fitness </w:t>
      </w:r>
      <m:oMath>
        <m:r>
          <w:rPr>
            <w:sz w:val="22"/>
            <w:szCs w:val="22"/>
          </w:rPr>
          <m:t xml:space="preserve">·</m:t>
        </m:r>
      </m:oMath>
      <w:r>
        <w:rPr>
          <w:rFonts w:ascii="Times New Roman" w:hAnsi="Times New Roman" w:cs="Times New Roman" w:eastAsia="Times New Roman"/>
          <w:sz w:val="22"/>
        </w:rPr>
        <w:t xml:space="preserve"> feature-subset search </w:t>
      </w:r>
      <m:oMath>
        <m:r>
          <w:rPr>
            <w:sz w:val="22"/>
            <w:szCs w:val="22"/>
          </w:rPr>
          <m:t xml:space="preserve">→</m:t>
        </m:r>
      </m:oMath>
      <w:r>
        <w:rPr>
          <w:rFonts w:ascii="Times New Roman" w:hAnsi="Times New Roman" w:cs="Times New Roman" w:eastAsia="Times New Roman"/>
          <w:sz w:val="22"/>
        </w:rPr>
        <w:t xml:space="preserve"> freeze selected mask </w:t>
      </w:r>
      <m:oMath>
        <m:r>
          <w:rPr>
            <w:sz w:val="22"/>
            <w:szCs w:val="22"/>
          </w:rPr>
          <m:t xml:space="preserve">→ [</m:t>
        </m:r>
      </m:oMath>
      <w:r>
        <w:rPr>
          <w:rFonts w:ascii="Times New Roman" w:hAnsi="Times New Roman" w:cs="Times New Roman" w:eastAsia="Times New Roman"/>
          <w:sz w:val="22"/>
        </w:rPr>
        <w:t xml:space="preserve">on the 20% hold-out] transform with the train-fitted standardizer only </w:t>
      </w:r>
      <m:oMath>
        <m:r>
          <w:rPr>
            <w:sz w:val="22"/>
            <w:szCs w:val="22"/>
          </w:rPr>
          <m:t xml:space="preserve">→</m:t>
        </m:r>
      </m:oMath>
      <w:r>
        <w:rPr>
          <w:rFonts w:ascii="Times New Roman" w:hAnsi="Times New Roman" w:cs="Times New Roman" w:eastAsia="Times New Roman"/>
          <w:sz w:val="22"/>
        </w:rPr>
        <w:t xml:space="preserve"> single KNN evaluation. No standardizer, relevance prior, CV fold, or hyperparameter is ever fit on, or given access to, the held-out partition; the hold-out is touched exactly once, for final evaluation.</w:t>
      </w:r>
    </w:p>
    <w:p>
      <w:pPr>
        <w:spacing w:line="360" w:lineRule="auto" w:after="200"/>
        <w:jc w:val="both"/>
      </w:pPr>
      <m:oMath>
        <m:r>
          <w:rPr>
            <w:sz w:val="22"/>
            <w:szCs w:val="22"/>
          </w:rPr>
          <m:t xml:space="preserve">γ = 0.5</m:t>
        </m:r>
      </m:oMath>
      <m:oMath>
        <m:r>
          <w:rPr>
            <w:sz w:val="22"/>
            <w:szCs w:val="22"/>
          </w:rPr>
          <m:t xml:space="preserve">τ = 0.5</m:t>
        </m:r>
      </m:oMath>
      <m:oMath>
        <m:r>
          <w:rPr>
            <w:sz w:val="22"/>
            <w:szCs w:val="22"/>
          </w:rPr>
          <m:t xml:space="preserve">τ</m:t>
        </m:r>
      </m:oMath>
      <m:oMath>
        <m:r>
          <w:rPr>
            <w:sz w:val="22"/>
            <w:szCs w:val="22"/>
          </w:rPr>
          <m:t xml:space="preserve">λ</m:t>
        </m:r>
      </m:oMath>
      <m:oMath>
        <m:r>
          <w:rPr>
            <w:sz w:val="22"/>
            <w:szCs w:val="22"/>
          </w:rPr>
          <m:t xml:space="preserve">γ</m:t>
        </m:r>
      </m:oMath>
      <w:r>
        <w:rPr>
          <w:rFonts w:ascii="Times New Roman" w:hAnsi="Times New Roman" w:cs="Times New Roman" w:eastAsia="Times New Roman"/>
          <w:sz w:val="22"/>
        </w:rPr>
        <w:t xml:space="preserve">We benchmark against six baselines: SCSO (base)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AOA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CoatiOA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GWO </w:t>
      </w:r>
      <w:hyperlink w:anchor="ref21">
        <w:r>
          <w:rPr>
            <w:rFonts w:ascii="Times New Roman" w:hAnsi="Times New Roman" w:cs="Times New Roman" w:eastAsia="Times New Roman"/>
            <w:sz w:val="22"/>
            <w:color w:val="000000"/>
          </w:rPr>
          <w:t xml:space="preserve">[21]</w:t>
        </w:r>
      </w:hyperlink>
      <w:r>
        <w:rPr>
          <w:rFonts w:ascii="Times New Roman" w:hAnsi="Times New Roman" w:cs="Times New Roman" w:eastAsia="Times New Roman"/>
          <w:sz w:val="22"/>
        </w:rPr>
        <w:t xml:space="preserve">, PSO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and RIME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The protocol is preregistered and locked prior to the full run. All algorithms share: population 30, 500 iterations, 30 independent runs, seed = 42+run_id (paired across algorithms), KNN (k=5) with stratified 5-fold cross-validation, search space [-1,1]d, and the fitness above. This is a faithful published-default comparison, not an equally-tuned one: every baseline runs at its own published/library-default control parameters under this identical shared protocol, and no method is re-tuned per dataset. RG-SCSO's , , and K = 8 are likewise fixed before the full run;  and the cardinality weight  are additionally characterized by the sensitivity sweeps in Supplementary Information, while  and K were frozen from the preregistration pilot and not tuned on the test data. A per-method fidelity table (source, version, control parameters, search space, tuning, budget, seed) is provided in the released repository (Baseline_Fidelity_Report); the limitation of comparing against untuned baselines is acknowledged in Discussion.</w:t>
      </w:r>
    </w:p>
    <w:p>
      <w:pPr>
        <w:pStyle w:val="Heading2"/>
      </w:pPr>
      <w:r>
        <w:rPr>
          <w:rFonts w:ascii="Times New Roman" w:hAnsi="Times New Roman" w:cs="Times New Roman" w:eastAsia="Times New Roman"/>
        </w:rPr>
        <w:t>6.7 Statistics and reproducibility</w:t>
      </w:r>
    </w:p>
    <w:p>
      <w:pPr>
        <w:spacing w:line="360" w:lineRule="auto" w:after="200"/>
        <w:jc w:val="both"/>
      </w:pPr>
      <w:r>
        <w:rPr>
          <w:rFonts w:ascii="Times New Roman" w:hAnsi="Times New Roman" w:cs="Times New Roman" w:eastAsia="Times New Roman"/>
          <w:i w:val="0"/>
          <w:sz w:val="22"/>
        </w:rPr>
        <w:t>We state the inference units explicitly. The experimental unit is one independent run (an outer 80/20 split under a distinct seed). The primary cross-algorithm comparison is at the dataset level: for each dataset and algorithm the 30 runs are aggregated to a mean held-out accuracy, giving 18 paired per-dataset summaries that are the units for the Friedman test, the critical-difference diagram, and the paired bootstrap confidence intervals of the accuracy difference (RG-SCSO − baseline). The per-dataset Wilcoxon signed-rank test instead treats the 30 paired runs within a single dataset as its unit; those within-dataset results are repeated-run comparisons, not cross-dataset generalization, and are reported as such. Cohen's d and rank-biserial r are computed on the same paired samples as the test they accompany.</w:t>
      </w:r>
    </w:p>
    <w:p>
      <w:pPr>
        <w:spacing w:line="360" w:lineRule="auto" w:after="200"/>
        <w:jc w:val="both"/>
      </w:pPr>
      <m:oMath>
        <m:r>
          <w:rPr>
            <w:sz w:val="22"/>
            <w:szCs w:val="22"/>
          </w:rPr>
          <m:t xml:space="preserve">α = 0.05</m:t>
        </m:r>
      </m:oMath>
      <w:r>
        <w:rPr>
          <w:rFonts w:ascii="Times New Roman" w:hAnsi="Times New Roman" w:cs="Times New Roman" w:eastAsia="Times New Roman"/>
          <w:sz w:val="22"/>
        </w:rPr>
        <w:t xml:space="preserve">Significance uses the paired Wilcoxon signed-rank test with Holm correction </w:t>
      </w:r>
      <w:hyperlink w:anchor="ref22">
        <w:r>
          <w:rPr>
            <w:rFonts w:ascii="Times New Roman" w:hAnsi="Times New Roman" w:cs="Times New Roman" w:eastAsia="Times New Roman"/>
            <w:sz w:val="22"/>
            <w:color w:val="000000"/>
          </w:rPr>
          <w:t xml:space="preserve">[22]</w:t>
        </w:r>
      </w:hyperlink>
      <w:r>
        <w:rPr>
          <w:rFonts w:ascii="Times New Roman" w:hAnsi="Times New Roman" w:cs="Times New Roman" w:eastAsia="Times New Roman"/>
          <w:sz w:val="22"/>
        </w:rPr>
        <w:t xml:space="preserve">, the Holm family formed per dataset, at . A tie denotes failure to reject H0 (no significant accuracy difference) at this threshold; it is not evidence of equivalence. Effect sizes use Cohen's d and rank-biserial r; overall comparison uses the Friedman test with a critical-difference diagram </w:t>
      </w:r>
      <w:hyperlink w:anchor="ref23">
        <w:r>
          <w:rPr>
            <w:rFonts w:ascii="Times New Roman" w:hAnsi="Times New Roman" w:cs="Times New Roman" w:eastAsia="Times New Roman"/>
            <w:sz w:val="22"/>
            <w:color w:val="000000"/>
          </w:rPr>
          <w:t xml:space="preserve">[23]</w:t>
        </w:r>
      </w:hyperlink>
      <w:r>
        <w:rPr>
          <w:rFonts w:ascii="Times New Roman" w:hAnsi="Times New Roman" w:cs="Times New Roman" w:eastAsia="Times New Roman"/>
          <w:sz w:val="22"/>
        </w:rPr>
        <w:t xml:space="preserve">. The experimental design was preregistered and version-controlled before the full run and left unmodified after results were observed; all randomness is seeded deterministically and shared across algorithms.</w:t>
      </w:r>
    </w:p>
    <w:p>
      <w:pPr>
        <w:spacing w:line="360" w:lineRule="auto" w:after="200"/>
        <w:jc w:val="both"/>
      </w:pPr>
      <w:r>
        <w:rPr>
          <w:rFonts w:ascii="Times New Roman" w:hAnsi="Times New Roman" w:cs="Times New Roman" w:eastAsia="Times New Roman"/>
          <w:sz w:val="22"/>
        </w:rPr>
        <w:t xml:space="preserve">Two further baselines used in Discussion isolate specific alternative explanations for RG-SCSO's parsimony and are run under the identical protocol above (same 18 datasets, 30 runs, matched budget), not drawn from prior publications: adaptive continuous-space transfer functions, specifically bPSO and bGWO equipped with the time-varying transfer of Islam et al.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and the V4 transfer of Teng et al.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and two directly re-implemented same-family binary SCSO selectors, with a standard S-shaped and a V-shaped-plus-opposition-based-learning transfer respectively.</w:t>
      </w:r>
    </w:p>
    <w:p>
      <w:pPr>
        <w:spacing w:line="360" w:lineRule="auto" w:after="200"/>
        <w:jc w:val="both"/>
      </w:pPr>
      <w:r>
        <w:rPr>
          <w:rFonts w:ascii="Times New Roman" w:hAnsi="Times New Roman" w:cs="Times New Roman" w:eastAsia="Times New Roman"/>
          <w:i w:val="0"/>
          <w:sz w:val="22"/>
        </w:rPr>
        <w:t xml:space="preserve">The relevance prior, the binarization threshold </w:t>
      </w:r>
      <m:oMath>
        <m:r>
          <w:rPr>
            <w:sz w:val="22"/>
            <w:szCs w:val="22"/>
          </w:rPr>
          <m:t xml:space="preserve">τ</m:t>
        </m:r>
      </m:oMath>
      <w:r>
        <w:rPr>
          <w:rFonts w:ascii="Times New Roman" w:hAnsi="Times New Roman" w:cs="Times New Roman" w:eastAsia="Times New Roman"/>
          <w:i w:val="0"/>
          <w:sz w:val="22"/>
        </w:rPr>
        <w:t xml:space="preserve">, the cardinality weight </w:t>
      </w:r>
      <m:oMath>
        <m:r>
          <w:rPr>
            <w:sz w:val="22"/>
            <w:szCs w:val="22"/>
          </w:rPr>
          <m:t xml:space="preserve">λ</m:t>
        </m:r>
      </m:oMath>
      <w:r>
        <w:rPr>
          <w:rFonts w:ascii="Times New Roman" w:hAnsi="Times New Roman" w:cs="Times New Roman" w:eastAsia="Times New Roman"/>
          <w:i w:val="0"/>
          <w:sz w:val="22"/>
        </w:rPr>
        <w:t>, and every other hyperparameter are fixed or estimated using only the training partition of each outer split; none is tuned, selected, or recomputed using held-out labels at any stage of the search, evaluation, or hyperparameter sweep.</w:t>
      </w:r>
    </w:p>
    <w:p>
      <w:pPr>
        <w:pStyle w:val="Heading1"/>
      </w:pPr>
      <w:r>
        <w:rPr>
          <w:rFonts w:ascii="Times New Roman" w:hAnsi="Times New Roman" w:cs="Times New Roman" w:eastAsia="Times New Roman"/>
        </w:rPr>
        <w:t>Author Contributions</w:t>
      </w:r>
    </w:p>
    <w:p>
      <w:pPr>
        <w:spacing w:line="360" w:lineRule="auto" w:after="200"/>
        <w:jc w:val="both"/>
      </w:pPr>
      <w:r>
        <w:rPr>
          <w:rFonts w:ascii="Times New Roman" w:hAnsi="Times New Roman" w:cs="Times New Roman" w:eastAsia="Times New Roman"/>
          <w:i w:val="0"/>
          <w:sz w:val="22"/>
        </w:rPr>
        <w:t>Bui Quang Huy: Conceptualization, Methodology, Software, Validation, Formal analysis, Investigation, Data curation, Writing – original draft, Writing – review &amp; editing, Visualization, Supervision. Duong Minh Son: Formal analysis, Writing – review &amp; editing.</w:t>
      </w:r>
    </w:p>
    <w:p>
      <w:pPr>
        <w:pStyle w:val="Heading1"/>
      </w:pPr>
      <w:r>
        <w:rPr>
          <w:rFonts w:ascii="Times New Roman" w:hAnsi="Times New Roman" w:cs="Times New Roman" w:eastAsia="Times New Roman"/>
        </w:rPr>
        <w:t>Statements and Declarations</w:t>
      </w:r>
    </w:p>
    <w:p>
      <w:pPr>
        <w:pStyle w:val="Heading2"/>
      </w:pPr>
      <w:r>
        <w:rPr>
          <w:rFonts w:ascii="Times New Roman" w:hAnsi="Times New Roman" w:cs="Times New Roman" w:eastAsia="Times New Roman"/>
        </w:rPr>
        <w:t>Funding</w:t>
      </w:r>
    </w:p>
    <w:p>
      <w:pPr>
        <w:spacing w:line="360" w:lineRule="auto" w:after="200"/>
        <w:jc w:val="both"/>
      </w:pPr>
      <w:r>
        <w:rPr>
          <w:rFonts w:ascii="Times New Roman" w:hAnsi="Times New Roman" w:cs="Times New Roman" w:eastAsia="Times New Roman"/>
          <w:i w:val="0"/>
          <w:sz w:val="22"/>
        </w:rPr>
        <w:t>No funding was received for this work.</w:t>
      </w:r>
    </w:p>
    <w:p>
      <w:pPr>
        <w:pStyle w:val="Heading2"/>
      </w:pPr>
      <w:r>
        <w:rPr>
          <w:rFonts w:ascii="Times New Roman" w:hAnsi="Times New Roman" w:cs="Times New Roman" w:eastAsia="Times New Roman"/>
        </w:rPr>
        <w:t>Conflict of interest</w:t>
      </w:r>
    </w:p>
    <w:p>
      <w:pPr>
        <w:spacing w:line="360" w:lineRule="auto" w:after="200"/>
        <w:jc w:val="both"/>
      </w:pPr>
      <w:r>
        <w:rPr>
          <w:rFonts w:ascii="Times New Roman" w:hAnsi="Times New Roman" w:cs="Times New Roman" w:eastAsia="Times New Roman"/>
          <w:i w:val="0"/>
          <w:sz w:val="22"/>
        </w:rPr>
        <w:t>The authors declare no competing interests.</w:t>
      </w:r>
    </w:p>
    <w:p>
      <w:pPr>
        <w:pStyle w:val="Heading2"/>
      </w:pPr>
      <w:r>
        <w:rPr>
          <w:rFonts w:ascii="Times New Roman" w:hAnsi="Times New Roman" w:cs="Times New Roman" w:eastAsia="Times New Roman"/>
        </w:rPr>
        <w:t>Ethical approval</w:t>
      </w:r>
    </w:p>
    <w:p>
      <w:pPr>
        <w:spacing w:line="360" w:lineRule="auto" w:after="200"/>
        <w:jc w:val="both"/>
      </w:pPr>
      <w:r>
        <w:rPr>
          <w:rFonts w:ascii="Times New Roman" w:hAnsi="Times New Roman" w:cs="Times New Roman" w:eastAsia="Times New Roman"/>
          <w:i w:val="0"/>
          <w:sz w:val="22"/>
        </w:rPr>
        <w:t>Not applicable. This study uses only publicly available benchmark datasets (UCI and standard microarray sets) and involves no human participants, human data, or animals.</w:t>
      </w:r>
    </w:p>
    <w:p>
      <w:pPr>
        <w:pStyle w:val="Heading2"/>
      </w:pPr>
      <w:r>
        <w:rPr>
          <w:rFonts w:ascii="Times New Roman" w:hAnsi="Times New Roman" w:cs="Times New Roman" w:eastAsia="Times New Roman"/>
        </w:rPr>
        <w:t>Use of AI tools</w:t>
      </w:r>
    </w:p>
    <w:p>
      <w:pPr>
        <w:spacing w:line="360" w:lineRule="auto" w:after="200"/>
        <w:jc w:val="both"/>
      </w:pPr>
      <w:r>
        <w:rPr>
          <w:rFonts w:ascii="Times New Roman" w:hAnsi="Times New Roman" w:cs="Times New Roman" w:eastAsia="Times New Roman"/>
          <w:i w:val="0"/>
          <w:sz w:val="22"/>
        </w:rPr>
        <w:t>The authors used a generative AI assistant for language editing, code refactoring, and formatting of tables and figures. All experimental design, implementation, results, and scientific claims were produced and verified by the authors, who take full responsibility for the content of this manuscript.</w:t>
      </w:r>
    </w:p>
    <w:p>
      <w:pPr>
        <w:pStyle w:val="Heading2"/>
      </w:pPr>
      <w:r>
        <w:rPr>
          <w:rFonts w:ascii="Times New Roman" w:hAnsi="Times New Roman" w:cs="Times New Roman" w:eastAsia="Times New Roman"/>
        </w:rPr>
        <w:t>Data Availability Statement</w:t>
      </w:r>
    </w:p>
    <w:p>
      <w:pPr>
        <w:spacing w:line="360" w:lineRule="auto" w:after="200"/>
        <w:jc w:val="both"/>
      </w:pPr>
      <w:r>
        <w:rPr>
          <w:rFonts w:ascii="Times New Roman" w:hAnsi="Times New Roman" w:cs="Times New Roman" w:eastAsia="Times New Roman"/>
          <w:i w:val="0"/>
          <w:sz w:val="22"/>
        </w:rPr>
        <w:t>The datasets analysed in this study are publicly available benchmarks (UCI and standard microarray sets); Supplementary Table S1 lists each source. The source code, the locked preregistration, the per-run seeds, a complete hyperparameter table, a pinned dependency list (requirements.txt), an MIT LICENSE, and the raw per-run results are available for review in an anonymized repository (https://anonymous.4open.science/r/RG-SCSO) at the manuscript's release commit, and will be deposited in a public, citable repository with a permanent Zenodo DOI upon acceptance. With the pinned dependencies (requirements.txt, Python 3.10) and the per-run seeds, the tables and figures can be regenerated from the released raw results, and the experiments re-run deterministically.</w:t>
      </w:r>
    </w:p>
    <w:p>
      <w:pPr>
        <w:pStyle w:val="Heading1"/>
      </w:pPr>
      <w:r>
        <w:rPr>
          <w:rFonts w:ascii="Times New Roman" w:hAnsi="Times New Roman" w:cs="Times New Roman" w:eastAsia="Times New Roman"/>
        </w:rPr>
        <w:t>References</w:t>
      </w:r>
    </w:p>
    <w:p>
      <w:pPr>
        <w:jc w:val="both"/>
      </w:pPr>
      <w:bookmarkStart w:id="4001" w:name="ref1"/>
      <w:r>
        <w:rPr>
          <w:rFonts w:ascii="Times New Roman" w:hAnsi="Times New Roman" w:cs="Times New Roman" w:eastAsia="Times New Roman"/>
          <w:i w:val="0"/>
          <w:sz w:val="18"/>
        </w:rPr>
        <w:t xml:space="preserve">[1] I. Guyon and A. Elisseeff, An Introduction to Variable and Feature Selection.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3, 1157–1182 (2003).</w:t>
      </w:r>
      <w:bookmarkEnd w:id="4001"/>
    </w:p>
    <w:p>
      <w:pPr>
        <w:jc w:val="both"/>
      </w:pPr>
      <w:bookmarkStart w:id="4002" w:name="ref2"/>
      <w:r>
        <w:rPr>
          <w:rFonts w:ascii="Times New Roman" w:hAnsi="Times New Roman" w:cs="Times New Roman" w:eastAsia="Times New Roman"/>
          <w:i w:val="0"/>
          <w:sz w:val="18"/>
        </w:rPr>
        <w:t xml:space="preserve">[2] H. Peng, F. Long, and C. Ding, Feature Selection Based on Mutual Information: Criteria of Max-Dependency, Max-Relevance, and Min-Redundancy. </w:t>
      </w:r>
      <w:r>
        <w:rPr>
          <w:rFonts w:ascii="Times New Roman" w:hAnsi="Times New Roman" w:cs="Times New Roman" w:eastAsia="Times New Roman"/>
          <w:i/>
          <w:sz w:val="18"/>
        </w:rPr>
        <w:t>IEEE Transactions on Pattern Analysis and Machine Intelligence</w:t>
      </w:r>
      <w:r>
        <w:rPr>
          <w:rFonts w:ascii="Times New Roman" w:hAnsi="Times New Roman" w:cs="Times New Roman" w:eastAsia="Times New Roman"/>
          <w:i w:val="0"/>
          <w:sz w:val="18"/>
        </w:rPr>
        <w:t xml:space="preserve"> 27, 1226–1238 (2005).</w:t>
      </w:r>
      <w:bookmarkEnd w:id="4002"/>
    </w:p>
    <w:p>
      <w:pPr>
        <w:jc w:val="both"/>
      </w:pPr>
      <w:bookmarkStart w:id="4003" w:name="ref3"/>
      <w:r>
        <w:rPr>
          <w:rFonts w:ascii="Times New Roman" w:hAnsi="Times New Roman" w:cs="Times New Roman" w:eastAsia="Times New Roman"/>
          <w:i w:val="0"/>
          <w:sz w:val="18"/>
        </w:rPr>
        <w:t xml:space="preserve">[3] E. Emary, H. M. Zawbaa, and A. E. Hassanien, Binary Grey Wolf Optimization Approaches for Feature Selection.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172, 371–381 (2016).</w:t>
      </w:r>
      <w:bookmarkEnd w:id="4003"/>
    </w:p>
    <w:p>
      <w:pPr>
        <w:jc w:val="both"/>
      </w:pPr>
      <w:bookmarkStart w:id="4004" w:name="ref4"/>
      <w:r>
        <w:rPr>
          <w:rFonts w:ascii="Times New Roman" w:hAnsi="Times New Roman" w:cs="Times New Roman" w:eastAsia="Times New Roman"/>
          <w:i w:val="0"/>
          <w:sz w:val="18"/>
        </w:rPr>
        <w:t xml:space="preserve">[4] J. Kennedy and R. Eberhart, Particle Swarm Optimization. </w:t>
      </w:r>
      <w:r>
        <w:rPr>
          <w:rFonts w:ascii="Times New Roman" w:hAnsi="Times New Roman" w:cs="Times New Roman" w:eastAsia="Times New Roman"/>
          <w:i/>
          <w:sz w:val="18"/>
        </w:rPr>
        <w:t>Proceedings of the IEEE International Conference on Neural Networks</w:t>
      </w:r>
      <w:r>
        <w:rPr>
          <w:rFonts w:ascii="Times New Roman" w:hAnsi="Times New Roman" w:cs="Times New Roman" w:eastAsia="Times New Roman"/>
          <w:i w:val="0"/>
          <w:sz w:val="18"/>
        </w:rPr>
        <w:t xml:space="preserve"> 4, 1942–1948 (1995).</w:t>
      </w:r>
      <w:bookmarkEnd w:id="4004"/>
    </w:p>
    <w:p>
      <w:pPr>
        <w:jc w:val="both"/>
      </w:pPr>
      <w:bookmarkStart w:id="4005" w:name="ref5"/>
      <w:r>
        <w:rPr>
          <w:rFonts w:ascii="Times New Roman" w:hAnsi="Times New Roman" w:cs="Times New Roman" w:eastAsia="Times New Roman"/>
          <w:i w:val="0"/>
          <w:sz w:val="18"/>
        </w:rPr>
        <w:t xml:space="preserve">[5] M. Mafarja and S. Mirjalili, Whale Optimization Approaches for Wrapper Feature Selection.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62, 441–453 (2018).</w:t>
      </w:r>
      <w:bookmarkEnd w:id="4005"/>
    </w:p>
    <w:p>
      <w:pPr>
        <w:jc w:val="both"/>
      </w:pPr>
      <w:bookmarkStart w:id="4006" w:name="ref6"/>
      <w:r>
        <w:rPr>
          <w:rFonts w:ascii="Times New Roman" w:hAnsi="Times New Roman" w:cs="Times New Roman" w:eastAsia="Times New Roman"/>
          <w:i w:val="0"/>
          <w:sz w:val="18"/>
        </w:rPr>
        <w:t xml:space="preserve">[6] L. Abualigah, A. Diabat, S. Mirjalili, M. Abd Elaziz, and A. H. Gandomi, The Arithmetic Optimization Algorithm. </w:t>
      </w:r>
      <w:r>
        <w:rPr>
          <w:rFonts w:ascii="Times New Roman" w:hAnsi="Times New Roman" w:cs="Times New Roman" w:eastAsia="Times New Roman"/>
          <w:i/>
          <w:sz w:val="18"/>
        </w:rPr>
        <w:t>Computer Methods in Applied Mechanics and Engineering</w:t>
      </w:r>
      <w:r>
        <w:rPr>
          <w:rFonts w:ascii="Times New Roman" w:hAnsi="Times New Roman" w:cs="Times New Roman" w:eastAsia="Times New Roman"/>
          <w:i w:val="0"/>
          <w:sz w:val="18"/>
        </w:rPr>
        <w:t xml:space="preserve"> 376, 113609 (2021).</w:t>
      </w:r>
      <w:bookmarkEnd w:id="4006"/>
    </w:p>
    <w:p>
      <w:pPr>
        <w:jc w:val="both"/>
      </w:pPr>
      <w:bookmarkStart w:id="4007" w:name="ref7"/>
      <w:r>
        <w:rPr>
          <w:rFonts w:ascii="Times New Roman" w:hAnsi="Times New Roman" w:cs="Times New Roman" w:eastAsia="Times New Roman"/>
          <w:i w:val="0"/>
          <w:sz w:val="18"/>
        </w:rPr>
        <w:t xml:space="preserve">[7] M. Dehghani, Z. Montazeri, E. Trojovská, and P. Trojovský, Coati Optimization Algorithm: A New Bio-Inspired Metaheuristic Algorithm for Solving Optimization Problems.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259, 110011 (2023).</w:t>
      </w:r>
      <w:bookmarkEnd w:id="4007"/>
    </w:p>
    <w:p>
      <w:pPr>
        <w:jc w:val="both"/>
      </w:pPr>
      <w:bookmarkStart w:id="4008" w:name="ref8"/>
      <w:r>
        <w:rPr>
          <w:rFonts w:ascii="Times New Roman" w:hAnsi="Times New Roman" w:cs="Times New Roman" w:eastAsia="Times New Roman"/>
          <w:i w:val="0"/>
          <w:sz w:val="18"/>
        </w:rPr>
        <w:t xml:space="preserve">[8] H. Su, D. Zhao, A. A. Heidari, L. Liu, X. Zhang, M. Mafarja, and H. Chen, RIME: A Physics-Based Optimization.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532, 183–214 (2023).</w:t>
      </w:r>
      <w:bookmarkEnd w:id="4008"/>
    </w:p>
    <w:p>
      <w:pPr>
        <w:jc w:val="both"/>
      </w:pPr>
      <w:bookmarkStart w:id="4009" w:name="ref9"/>
      <w:r>
        <w:rPr>
          <w:rFonts w:ascii="Times New Roman" w:hAnsi="Times New Roman" w:cs="Times New Roman" w:eastAsia="Times New Roman"/>
          <w:i w:val="0"/>
          <w:sz w:val="18"/>
        </w:rPr>
        <w:t xml:space="preserve">[9] S. Mirjalili and A. Lewis, S-Shaped versus V-Shaped Transfer Functions for Binary Particle Swarm Optimization.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9, 1–14 (2013).</w:t>
      </w:r>
      <w:bookmarkEnd w:id="4009"/>
    </w:p>
    <w:p>
      <w:pPr>
        <w:jc w:val="both"/>
      </w:pPr>
      <w:bookmarkStart w:id="4010" w:name="ref10"/>
      <w:r>
        <w:rPr>
          <w:rFonts w:ascii="Times New Roman" w:hAnsi="Times New Roman" w:cs="Times New Roman" w:eastAsia="Times New Roman"/>
          <w:i w:val="0"/>
          <w:sz w:val="18"/>
        </w:rPr>
        <w:t xml:space="preserve">[10] A. Seyyedabbasi and F. Kiani, Sand Cat Swarm Optimization: A Nature-Inspired Algorithm to Solve Global Optimization Problems. </w:t>
      </w:r>
      <w:r>
        <w:rPr>
          <w:rFonts w:ascii="Times New Roman" w:hAnsi="Times New Roman" w:cs="Times New Roman" w:eastAsia="Times New Roman"/>
          <w:i/>
          <w:sz w:val="18"/>
        </w:rPr>
        <w:t>Engineering with Computers</w:t>
      </w:r>
      <w:r>
        <w:rPr>
          <w:rFonts w:ascii="Times New Roman" w:hAnsi="Times New Roman" w:cs="Times New Roman" w:eastAsia="Times New Roman"/>
          <w:i w:val="0"/>
          <w:sz w:val="18"/>
        </w:rPr>
        <w:t xml:space="preserve"> 39, 2627–2651 (2023).</w:t>
      </w:r>
      <w:bookmarkEnd w:id="4010"/>
    </w:p>
    <w:p>
      <w:pPr>
        <w:jc w:val="both"/>
      </w:pPr>
      <w:bookmarkStart w:id="4011" w:name="ref11"/>
      <w:r>
        <w:rPr>
          <w:rFonts w:ascii="Times New Roman" w:hAnsi="Times New Roman" w:cs="Times New Roman" w:eastAsia="Times New Roman"/>
          <w:i w:val="0"/>
          <w:sz w:val="18"/>
        </w:rPr>
        <w:t xml:space="preserve">[11] F. Neri and C. Cotta, Memetic Algorithms and Memetic Computing Optimization: A Literature Review.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2, 1–14 (2012).</w:t>
      </w:r>
      <w:bookmarkEnd w:id="4011"/>
    </w:p>
    <w:p>
      <w:pPr>
        <w:jc w:val="both"/>
      </w:pPr>
      <w:bookmarkStart w:id="4012" w:name="ref12"/>
      <w:r>
        <w:rPr>
          <w:rFonts w:ascii="Times New Roman" w:hAnsi="Times New Roman" w:cs="Times New Roman" w:eastAsia="Times New Roman"/>
          <w:i w:val="0"/>
          <w:sz w:val="18"/>
        </w:rPr>
        <w:t xml:space="preserve">[12] S. A. Ludwig, Guided Particle Swarm Optimization for Feature Selection: Application to Cancer Genome Data. </w:t>
      </w:r>
      <w:r>
        <w:rPr>
          <w:rFonts w:ascii="Times New Roman" w:hAnsi="Times New Roman" w:cs="Times New Roman" w:eastAsia="Times New Roman"/>
          <w:i/>
          <w:sz w:val="18"/>
        </w:rPr>
        <w:t>Algorithms</w:t>
      </w:r>
      <w:r>
        <w:rPr>
          <w:rFonts w:ascii="Times New Roman" w:hAnsi="Times New Roman" w:cs="Times New Roman" w:eastAsia="Times New Roman"/>
          <w:i w:val="0"/>
          <w:sz w:val="18"/>
        </w:rPr>
        <w:t xml:space="preserve"> 18, 220 (2025).</w:t>
      </w:r>
      <w:bookmarkEnd w:id="4012"/>
    </w:p>
    <w:p>
      <w:pPr>
        <w:jc w:val="both"/>
      </w:pPr>
      <w:bookmarkStart w:id="4013" w:name="ref13"/>
      <w:r>
        <w:rPr>
          <w:rFonts w:ascii="Times New Roman" w:hAnsi="Times New Roman" w:cs="Times New Roman" w:eastAsia="Times New Roman"/>
          <w:i w:val="0"/>
          <w:sz w:val="18"/>
        </w:rPr>
        <w:t xml:space="preserve">[13] A. Seyyedabbasi, Binary Sand Cat Swarm Optimization Algorithm for Wrapper Feature Selection on Biological Data.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8, 310 (2023).</w:t>
      </w:r>
      <w:bookmarkEnd w:id="4013"/>
    </w:p>
    <w:p>
      <w:pPr>
        <w:jc w:val="both"/>
      </w:pPr>
      <w:bookmarkStart w:id="4014" w:name="ref14"/>
      <w:r>
        <w:rPr>
          <w:rFonts w:ascii="Times New Roman" w:hAnsi="Times New Roman" w:cs="Times New Roman" w:eastAsia="Times New Roman"/>
          <w:i w:val="0"/>
          <w:sz w:val="18"/>
        </w:rPr>
        <w:t xml:space="preserve">[14] E. Pashaei, An Efficient Binary Sand Cat Swarm Optimization for Feature Selection in High-Dimensional Biomedical Data. </w:t>
      </w:r>
      <w:r>
        <w:rPr>
          <w:rFonts w:ascii="Times New Roman" w:hAnsi="Times New Roman" w:cs="Times New Roman" w:eastAsia="Times New Roman"/>
          <w:i/>
          <w:sz w:val="18"/>
        </w:rPr>
        <w:t>Bioengineering</w:t>
      </w:r>
      <w:r>
        <w:rPr>
          <w:rFonts w:ascii="Times New Roman" w:hAnsi="Times New Roman" w:cs="Times New Roman" w:eastAsia="Times New Roman"/>
          <w:i w:val="0"/>
          <w:sz w:val="18"/>
        </w:rPr>
        <w:t xml:space="preserve"> 10, 1123 (2023).</w:t>
      </w:r>
      <w:bookmarkEnd w:id="4014"/>
    </w:p>
    <w:p>
      <w:pPr>
        <w:jc w:val="both"/>
      </w:pPr>
      <w:bookmarkStart w:id="4015" w:name="ref15"/>
      <w:r>
        <w:rPr>
          <w:rFonts w:ascii="Times New Roman" w:hAnsi="Times New Roman" w:cs="Times New Roman" w:eastAsia="Times New Roman"/>
          <w:i w:val="0"/>
          <w:sz w:val="18"/>
        </w:rPr>
        <w:t xml:space="preserve">[15] R. Liu, R. Fang, T. Zeng, H. Fei, Q. Qi, P. Zuo, L. Xu, and W. Liu, A Novel Adaptive Sand Cat Swarm Optimization Algorithm for Feature Selection and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701 (2024).</w:t>
      </w:r>
      <w:bookmarkEnd w:id="4015"/>
    </w:p>
    <w:p>
      <w:pPr>
        <w:jc w:val="both"/>
      </w:pPr>
      <w:bookmarkStart w:id="4016" w:name="ref16"/>
      <w:r>
        <w:rPr>
          <w:rFonts w:ascii="Times New Roman" w:hAnsi="Times New Roman" w:cs="Times New Roman" w:eastAsia="Times New Roman"/>
          <w:i w:val="0"/>
          <w:sz w:val="18"/>
        </w:rPr>
        <w:t xml:space="preserve">[16] K. Zhang, Y. He, Y. Wang, and C. Sun, Improved Multi-Strategy Sand Cat Swarm Optimization for Solving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280 (2024).</w:t>
      </w:r>
      <w:bookmarkEnd w:id="4016"/>
    </w:p>
    <w:p>
      <w:pPr>
        <w:jc w:val="both"/>
      </w:pPr>
      <w:bookmarkStart w:id="4017" w:name="ref17"/>
      <w:r>
        <w:rPr>
          <w:rFonts w:ascii="Times New Roman" w:hAnsi="Times New Roman" w:cs="Times New Roman" w:eastAsia="Times New Roman"/>
          <w:i w:val="0"/>
          <w:sz w:val="18"/>
        </w:rPr>
        <w:t xml:space="preserve">[17] M. Lin, Z. Dai, Z. Qiu, H. Chen, and H. Lin, Multi-Strategy Enhanced Sand Cat Swarm Optimization Algorithm and Its Engineering Applications.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15, 34391 (2025).</w:t>
      </w:r>
      <w:bookmarkEnd w:id="4017"/>
    </w:p>
    <w:p>
      <w:pPr>
        <w:jc w:val="both"/>
      </w:pPr>
      <w:bookmarkStart w:id="4018" w:name="ref18"/>
      <w:r>
        <w:rPr>
          <w:rFonts w:ascii="Times New Roman" w:hAnsi="Times New Roman" w:cs="Times New Roman" w:eastAsia="Times New Roman"/>
          <w:i w:val="0"/>
          <w:sz w:val="18"/>
        </w:rPr>
        <w:t xml:space="preserve">[18] Y. Cai, C. Guo, and X. Chen, An Improved Sand Cat Swarm Optimization with Lens Opposition-Based Learning and Sparrow Search Algorithm.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14, 20690 (2024).</w:t>
      </w:r>
      <w:bookmarkEnd w:id="4018"/>
    </w:p>
    <w:p>
      <w:pPr>
        <w:jc w:val="both"/>
      </w:pPr>
      <w:bookmarkStart w:id="4019" w:name="ref19"/>
      <w:r>
        <w:rPr>
          <w:rFonts w:ascii="Times New Roman" w:hAnsi="Times New Roman" w:cs="Times New Roman" w:eastAsia="Times New Roman"/>
          <w:i w:val="0"/>
          <w:sz w:val="18"/>
        </w:rPr>
        <w:t xml:space="preserve">[19] H. Jia, J. Zhang, H. Rao, and L. Abualigah, Improved Sand Cat Swarm Optimization Algorithm for Solving Global Optimum Problems. </w:t>
      </w:r>
      <w:r>
        <w:rPr>
          <w:rFonts w:ascii="Times New Roman" w:hAnsi="Times New Roman" w:cs="Times New Roman" w:eastAsia="Times New Roman"/>
          <w:i/>
          <w:sz w:val="18"/>
        </w:rPr>
        <w:t>Artificial Intelligence Review</w:t>
      </w:r>
      <w:r>
        <w:rPr>
          <w:rFonts w:ascii="Times New Roman" w:hAnsi="Times New Roman" w:cs="Times New Roman" w:eastAsia="Times New Roman"/>
          <w:i w:val="0"/>
          <w:sz w:val="18"/>
        </w:rPr>
        <w:t xml:space="preserve"> 58, 5 (2024).</w:t>
      </w:r>
      <w:bookmarkEnd w:id="4019"/>
    </w:p>
    <w:p>
      <w:pPr>
        <w:jc w:val="both"/>
      </w:pPr>
      <w:bookmarkStart w:id="4020" w:name="ref20"/>
      <w:r>
        <w:rPr>
          <w:rFonts w:ascii="Times New Roman" w:hAnsi="Times New Roman" w:cs="Times New Roman" w:eastAsia="Times New Roman"/>
          <w:i w:val="0"/>
          <w:sz w:val="18"/>
        </w:rPr>
        <w:t xml:space="preserve">[20] A. Kraskov, H. Stögbauer, and P. Grassberger, Estimating Mutual Information. </w:t>
      </w:r>
      <w:r>
        <w:rPr>
          <w:rFonts w:ascii="Times New Roman" w:hAnsi="Times New Roman" w:cs="Times New Roman" w:eastAsia="Times New Roman"/>
          <w:i/>
          <w:sz w:val="18"/>
        </w:rPr>
        <w:t>Physical Review E</w:t>
      </w:r>
      <w:r>
        <w:rPr>
          <w:rFonts w:ascii="Times New Roman" w:hAnsi="Times New Roman" w:cs="Times New Roman" w:eastAsia="Times New Roman"/>
          <w:i w:val="0"/>
          <w:sz w:val="18"/>
        </w:rPr>
        <w:t xml:space="preserve"> 69, 066138 (2004).</w:t>
      </w:r>
      <w:bookmarkEnd w:id="4020"/>
    </w:p>
    <w:p>
      <w:pPr>
        <w:jc w:val="both"/>
      </w:pPr>
      <w:bookmarkStart w:id="4021" w:name="ref21"/>
      <w:r>
        <w:rPr>
          <w:rFonts w:ascii="Times New Roman" w:hAnsi="Times New Roman" w:cs="Times New Roman" w:eastAsia="Times New Roman"/>
          <w:i w:val="0"/>
          <w:sz w:val="18"/>
        </w:rPr>
        <w:t xml:space="preserve">[21] S. Mirjalili, S. M. Mirjalili, and A. Lewis, Grey Wolf Optimizer. </w:t>
      </w:r>
      <w:r>
        <w:rPr>
          <w:rFonts w:ascii="Times New Roman" w:hAnsi="Times New Roman" w:cs="Times New Roman" w:eastAsia="Times New Roman"/>
          <w:i/>
          <w:sz w:val="18"/>
        </w:rPr>
        <w:t>Advances in Engineering Software</w:t>
      </w:r>
      <w:r>
        <w:rPr>
          <w:rFonts w:ascii="Times New Roman" w:hAnsi="Times New Roman" w:cs="Times New Roman" w:eastAsia="Times New Roman"/>
          <w:i w:val="0"/>
          <w:sz w:val="18"/>
        </w:rPr>
        <w:t xml:space="preserve"> 69, 46–61 (2014).</w:t>
      </w:r>
      <w:bookmarkEnd w:id="4021"/>
    </w:p>
    <w:p>
      <w:pPr>
        <w:jc w:val="both"/>
      </w:pPr>
      <w:bookmarkStart w:id="4022" w:name="ref22"/>
      <w:r>
        <w:rPr>
          <w:rFonts w:ascii="Times New Roman" w:hAnsi="Times New Roman" w:cs="Times New Roman" w:eastAsia="Times New Roman"/>
          <w:i w:val="0"/>
          <w:sz w:val="18"/>
        </w:rPr>
        <w:t xml:space="preserve">[22] S. Holm, A Simple Sequentially Rejective Multiple Test Procedure. </w:t>
      </w:r>
      <w:r>
        <w:rPr>
          <w:rFonts w:ascii="Times New Roman" w:hAnsi="Times New Roman" w:cs="Times New Roman" w:eastAsia="Times New Roman"/>
          <w:i/>
          <w:sz w:val="18"/>
        </w:rPr>
        <w:t>Scandinavian Journal of Statistics</w:t>
      </w:r>
      <w:r>
        <w:rPr>
          <w:rFonts w:ascii="Times New Roman" w:hAnsi="Times New Roman" w:cs="Times New Roman" w:eastAsia="Times New Roman"/>
          <w:i w:val="0"/>
          <w:sz w:val="18"/>
        </w:rPr>
        <w:t xml:space="preserve"> 6, 65–70 (1979).</w:t>
      </w:r>
      <w:bookmarkEnd w:id="4022"/>
    </w:p>
    <w:p>
      <w:pPr>
        <w:jc w:val="both"/>
      </w:pPr>
      <w:bookmarkStart w:id="4023" w:name="ref23"/>
      <w:r>
        <w:rPr>
          <w:rFonts w:ascii="Times New Roman" w:hAnsi="Times New Roman" w:cs="Times New Roman" w:eastAsia="Times New Roman"/>
          <w:i w:val="0"/>
          <w:sz w:val="18"/>
        </w:rPr>
        <w:t xml:space="preserve">[23] J. Demšar, Statistical Comparisons of Classifiers over Multiple Data Sets.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7, 1–30 (2006).</w:t>
      </w:r>
      <w:bookmarkEnd w:id="4023"/>
    </w:p>
    <w:p>
      <w:pPr>
        <w:jc w:val="both"/>
      </w:pPr>
      <w:bookmarkStart w:id="4024" w:name="ref24"/>
      <w:r>
        <w:rPr>
          <w:rFonts w:ascii="Times New Roman" w:hAnsi="Times New Roman" w:cs="Times New Roman" w:eastAsia="Times New Roman"/>
          <w:i w:val="0"/>
          <w:sz w:val="18"/>
        </w:rPr>
        <w:t xml:space="preserve">[24] M. J. Islam, X. Li, and Y. Mei, A Time-Varying Transfer Function for Balancing the Exploration and Exploitation Ability of a Binary PSO.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59, 182–196 (2017).</w:t>
      </w:r>
      <w:bookmarkEnd w:id="4024"/>
    </w:p>
    <w:p>
      <w:pPr>
        <w:jc w:val="both"/>
      </w:pPr>
      <w:bookmarkStart w:id="4025" w:name="ref25"/>
      <w:r>
        <w:rPr>
          <w:rFonts w:ascii="Times New Roman" w:hAnsi="Times New Roman" w:cs="Times New Roman" w:eastAsia="Times New Roman"/>
          <w:i w:val="0"/>
          <w:sz w:val="18"/>
        </w:rPr>
        <w:t xml:space="preserve">[25] X. Teng, H. Dong, and X. Zhou, Adaptive Feature Selection Using V-Shaped Binary Particle Swarm Optimization. </w:t>
      </w:r>
      <w:r>
        <w:rPr>
          <w:rFonts w:ascii="Times New Roman" w:hAnsi="Times New Roman" w:cs="Times New Roman" w:eastAsia="Times New Roman"/>
          <w:i/>
          <w:sz w:val="18"/>
        </w:rPr>
        <w:t>PLOS ONE</w:t>
      </w:r>
      <w:r>
        <w:rPr>
          <w:rFonts w:ascii="Times New Roman" w:hAnsi="Times New Roman" w:cs="Times New Roman" w:eastAsia="Times New Roman"/>
          <w:i w:val="0"/>
          <w:sz w:val="18"/>
        </w:rPr>
        <w:t xml:space="preserve"> 12, e0173907 (2017).</w:t>
      </w:r>
      <w:bookmarkEnd w:id="4025"/>
    </w:p>
    <w:p>
      <w:pPr>
        <w:jc w:val="both"/>
      </w:pPr>
      <w:bookmarkStart w:id="4026" w:name="ref26"/>
      <w:r>
        <w:rPr>
          <w:rFonts w:ascii="Times New Roman" w:hAnsi="Times New Roman" w:cs="Times New Roman" w:eastAsia="Times New Roman"/>
          <w:i w:val="0"/>
          <w:sz w:val="18"/>
        </w:rPr>
        <w:t xml:space="preserve">[26] M. Li, Q. Luo, and Y. Zhou, BGOA-TVG: Binary Grasshopper Optimization Algorithm with Time-Varying Gaussian Transfer Functions for Feature Selection.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187 (2024).</w:t>
      </w:r>
      <w:bookmarkEnd w:id="4026"/>
    </w:p>
    <w:p>
      <w:pPr>
        <w:jc w:val="both"/>
      </w:pPr>
      <w:bookmarkStart w:id="4027" w:name="ref27"/>
      <w:r>
        <w:rPr>
          <w:rFonts w:ascii="Times New Roman" w:hAnsi="Times New Roman" w:cs="Times New Roman" w:eastAsia="Times New Roman"/>
          <w:i w:val="0"/>
          <w:sz w:val="18"/>
        </w:rPr>
        <w:t xml:space="preserve">[27] S. Gupta and S. Gupta, Fitness and Historical Success Information-Assisted Binary Particle Swarm Optimization for Feature Selection.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306, 112699 (2024).</w:t>
      </w:r>
      <w:bookmarkEnd w:id="4027"/>
    </w:p>
    <w:p>
      <w:pPr>
        <w:jc w:val="both"/>
      </w:pPr>
      <w:bookmarkStart w:id="4028" w:name="ref28"/>
      <w:r>
        <w:rPr>
          <w:rFonts w:ascii="Times New Roman" w:hAnsi="Times New Roman" w:cs="Times New Roman" w:eastAsia="Times New Roman"/>
          <w:i w:val="0"/>
          <w:sz w:val="18"/>
        </w:rPr>
        <w:t xml:space="preserve">[28] X. Li, Q. Fu, Q. Li, W. Ding, F. Lin, and Z. Zheng, Multi-Objective Binary Grey Wolf Optimization for Feature Selection Based on Guided Mutation Strategy.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145, 110558 (2023).</w:t>
      </w:r>
      <w:bookmarkEnd w:id="4028"/>
    </w:p>
    <w:p>
      <w:pPr>
        <w:jc w:val="both"/>
      </w:pPr>
      <w:bookmarkStart w:id="4029" w:name="ref29"/>
      <w:r>
        <w:rPr>
          <w:rFonts w:ascii="Times New Roman" w:hAnsi="Times New Roman" w:cs="Times New Roman" w:eastAsia="Times New Roman"/>
          <w:i w:val="0"/>
          <w:sz w:val="18"/>
        </w:rPr>
        <w:t xml:space="preserve">[29] A. Alzaqebah, O. Al-Kadi, and I. Aljarah, An Enhanced Harris Hawk Optimizer Based on Extreme Learning Machine for Feature Selection. </w:t>
      </w:r>
      <w:r>
        <w:rPr>
          <w:rFonts w:ascii="Times New Roman" w:hAnsi="Times New Roman" w:cs="Times New Roman" w:eastAsia="Times New Roman"/>
          <w:i/>
          <w:sz w:val="18"/>
        </w:rPr>
        <w:t>Progress in Artificial Intelligence</w:t>
      </w:r>
      <w:r>
        <w:rPr>
          <w:rFonts w:ascii="Times New Roman" w:hAnsi="Times New Roman" w:cs="Times New Roman" w:eastAsia="Times New Roman"/>
          <w:i w:val="0"/>
          <w:sz w:val="18"/>
        </w:rPr>
        <w:t xml:space="preserve"> 12, 77–97 (2023).</w:t>
      </w:r>
      <w:bookmarkEnd w:id="4029"/>
    </w:p>
    <w:p>
      <w:pPr>
        <w:jc w:val="both"/>
      </w:pPr>
      <w:bookmarkStart w:id="4030" w:name="ref30"/>
      <w:r>
        <w:rPr>
          <w:rFonts w:ascii="Times New Roman" w:hAnsi="Times New Roman" w:cs="Times New Roman" w:eastAsia="Times New Roman"/>
          <w:i w:val="0"/>
          <w:sz w:val="18"/>
        </w:rPr>
        <w:t xml:space="preserve">[30] R. Alwajih, S. J. Abdulkadir, H. Al Hussian, N. Aziz, Q. Al-Tashi, S. Mirjalili, and A. Alqushaibi, Hybrid Binary Whale with Harris Hawks for Feature Selection. </w:t>
      </w:r>
      <w:r>
        <w:rPr>
          <w:rFonts w:ascii="Times New Roman" w:hAnsi="Times New Roman" w:cs="Times New Roman" w:eastAsia="Times New Roman"/>
          <w:i/>
          <w:sz w:val="18"/>
        </w:rPr>
        <w:t>Neural Computing and Applications</w:t>
      </w:r>
      <w:r>
        <w:rPr>
          <w:rFonts w:ascii="Times New Roman" w:hAnsi="Times New Roman" w:cs="Times New Roman" w:eastAsia="Times New Roman"/>
          <w:i w:val="0"/>
          <w:sz w:val="18"/>
        </w:rPr>
        <w:t xml:space="preserve"> 34, 19377–19395 (2022).</w:t>
      </w:r>
      <w:bookmarkEnd w:id="4030"/>
    </w:p>
    <w:p>
      <w:pPr>
        <w:jc w:val="both"/>
      </w:pPr>
      <w:bookmarkStart w:id="4031" w:name="ref31"/>
      <w:r>
        <w:rPr>
          <w:rFonts w:ascii="Times New Roman" w:hAnsi="Times New Roman" w:cs="Times New Roman" w:eastAsia="Times New Roman"/>
          <w:i w:val="0"/>
          <w:sz w:val="18"/>
        </w:rPr>
        <w:t xml:space="preserve">[31] X. Chen, M. Liu, Z. Wang, and Y. Wang, Explainable Deep Learning-Based Feature Selection and Intrusion Detection Method on the Internet of Things. </w:t>
      </w:r>
      <w:r>
        <w:rPr>
          <w:rFonts w:ascii="Times New Roman" w:hAnsi="Times New Roman" w:cs="Times New Roman" w:eastAsia="Times New Roman"/>
          <w:i/>
          <w:sz w:val="18"/>
        </w:rPr>
        <w:t>Sensors</w:t>
      </w:r>
      <w:r>
        <w:rPr>
          <w:rFonts w:ascii="Times New Roman" w:hAnsi="Times New Roman" w:cs="Times New Roman" w:eastAsia="Times New Roman"/>
          <w:i w:val="0"/>
          <w:sz w:val="18"/>
        </w:rPr>
        <w:t xml:space="preserve"> 24, 5223 (2024).</w:t>
      </w:r>
      <w:bookmarkEnd w:id="4031"/>
    </w:p>
    <w:sectPr w:rsidR="00FC693F" w:rsidRPr="0006063C" w:rsidSect="00034616">
      <w:type w:val="continuous"/>
      <w:pgSz w:w="11906" w:h="16838"/>
      <w:pgMar w:top="1134" w:right="1134" w:bottom="1134" w:left="1134" w:header="720" w:footer="720" w:gutter="0"/>
      <w:cols w:space="4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