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 xml:space="preserve">Zen OSX </w:t>
      </w:r>
      <w:r>
        <w:rPr>
          <w:rtl w:val="0"/>
        </w:rPr>
        <w:t>Ü</w:t>
      </w:r>
      <w:r>
        <w:rPr>
          <w:rtl w:val="0"/>
        </w:rPr>
        <w:t>bersicht Widget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File Structure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851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drawing>
                <wp:inline distT="0" distB="0" distL="0" distR="0">
                  <wp:extent cx="1943100" cy="24130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413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Each of the sub widget has .widget prefix, with 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index.coffee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as the main integration point to Ubersicht.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Most of the heavy lifting is done by python script, which is run from the 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index.coffee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. The 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index.coffee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file itself only handles rendering and styling of HTML5 + CSS.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en-US"/>
              </w:rPr>
              <w:t>_SYS</w:t>
            </w:r>
            <w:r>
              <w:rPr>
                <w:b w:val="0"/>
                <w:bCs w:val="0"/>
                <w:rtl w:val="0"/>
                <w:lang w:val="en-US"/>
              </w:rPr>
              <w:t xml:space="preserve"> has a </w:t>
            </w:r>
            <w:r>
              <w:rPr>
                <w:b w:val="1"/>
                <w:bCs w:val="1"/>
                <w:rtl w:val="0"/>
                <w:lang w:val="en-US"/>
              </w:rPr>
              <w:t>watcher.py</w:t>
            </w:r>
            <w:r>
              <w:rPr>
                <w:b w:val="0"/>
                <w:bCs w:val="0"/>
                <w:rtl w:val="0"/>
                <w:lang w:val="en-US"/>
              </w:rPr>
              <w:t xml:space="preserve"> which runs as a long running process, listening to </w:t>
            </w:r>
            <w:r>
              <w:rPr>
                <w:b w:val="1"/>
                <w:bCs w:val="1"/>
                <w:rtl w:val="0"/>
                <w:lang w:val="en-US"/>
              </w:rPr>
              <w:t>diskutil activity</w:t>
            </w:r>
            <w:r>
              <w:rPr>
                <w:b w:val="0"/>
                <w:bCs w:val="0"/>
              </w:rPr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Common files &amp; Environment variables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62"/>
        <w:gridCol w:w="6970"/>
      </w:tblGrid>
      <w:tr>
        <w:tblPrEx>
          <w:shd w:val="clear" w:color="auto" w:fill="auto"/>
        </w:tblPrEx>
        <w:trPr>
          <w:trHeight w:val="725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env variable: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</w:rPr>
              <w:t>US_ZENOSX_DIR</w:t>
            </w:r>
          </w:p>
        </w:tc>
        <w:tc>
          <w:tcPr>
            <w:tcW w:type="dxa" w:w="6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Directory where ZENOSX Widget is located at. This is almost always going to be the relative path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$PWD/ZENOSX.widget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Helvetica" w:eastAsia="Arial Unicode MS"/>
                <w:rtl w:val="0"/>
              </w:rPr>
              <w:t>- because Ubersicht provides running context that starts from its widget directory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0"/>
                <w:bCs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python file</w:t>
            </w:r>
          </w:p>
          <w:p>
            <w:pPr>
              <w:pStyle w:val="Table Style 2"/>
              <w:rPr>
                <w:b w:val="0"/>
                <w:bCs w:val="0"/>
              </w:rPr>
            </w:pPr>
            <w:r>
              <w:rPr>
                <w:b w:val="0"/>
                <w:bCs w:val="0"/>
                <w:rtl w:val="0"/>
                <w:lang w:val="en-US"/>
              </w:rPr>
              <w:t>$US_ZENOSX_DIR/_SYS/</w:t>
            </w:r>
          </w:p>
          <w:p>
            <w:pPr>
              <w:pStyle w:val="Table Style 2"/>
            </w:pPr>
            <w:r>
              <w:rPr>
                <w:b w:val="0"/>
                <w:bCs w:val="0"/>
                <w:rtl w:val="0"/>
                <w:lang w:val="en-US"/>
              </w:rPr>
              <w:t>USZENOSXConfig.py</w:t>
            </w:r>
          </w:p>
        </w:tc>
        <w:tc>
          <w:tcPr>
            <w:tcW w:type="dxa" w:w="6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Python file which contains all common config, including debug level - and common functions/static methods used by other python files. Logging, PID check and such is configured from here. Files that desires similar functionality would import this module, after adding $US_ZENOSX_DIR/_SYS into the os.path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0"/>
                <w:bCs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directory</w:t>
            </w:r>
          </w:p>
          <w:p>
            <w:pPr>
              <w:pStyle w:val="Table Style 2"/>
            </w:pPr>
            <w:r>
              <w:rPr>
                <w:b w:val="0"/>
                <w:bCs w:val="0"/>
                <w:rtl w:val="0"/>
                <w:lang w:val="en-US"/>
              </w:rPr>
              <w:t>$US_ZENOSX_DIR/_LOG</w:t>
            </w:r>
          </w:p>
        </w:tc>
        <w:tc>
          <w:tcPr>
            <w:tcW w:type="dxa" w:w="6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This is a log/tmp directory, where log files and .pid files are dumped to. the log file size is limited as configured on the USZENOSXConfig.py - .PID file will be dumped into this folder as a way of process control.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