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7A2C" w14:textId="1C22A6AD" w:rsidR="008879F0" w:rsidRDefault="00033048">
      <w:r>
        <w:t>Production capacity for the factory increased 4% from last week, resulting in machinery being utilized 84% of the time. This was due, in part, to restructuring how the team schedules maintenance windows, but was primarily due to luck. We were fortunate that we experience</w:t>
      </w:r>
      <w:r w:rsidR="00B112D0">
        <w:t>d</w:t>
      </w:r>
      <w:r>
        <w:t xml:space="preserve"> no breakdowns in our machinery</w:t>
      </w:r>
      <w:r w:rsidR="00B112D0">
        <w:t xml:space="preserve"> that resulted in idle time.</w:t>
      </w:r>
    </w:p>
    <w:p w14:paraId="4EB95D8C" w14:textId="73D1ACBF" w:rsidR="00033048" w:rsidRDefault="00033048">
      <w:r>
        <w:t xml:space="preserve">Overall, the factory itself is on track to make production quotas for the year thus far. We have made up significant ground against the delays we experienced last month that were due to the catastrophic failure (and eventual replacement) of one of our key production lines. </w:t>
      </w:r>
      <w:r w:rsidR="00B112D0">
        <w:t>Right now, the factory stands at 75% utilization for the year. This is short of our goal of 80%, but represents an increase of 3% from the prior month. If we can continue this strong momentum, we should be fully caught up by next quarter.</w:t>
      </w:r>
    </w:p>
    <w:p w14:paraId="4DDD10B9" w14:textId="2E3C4AEC" w:rsidR="00B112D0" w:rsidRDefault="00B112D0">
      <w:r>
        <w:t xml:space="preserve">Payroll costs remained steady against last week's numbers. We had zero employees decide to leave the company, no overtime hours were used, and no new employees were added. As a reminder, however, payroll costs are set to increase significantly next quarter as the </w:t>
      </w:r>
      <w:r w:rsidR="004D7417">
        <w:t>new production wing comes online. Approximately 20 new employees will need to be added. We are currently working with HR on a hiring and onboarding strategy.</w:t>
      </w:r>
    </w:p>
    <w:p w14:paraId="5A12FC6D" w14:textId="77777777" w:rsidR="004D7417" w:rsidRDefault="004D7417"/>
    <w:sectPr w:rsidR="004D7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F0"/>
    <w:rsid w:val="00033048"/>
    <w:rsid w:val="004D7417"/>
    <w:rsid w:val="008879F0"/>
    <w:rsid w:val="00B1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BC32"/>
  <w15:chartTrackingRefBased/>
  <w15:docId w15:val="{E3A143FD-FA70-4A82-B945-96E41412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2020-04-20T13:58:00Z</dcterms:created>
  <dcterms:modified xsi:type="dcterms:W3CDTF">2020-04-20T14:20:00Z</dcterms:modified>
</cp:coreProperties>
</file>