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BED45"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i/>
          <w:iCs/>
          <w:color w:val="000000"/>
        </w:rPr>
        <w:t>A Condensed Review of Large Scale Wind Turbine Safety and Failure Modes</w:t>
      </w:r>
    </w:p>
    <w:p w14:paraId="5C5A5BA9" w14:textId="77777777" w:rsidR="005D5CDD" w:rsidRPr="001B404F" w:rsidRDefault="005D5CDD" w:rsidP="005D5CDD">
      <w:pPr>
        <w:rPr>
          <w:rFonts w:ascii="Times New Roman" w:eastAsia="Times New Roman" w:hAnsi="Times New Roman" w:cs="Times New Roman"/>
          <w:sz w:val="20"/>
          <w:szCs w:val="20"/>
        </w:rPr>
      </w:pPr>
    </w:p>
    <w:p w14:paraId="117B5C4E" w14:textId="4260C994"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color w:val="000000"/>
          <w:sz w:val="22"/>
          <w:szCs w:val="22"/>
        </w:rPr>
        <w:t>Zachary Swai</w:t>
      </w:r>
      <w:r w:rsidR="00542FEA">
        <w:rPr>
          <w:rFonts w:ascii="Times New Roman" w:hAnsi="Times New Roman" w:cs="Times New Roman"/>
          <w:color w:val="000000"/>
          <w:sz w:val="22"/>
          <w:szCs w:val="22"/>
        </w:rPr>
        <w:t>n</w:t>
      </w:r>
      <w:r w:rsidR="00542FEA">
        <w:rPr>
          <w:rStyle w:val="FootnoteReference"/>
          <w:rFonts w:ascii="Times New Roman" w:hAnsi="Times New Roman" w:cs="Times New Roman"/>
          <w:color w:val="000000"/>
          <w:sz w:val="22"/>
          <w:szCs w:val="22"/>
        </w:rPr>
        <w:footnoteReference w:id="1"/>
      </w:r>
      <w:r w:rsidR="00542FEA">
        <w:rPr>
          <w:rFonts w:ascii="Times New Roman" w:hAnsi="Times New Roman" w:cs="Times New Roman"/>
          <w:color w:val="000000"/>
          <w:sz w:val="22"/>
          <w:szCs w:val="22"/>
          <w:vertAlign w:val="superscript"/>
        </w:rPr>
        <w:t>)</w:t>
      </w:r>
      <w:r w:rsidRPr="001B404F">
        <w:rPr>
          <w:rFonts w:ascii="Times New Roman" w:hAnsi="Times New Roman" w:cs="Times New Roman"/>
          <w:color w:val="000000"/>
          <w:sz w:val="22"/>
          <w:szCs w:val="22"/>
        </w:rPr>
        <w:t xml:space="preserve"> and Bill Ju</w:t>
      </w:r>
    </w:p>
    <w:p w14:paraId="4490E41E"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i/>
          <w:iCs/>
          <w:color w:val="000000"/>
          <w:sz w:val="20"/>
          <w:szCs w:val="20"/>
        </w:rPr>
        <w:t>Department of Mechanical Engineering, University of Delaware, Newark, Delaware 19716</w:t>
      </w:r>
    </w:p>
    <w:p w14:paraId="058C2D31" w14:textId="77777777" w:rsidR="005D5CDD" w:rsidRPr="001B404F" w:rsidRDefault="005D5CDD" w:rsidP="005D5CDD">
      <w:pPr>
        <w:rPr>
          <w:rFonts w:ascii="Times New Roman" w:eastAsia="Times New Roman" w:hAnsi="Times New Roman" w:cs="Times New Roman"/>
          <w:sz w:val="20"/>
          <w:szCs w:val="20"/>
        </w:rPr>
      </w:pPr>
    </w:p>
    <w:p w14:paraId="6DAE5F8E" w14:textId="77777777" w:rsidR="005D5CDD" w:rsidRPr="001B404F" w:rsidRDefault="005D5CDD" w:rsidP="005D5CDD">
      <w:pPr>
        <w:jc w:val="center"/>
        <w:rPr>
          <w:rFonts w:ascii="Times New Roman" w:hAnsi="Times New Roman" w:cs="Times New Roman"/>
          <w:sz w:val="20"/>
          <w:szCs w:val="20"/>
        </w:rPr>
      </w:pPr>
      <w:r w:rsidRPr="001B404F">
        <w:rPr>
          <w:rFonts w:ascii="Times New Roman" w:hAnsi="Times New Roman" w:cs="Times New Roman"/>
          <w:color w:val="000000"/>
          <w:sz w:val="20"/>
          <w:szCs w:val="20"/>
        </w:rPr>
        <w:t>Received 13 November 2018</w:t>
      </w:r>
    </w:p>
    <w:p w14:paraId="5594B19D" w14:textId="77777777" w:rsidR="005D5CDD" w:rsidRDefault="005D5CDD" w:rsidP="005D5CDD">
      <w:pPr>
        <w:rPr>
          <w:rFonts w:ascii="Times New Roman" w:eastAsia="Times New Roman" w:hAnsi="Times New Roman" w:cs="Times New Roman"/>
          <w:sz w:val="20"/>
          <w:szCs w:val="20"/>
        </w:rPr>
      </w:pPr>
    </w:p>
    <w:p w14:paraId="781269B7" w14:textId="77777777" w:rsidR="001B404F" w:rsidRPr="001B404F" w:rsidRDefault="001B404F" w:rsidP="005D5CDD">
      <w:pPr>
        <w:rPr>
          <w:rFonts w:ascii="Times New Roman" w:eastAsia="Times New Roman" w:hAnsi="Times New Roman" w:cs="Times New Roman"/>
          <w:sz w:val="20"/>
          <w:szCs w:val="20"/>
        </w:rPr>
      </w:pPr>
    </w:p>
    <w:p w14:paraId="446EA495"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000000"/>
        </w:rPr>
        <w:t>Introduction</w:t>
      </w:r>
    </w:p>
    <w:p w14:paraId="771E274E" w14:textId="756E7CA0" w:rsidR="005D5CDD"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Wind power generation is a growing field, both in the United States and around the globe. The United States in August 2018 had wind power accounting for 4.64% of net energy generation from all fuels and solar; compared to a decade prior of 0.84%. Wind energy generation production saw a 500% increase over that time [1]. In a now-emerged field, it is important to maintain specified safety guidelines and detail potential for hazards associated with wind turbine operation; perhaps the most potentially serious being various modes of turbine failure. Typical public safety and health concerns of power generation facilities do not sufficiently transfer to wind power, providing too minimal of a scope [2]. As such, identification of wind-specific hazards and procedures to mitigate them are necessary. Industrial hazard regulations vary by country; and as such, safety regulations in this review will be specified domestically (US). The main details of large scale wind turbine safety and failure will be discussed here.</w:t>
      </w:r>
    </w:p>
    <w:p w14:paraId="2AAFFCBD" w14:textId="77777777" w:rsidR="001B404F" w:rsidRPr="001B404F" w:rsidRDefault="001B404F" w:rsidP="001B404F">
      <w:pPr>
        <w:spacing w:line="480" w:lineRule="auto"/>
        <w:rPr>
          <w:rFonts w:ascii="Times New Roman" w:hAnsi="Times New Roman" w:cs="Times New Roman"/>
        </w:rPr>
      </w:pPr>
    </w:p>
    <w:p w14:paraId="5AD6C7D5"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Overview</w:t>
      </w:r>
    </w:p>
    <w:p w14:paraId="7CBD10D0"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The </w:t>
      </w:r>
      <w:r w:rsidRPr="001B404F">
        <w:rPr>
          <w:rFonts w:ascii="Times New Roman" w:hAnsi="Times New Roman" w:cs="Times New Roman"/>
          <w:i/>
          <w:iCs/>
          <w:color w:val="313131"/>
        </w:rPr>
        <w:t xml:space="preserve">Permitting of Wind Energy Facilities </w:t>
      </w:r>
      <w:r w:rsidRPr="001B404F">
        <w:rPr>
          <w:rFonts w:ascii="Times New Roman" w:hAnsi="Times New Roman" w:cs="Times New Roman"/>
          <w:color w:val="313131"/>
        </w:rPr>
        <w:t xml:space="preserve">Handbook states that “most of the safety issues associated with wind energy projects can be dealt with through adequate setbacks, security, safe work practices, and the implementation of a fire control plan” [3]. There are several aspects of wind turbine operation that are important in terms of public </w:t>
      </w:r>
      <w:r w:rsidRPr="001B404F">
        <w:rPr>
          <w:rFonts w:ascii="Times New Roman" w:hAnsi="Times New Roman" w:cs="Times New Roman"/>
          <w:color w:val="313131"/>
        </w:rPr>
        <w:lastRenderedPageBreak/>
        <w:t xml:space="preserve">safety: lightning strike, blade throw, falling or thrown ice, tower failure, fire hazard, and worker and passerby hazards [4] </w:t>
      </w:r>
      <w:r w:rsidRPr="001B404F">
        <w:rPr>
          <w:rFonts w:ascii="Times New Roman" w:hAnsi="Times New Roman" w:cs="Times New Roman"/>
          <w:color w:val="000000"/>
        </w:rPr>
        <w:t>[5]</w:t>
      </w:r>
      <w:r w:rsidRPr="001B404F">
        <w:rPr>
          <w:rFonts w:ascii="Times New Roman" w:hAnsi="Times New Roman" w:cs="Times New Roman"/>
          <w:color w:val="313131"/>
        </w:rPr>
        <w:t xml:space="preserve">. </w:t>
      </w:r>
    </w:p>
    <w:p w14:paraId="7C3B04FA"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Large scale wind turbines are especially susceptible to lightning strikes, as they are tall, grounded structures - situated in flat and isolated locales. Blade throw is encountered when a blade or blade fragments fail and are thrown from a rotating turbine. Falling or thrown ice can also occur when ice forms on a turbine in low temperature conditions with suitable precipitation. Tower failure may occur when vast deviation from design conditions is exacerbated by large external loads and disrepaired foundation. Fire hazards especially considered in dry, arid locales. Lastly, there are inherent hazards introduced to persons on site [5]. Offshore wind turbines introduce further considerations, including further electrical insulation, waves, sea currents, water level, sea ice, marine growth, and seabed movement and scour [6]. Extreme marine conditions should likewise be taken into account. The best ways to avoid hazardous conditions are to implement a sufficiently distanced setback, apply good engineering design practices including appropriate maintenance, proper subsurface wiring, and effectively training personnel [7].</w:t>
      </w:r>
    </w:p>
    <w:p w14:paraId="7F3AF01D" w14:textId="77777777" w:rsidR="005D5CDD" w:rsidRPr="001B404F" w:rsidRDefault="005D5CDD" w:rsidP="001B404F">
      <w:pPr>
        <w:spacing w:line="480" w:lineRule="auto"/>
        <w:rPr>
          <w:rFonts w:ascii="Times New Roman" w:eastAsia="Times New Roman" w:hAnsi="Times New Roman" w:cs="Times New Roman"/>
        </w:rPr>
      </w:pPr>
    </w:p>
    <w:p w14:paraId="131A8E23"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Safety</w:t>
      </w:r>
    </w:p>
    <w:p w14:paraId="7CCB8318"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There are mandated safety regulations that </w:t>
      </w:r>
      <w:r w:rsidRPr="001B404F">
        <w:rPr>
          <w:rFonts w:ascii="Times New Roman" w:hAnsi="Times New Roman" w:cs="Times New Roman"/>
          <w:color w:val="000000"/>
        </w:rPr>
        <w:t xml:space="preserve">protect persons from contact with high voltage electricity, require safe tower climbing equipment, and alert air traffic. Established standards </w:t>
      </w:r>
      <w:r w:rsidRPr="001B404F">
        <w:rPr>
          <w:rFonts w:ascii="Times New Roman" w:hAnsi="Times New Roman" w:cs="Times New Roman"/>
          <w:color w:val="313131"/>
        </w:rPr>
        <w:t xml:space="preserve">introduce minimum design requirements to be met to ensure a wind turbine will withstand conditions encountered over its design lifetime </w:t>
      </w:r>
      <w:r w:rsidRPr="001B404F">
        <w:rPr>
          <w:rFonts w:ascii="Times New Roman" w:hAnsi="Times New Roman" w:cs="Times New Roman"/>
          <w:color w:val="000000"/>
        </w:rPr>
        <w:t>[8]. The federal register on “Electric Power Generation, Transmission, and Distribution; Electrical Protective Equipment” as well as Occupational Safety and Health Administration (OSHA) standards 1910.140 and 1910.147 are key applicable regulations. They require practices such as minimum approach distances for high-voltage equipment and proper personal protective equipment (PPE). [9] [10] [11]. These standards mitigate and control some of the risks inherent to a wind turbine operation site.</w:t>
      </w:r>
    </w:p>
    <w:p w14:paraId="26711A45"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In the same intent, the Federal Aviation Administration (FAA) requires a “Notice of Proposed Construction or Alteration” approval and appropriate lighting for a large scale wind turbine [12] [13]. Dependant on turbine location and scaling, turbines may also potentially require approval from the Federal Communications Commission (FCC), U.S. Fish &amp; Wildlife Service (USFWS), local Department of Transportation (xDOT), local environmental and ecological agencies, and appropriate local permitting agencies [13].These are all efforts in avoidance of various forms of direct or indirect harm to the public, environment, or local wildlife. </w:t>
      </w:r>
    </w:p>
    <w:p w14:paraId="5C0987EE"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Design criteria are provided in the well-established IEC 61400 International Standard for wind turbines. IEC 61400-1 presents key elements necessarily considered for suitable wind turbine engineering [8] [14]. IEC 61400-2 and 61400-3 identify considerations for small scale and offshore turbines, respectively [15]. 61400-24 provides a means of reducing the impact of lightning strike on a wind turbine, including risk assessment methods and grounding guidelines. </w:t>
      </w:r>
    </w:p>
    <w:p w14:paraId="74B09E82"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000000"/>
        </w:rPr>
        <w:t xml:space="preserve">Important lightning strike design considerations include the presence of appropriate air-termination, down conductor, and earth termination systems [16] [17]. The aim of these design measures is to avoid the direct hazard of lightning strike as well as subsequent hazards - blade disrepair and fire ignition. Lightning strikes are reported as the leading cause of fire ignition in wind turbines. The following causes of fire ignition are then ordered as: electrical equipment malfunction, hot surface ignition, and lastly hot work maintenance [18]. Both passive (combustion-avoidant material selection and application of flame retardant) and active (detectors, alarms, and suppression systems) protection measures are implemented for potential ignition sources. These measures aim to minimize damage in the event of a fire, which reduces total cost of repair and investigation [19]. </w:t>
      </w:r>
    </w:p>
    <w:p w14:paraId="36BDD464" w14:textId="77777777" w:rsidR="005D5CDD" w:rsidRPr="001B404F" w:rsidRDefault="005D5CDD" w:rsidP="001B404F">
      <w:pPr>
        <w:spacing w:line="480" w:lineRule="auto"/>
        <w:rPr>
          <w:rFonts w:ascii="Times New Roman" w:eastAsia="Times New Roman" w:hAnsi="Times New Roman" w:cs="Times New Roman"/>
        </w:rPr>
      </w:pPr>
    </w:p>
    <w:p w14:paraId="2B89E136"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313131"/>
        </w:rPr>
        <w:t>Failure</w:t>
      </w:r>
    </w:p>
    <w:p w14:paraId="6391A922"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 xml:space="preserve">Failure of wind turbines can introduce safety hazards and contribute to both system downtime and maintenance and operation costs. Modern wind turbines have an availability of 98% and design life of 20 years [20] [21]. GCube Insurance Services, a renewable energy underwriting firm, provides a quantified assessment of frequency of failures. Blade damage and gearbox failure comprise 41.4% and 35.1% of total failures, respectively. Damage to the generator and transformer then follow at 10.2% and 5.1%. The most common sources of downtime were cited as poor maintenance at 24.5% of claims, lightning strike at 23.4%, design defect at 11.5%, wear and tear at 9.3%, and mechanical defect at 6.2% [22]. There is little control of the frequency at which lightning strikes a wind turbine, so it is important to cut other sources of downtime. A Failure Mode and Effects Analysis (FEMA) assessment backs up the top offshore types of failures [23]. </w:t>
      </w:r>
    </w:p>
    <w:p w14:paraId="6612795B" w14:textId="77777777" w:rsidR="005D5CDD" w:rsidRPr="001B404F" w:rsidRDefault="005D5CDD" w:rsidP="001B404F">
      <w:pPr>
        <w:spacing w:line="480" w:lineRule="auto"/>
        <w:rPr>
          <w:rFonts w:ascii="Times New Roman" w:hAnsi="Times New Roman" w:cs="Times New Roman"/>
          <w:color w:val="313131"/>
        </w:rPr>
      </w:pPr>
      <w:r w:rsidRPr="001B404F">
        <w:rPr>
          <w:rFonts w:ascii="Times New Roman" w:hAnsi="Times New Roman" w:cs="Times New Roman"/>
          <w:color w:val="313131"/>
        </w:rPr>
        <w:tab/>
        <w:t>With blade and gearbox damage commanding significant majority of failure type, it is important to isolate their respective modes of failure to enable monitoring of key conditions (the importance of which is to be discussed). Wind turbine blades can fail in various manners. Total failure at nominal rotor speeds throws blade fragments up to 400m. - the same order as ice throw. [24] [25]. However, a more generally applicable approach gives a blade encountering many large cyclic loading events through which a crack may propagate toward failure via the stress intensity factor:</w:t>
      </w:r>
    </w:p>
    <w:p w14:paraId="6DC6897F" w14:textId="77777777" w:rsidR="005D5CDD" w:rsidRPr="001B404F" w:rsidRDefault="005D5CDD" w:rsidP="001B404F">
      <w:pPr>
        <w:spacing w:line="480" w:lineRule="auto"/>
        <w:rPr>
          <w:rFonts w:ascii="Times New Roman" w:eastAsia="Times New Roman" w:hAnsi="Times New Roman" w:cs="Times New Roman"/>
        </w:rPr>
      </w:pPr>
      <m:oMathPara>
        <m:oMath>
          <m:r>
            <w:rPr>
              <w:rFonts w:ascii="Cambria Math" w:hAnsi="Cambria Math" w:cs="Times New Roman"/>
            </w:rPr>
            <m:t>K=</m:t>
          </m:r>
          <m:r>
            <w:rPr>
              <w:rFonts w:ascii="Cambria Math" w:eastAsia="Times New Roman" w:hAnsi="Cambria Math" w:cs="Times New Roman"/>
              <w:color w:val="222222"/>
            </w:rPr>
            <m:t>Yσ√πc</m:t>
          </m:r>
        </m:oMath>
      </m:oMathPara>
    </w:p>
    <w:p w14:paraId="7495CD7C"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 xml:space="preserve">where Y is a geometric constant, </w:t>
      </w:r>
      <w:r w:rsidRPr="001B404F">
        <w:rPr>
          <w:rFonts w:ascii="Times New Roman" w:hAnsi="Times New Roman" w:cs="Times New Roman"/>
          <w:color w:val="222222"/>
        </w:rPr>
        <w:t xml:space="preserve">σ is the average stress, and c is crack length. </w:t>
      </w:r>
      <w:r w:rsidRPr="001B404F">
        <w:rPr>
          <w:rFonts w:ascii="Times New Roman" w:hAnsi="Times New Roman" w:cs="Times New Roman"/>
          <w:color w:val="313131"/>
        </w:rPr>
        <w:t xml:space="preserve">Composite delamination and adhesive joint failure are seen as the most frequent failure modes in turbine blades [26]. </w:t>
      </w:r>
      <w:r w:rsidRPr="001B404F">
        <w:rPr>
          <w:rFonts w:ascii="Times New Roman" w:hAnsi="Times New Roman" w:cs="Times New Roman"/>
          <w:color w:val="000000"/>
        </w:rPr>
        <w:t xml:space="preserve">Chen </w:t>
      </w:r>
      <w:r w:rsidRPr="001B404F">
        <w:rPr>
          <w:rFonts w:ascii="Times New Roman" w:hAnsi="Times New Roman" w:cs="Times New Roman"/>
          <w:i/>
          <w:iCs/>
          <w:color w:val="000000"/>
        </w:rPr>
        <w:t>et al</w:t>
      </w:r>
      <w:r w:rsidRPr="001B404F">
        <w:rPr>
          <w:rFonts w:ascii="Times New Roman" w:hAnsi="Times New Roman" w:cs="Times New Roman"/>
          <w:color w:val="000000"/>
        </w:rPr>
        <w:t>. observed further typical failure modes in a statically loaded blade. These modes were identified as sandwich skin-core debonding, laminate fracture, and shear web failure; without Brazier effect [27]. Gearbox considerations are important as it likewise has a lengthy downtime per failure on top of its relatively frequent failure rate [28]. “Wind turbines encounter highly variable loads that are hard to predict, so wind power is one of the most demanding applications for ... gearbox bearings and gear teeth” - Busby (2012) [29].</w:t>
      </w:r>
      <w:r w:rsidR="00EB0AF7" w:rsidRPr="001B404F">
        <w:rPr>
          <w:rFonts w:ascii="Times New Roman" w:hAnsi="Times New Roman" w:cs="Times New Roman"/>
        </w:rPr>
        <w:t xml:space="preserve"> </w:t>
      </w:r>
      <w:r w:rsidRPr="001B404F">
        <w:rPr>
          <w:rFonts w:ascii="Times New Roman" w:hAnsi="Times New Roman" w:cs="Times New Roman"/>
          <w:color w:val="000000"/>
        </w:rPr>
        <w:t xml:space="preserve">The Wind Energy Technologies Office (WETO) presents the majority of gearbox failures as being caused by bearing (76%) or gear (17.1%) failure [30]. In experiment, Greco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found that 3 in 4 bearings failed in a span of 18,000-43,000 hours. The mode of failure for 3 bearings was formation of axial surface cracks on the bearing raceway [31]. White-etching cracks (WECs) are also known failure modes, and a leading cause of early-life drivetrain failure [32]. Among other important modes to be consideration is vibration: </w:t>
      </w:r>
      <w:r w:rsidRPr="001B404F">
        <w:rPr>
          <w:rFonts w:ascii="Times New Roman" w:hAnsi="Times New Roman" w:cs="Times New Roman"/>
          <w:color w:val="313131"/>
        </w:rPr>
        <w:t>“When vibrations reach unacceptable levels, wear and tear processes are accelerated, which in turn may trigger various failure mechanisms” - Rao (1996) [33].</w:t>
      </w:r>
    </w:p>
    <w:p w14:paraId="31F91418" w14:textId="77777777" w:rsidR="005D5CDD" w:rsidRPr="001B404F" w:rsidRDefault="005D5CDD" w:rsidP="001B404F">
      <w:pPr>
        <w:spacing w:line="480" w:lineRule="auto"/>
        <w:ind w:firstLine="720"/>
        <w:rPr>
          <w:rFonts w:ascii="Times New Roman" w:hAnsi="Times New Roman" w:cs="Times New Roman"/>
        </w:rPr>
      </w:pPr>
      <w:r w:rsidRPr="001B404F">
        <w:rPr>
          <w:rFonts w:ascii="Times New Roman" w:hAnsi="Times New Roman" w:cs="Times New Roman"/>
          <w:color w:val="313131"/>
        </w:rPr>
        <w:t xml:space="preserve">GCube’s 2013 findings set implementation of appropriate preventative maintenance as a potential for significant relative improvement [22]. With poor maintenance, wear and tear, and mechanical defects comprising a large percentage of failure sources, significant headway can be made through optimized operation and maintenance. Utilizing an approach similar to Tian </w:t>
      </w:r>
      <w:r w:rsidRPr="001B404F">
        <w:rPr>
          <w:rFonts w:ascii="Times New Roman" w:hAnsi="Times New Roman" w:cs="Times New Roman"/>
          <w:i/>
          <w:iCs/>
          <w:color w:val="313131"/>
        </w:rPr>
        <w:t>et al</w:t>
      </w:r>
      <w:r w:rsidRPr="001B404F">
        <w:rPr>
          <w:rFonts w:ascii="Times New Roman" w:hAnsi="Times New Roman" w:cs="Times New Roman"/>
          <w:color w:val="313131"/>
        </w:rPr>
        <w:t xml:space="preserve">. [34] cost can be optimized for a preventative maintenance time interval. This approach utilizes a condition-based monitoring system (CMS) to identify faults before causing secondary damage, balancing a minimum cost. If an optimal lightning resilience and minimization of manufacture defects could be attained, more of a true minimum cost will arise [22] [35] [36]. </w:t>
      </w:r>
    </w:p>
    <w:p w14:paraId="3B84B4E9" w14:textId="77777777" w:rsidR="005D5CDD" w:rsidRPr="001B404F" w:rsidRDefault="005D5CDD" w:rsidP="001B404F">
      <w:pPr>
        <w:spacing w:line="480" w:lineRule="auto"/>
        <w:rPr>
          <w:rFonts w:ascii="Times New Roman" w:eastAsia="Times New Roman" w:hAnsi="Times New Roman" w:cs="Times New Roman"/>
        </w:rPr>
      </w:pPr>
    </w:p>
    <w:p w14:paraId="6D1D2077" w14:textId="77777777" w:rsidR="005D5CDD" w:rsidRPr="001B404F" w:rsidRDefault="005D5CDD" w:rsidP="001B404F">
      <w:pPr>
        <w:spacing w:line="480" w:lineRule="auto"/>
        <w:rPr>
          <w:rFonts w:ascii="Times New Roman" w:hAnsi="Times New Roman" w:cs="Times New Roman"/>
        </w:rPr>
      </w:pPr>
      <w:r w:rsidRPr="001B404F">
        <w:rPr>
          <w:rFonts w:ascii="Times New Roman" w:hAnsi="Times New Roman" w:cs="Times New Roman"/>
          <w:b/>
          <w:bCs/>
          <w:color w:val="000000"/>
        </w:rPr>
        <w:t>Conclusion</w:t>
      </w:r>
    </w:p>
    <w:p w14:paraId="3D623DE6" w14:textId="7129F285" w:rsidR="001B404F" w:rsidRPr="001B404F" w:rsidRDefault="005D5CDD" w:rsidP="001B404F">
      <w:pPr>
        <w:spacing w:line="480" w:lineRule="auto"/>
        <w:rPr>
          <w:rFonts w:ascii="Times New Roman" w:hAnsi="Times New Roman" w:cs="Times New Roman"/>
        </w:rPr>
      </w:pPr>
      <w:r w:rsidRPr="001B404F">
        <w:rPr>
          <w:rFonts w:ascii="Times New Roman" w:hAnsi="Times New Roman" w:cs="Times New Roman"/>
          <w:color w:val="313131"/>
        </w:rPr>
        <w:tab/>
        <w:t>A presentation of WETO work states that between 2007 and 2012, total wind turbine downtime had a steady decline and fell by 47.1% [32]. More recently, GCube also found in their 2014 “Breaking Blades” study that there were an estimated 700,000 wind turbine blades in operation in 85 countries. About 3800 incident blade failures annually gave a failure rate of .54% failure per year [36]. From other GCube data provided above, gearbox failure rates are found to have ben .46% failure per year. Reliability rates for other turbine components can also be calculated, but are precluded from this scope. In the industrial sphere wind power generation is rela</w:t>
      </w:r>
      <w:r w:rsidR="001B404F" w:rsidRPr="001B404F">
        <w:rPr>
          <w:rFonts w:ascii="Times New Roman" w:hAnsi="Times New Roman" w:cs="Times New Roman"/>
          <w:color w:val="313131"/>
        </w:rPr>
        <w:t>tively safe, suitably regulated, and has no direct pathological impact on human health [37]. Wind power turbines are engineered to well-es</w:t>
      </w:r>
      <w:r w:rsidR="007F082F">
        <w:rPr>
          <w:rFonts w:ascii="Times New Roman" w:hAnsi="Times New Roman" w:cs="Times New Roman"/>
          <w:color w:val="313131"/>
        </w:rPr>
        <w:t>tablished and suitable standard.</w:t>
      </w:r>
      <w:r w:rsidR="001B404F" w:rsidRPr="001B404F">
        <w:rPr>
          <w:rFonts w:ascii="Times New Roman" w:hAnsi="Times New Roman" w:cs="Times New Roman"/>
          <w:color w:val="313131"/>
        </w:rPr>
        <w:t xml:space="preserve"> </w:t>
      </w:r>
      <w:r w:rsidR="007F082F">
        <w:rPr>
          <w:rFonts w:ascii="Times New Roman" w:hAnsi="Times New Roman" w:cs="Times New Roman"/>
          <w:color w:val="313131"/>
        </w:rPr>
        <w:t>And</w:t>
      </w:r>
      <w:r w:rsidR="001B404F" w:rsidRPr="001B404F">
        <w:rPr>
          <w:rFonts w:ascii="Times New Roman" w:hAnsi="Times New Roman" w:cs="Times New Roman"/>
          <w:color w:val="313131"/>
        </w:rPr>
        <w:t xml:space="preserve"> in moder</w:t>
      </w:r>
      <w:r w:rsidR="007F082F">
        <w:rPr>
          <w:rFonts w:ascii="Times New Roman" w:hAnsi="Times New Roman" w:cs="Times New Roman"/>
          <w:color w:val="313131"/>
        </w:rPr>
        <w:t>n practices, turbines see</w:t>
      </w:r>
      <w:r w:rsidR="001B404F" w:rsidRPr="001B404F">
        <w:rPr>
          <w:rFonts w:ascii="Times New Roman" w:hAnsi="Times New Roman" w:cs="Times New Roman"/>
          <w:color w:val="313131"/>
        </w:rPr>
        <w:t xml:space="preserve"> various controls and preventative maintenance measures</w:t>
      </w:r>
      <w:r w:rsidR="007F082F">
        <w:rPr>
          <w:rFonts w:ascii="Times New Roman" w:hAnsi="Times New Roman" w:cs="Times New Roman"/>
          <w:color w:val="313131"/>
        </w:rPr>
        <w:t>, such as maintenance and inspection to ensure l</w:t>
      </w:r>
      <w:r w:rsidR="007F082F" w:rsidRPr="007F082F">
        <w:rPr>
          <w:rFonts w:ascii="Times New Roman" w:hAnsi="Times New Roman" w:cs="Times New Roman"/>
          <w:color w:val="313131"/>
        </w:rPr>
        <w:t>ubrication oil is clean</w:t>
      </w:r>
      <w:r w:rsidR="007F082F">
        <w:rPr>
          <w:rFonts w:ascii="Times New Roman" w:hAnsi="Times New Roman" w:cs="Times New Roman"/>
          <w:color w:val="313131"/>
        </w:rPr>
        <w:t>, s</w:t>
      </w:r>
      <w:r w:rsidR="007F082F" w:rsidRPr="007F082F">
        <w:rPr>
          <w:rFonts w:ascii="Times New Roman" w:hAnsi="Times New Roman" w:cs="Times New Roman"/>
          <w:color w:val="313131"/>
        </w:rPr>
        <w:t>eals are functioning</w:t>
      </w:r>
      <w:r w:rsidR="007F082F">
        <w:rPr>
          <w:rFonts w:ascii="Times New Roman" w:hAnsi="Times New Roman" w:cs="Times New Roman"/>
          <w:color w:val="313131"/>
        </w:rPr>
        <w:t>, and that c</w:t>
      </w:r>
      <w:r w:rsidR="007F082F" w:rsidRPr="007F082F">
        <w:rPr>
          <w:rFonts w:ascii="Times New Roman" w:hAnsi="Times New Roman" w:cs="Times New Roman"/>
          <w:color w:val="313131"/>
        </w:rPr>
        <w:t xml:space="preserve">omponents </w:t>
      </w:r>
      <w:r w:rsidR="007F082F">
        <w:rPr>
          <w:rFonts w:ascii="Times New Roman" w:hAnsi="Times New Roman" w:cs="Times New Roman"/>
          <w:color w:val="313131"/>
        </w:rPr>
        <w:t>seeing</w:t>
      </w:r>
      <w:r w:rsidR="007F082F" w:rsidRPr="007F082F">
        <w:rPr>
          <w:rFonts w:ascii="Times New Roman" w:hAnsi="Times New Roman" w:cs="Times New Roman"/>
          <w:color w:val="313131"/>
        </w:rPr>
        <w:t xml:space="preserve"> normal wear processes are replaced</w:t>
      </w:r>
      <w:r w:rsidR="007F082F">
        <w:rPr>
          <w:rFonts w:ascii="Times New Roman" w:hAnsi="Times New Roman" w:cs="Times New Roman"/>
          <w:color w:val="313131"/>
        </w:rPr>
        <w:t xml:space="preserve"> [8]. </w:t>
      </w:r>
    </w:p>
    <w:p w14:paraId="53D21595" w14:textId="77777777" w:rsidR="007F082F" w:rsidRDefault="005D5CDD" w:rsidP="007F082F">
      <w:pPr>
        <w:spacing w:line="480" w:lineRule="auto"/>
        <w:rPr>
          <w:rFonts w:ascii="Times New Roman" w:hAnsi="Times New Roman" w:cs="Times New Roman"/>
        </w:rPr>
      </w:pPr>
      <w:r w:rsidRPr="001B404F">
        <w:rPr>
          <w:rFonts w:ascii="Times New Roman" w:hAnsi="Times New Roman" w:cs="Times New Roman"/>
          <w:color w:val="313131"/>
        </w:rPr>
        <w:tab/>
      </w:r>
    </w:p>
    <w:p w14:paraId="48EC064B" w14:textId="77777777" w:rsidR="00D05A62" w:rsidRDefault="00D05A62" w:rsidP="007F082F">
      <w:pPr>
        <w:spacing w:line="480" w:lineRule="auto"/>
        <w:rPr>
          <w:rFonts w:ascii="Times New Roman" w:hAnsi="Times New Roman" w:cs="Times New Roman"/>
          <w:b/>
          <w:bCs/>
          <w:color w:val="313131"/>
        </w:rPr>
      </w:pPr>
    </w:p>
    <w:p w14:paraId="21BA4696" w14:textId="77777777" w:rsidR="00D05A62" w:rsidRDefault="00D05A62" w:rsidP="007F082F">
      <w:pPr>
        <w:spacing w:line="480" w:lineRule="auto"/>
        <w:rPr>
          <w:rFonts w:ascii="Times New Roman" w:hAnsi="Times New Roman" w:cs="Times New Roman"/>
          <w:b/>
          <w:bCs/>
          <w:color w:val="313131"/>
        </w:rPr>
      </w:pPr>
    </w:p>
    <w:p w14:paraId="0232AC15" w14:textId="77777777" w:rsidR="00D05A62" w:rsidRDefault="00D05A62" w:rsidP="007F082F">
      <w:pPr>
        <w:spacing w:line="480" w:lineRule="auto"/>
        <w:rPr>
          <w:rFonts w:ascii="Times New Roman" w:hAnsi="Times New Roman" w:cs="Times New Roman"/>
          <w:b/>
          <w:bCs/>
          <w:color w:val="313131"/>
        </w:rPr>
      </w:pPr>
    </w:p>
    <w:p w14:paraId="6D004EF5" w14:textId="77777777" w:rsidR="00D05A62" w:rsidRDefault="00D05A62" w:rsidP="007F082F">
      <w:pPr>
        <w:spacing w:line="480" w:lineRule="auto"/>
        <w:rPr>
          <w:rFonts w:ascii="Times New Roman" w:hAnsi="Times New Roman" w:cs="Times New Roman"/>
          <w:b/>
          <w:bCs/>
          <w:color w:val="313131"/>
        </w:rPr>
      </w:pPr>
    </w:p>
    <w:p w14:paraId="3FE20916" w14:textId="77777777" w:rsidR="00D05A62" w:rsidRDefault="00D05A62" w:rsidP="007F082F">
      <w:pPr>
        <w:spacing w:line="480" w:lineRule="auto"/>
        <w:rPr>
          <w:rFonts w:ascii="Times New Roman" w:hAnsi="Times New Roman" w:cs="Times New Roman"/>
          <w:b/>
          <w:bCs/>
          <w:color w:val="313131"/>
        </w:rPr>
      </w:pPr>
    </w:p>
    <w:p w14:paraId="5D837A1D" w14:textId="77777777" w:rsidR="00D05A62" w:rsidRDefault="00D05A62" w:rsidP="007F082F">
      <w:pPr>
        <w:spacing w:line="480" w:lineRule="auto"/>
        <w:rPr>
          <w:rFonts w:ascii="Times New Roman" w:hAnsi="Times New Roman" w:cs="Times New Roman"/>
          <w:b/>
          <w:bCs/>
          <w:color w:val="313131"/>
        </w:rPr>
      </w:pPr>
    </w:p>
    <w:p w14:paraId="17F0A4AC" w14:textId="77777777" w:rsidR="00D05A62" w:rsidRDefault="00D05A62" w:rsidP="007F082F">
      <w:pPr>
        <w:spacing w:line="480" w:lineRule="auto"/>
        <w:rPr>
          <w:rFonts w:ascii="Times New Roman" w:hAnsi="Times New Roman" w:cs="Times New Roman"/>
          <w:b/>
          <w:bCs/>
          <w:color w:val="313131"/>
        </w:rPr>
      </w:pPr>
    </w:p>
    <w:p w14:paraId="05EA10D0" w14:textId="77777777" w:rsidR="00D05A62" w:rsidRDefault="00D05A62" w:rsidP="007F082F">
      <w:pPr>
        <w:spacing w:line="480" w:lineRule="auto"/>
        <w:rPr>
          <w:rFonts w:ascii="Times New Roman" w:hAnsi="Times New Roman" w:cs="Times New Roman"/>
          <w:b/>
          <w:bCs/>
          <w:color w:val="313131"/>
        </w:rPr>
      </w:pPr>
    </w:p>
    <w:p w14:paraId="7F93A31F" w14:textId="77777777" w:rsidR="00D05A62" w:rsidRDefault="00D05A62" w:rsidP="007F082F">
      <w:pPr>
        <w:spacing w:line="480" w:lineRule="auto"/>
        <w:rPr>
          <w:rFonts w:ascii="Times New Roman" w:hAnsi="Times New Roman" w:cs="Times New Roman"/>
          <w:b/>
          <w:bCs/>
          <w:color w:val="313131"/>
        </w:rPr>
      </w:pPr>
    </w:p>
    <w:p w14:paraId="5DE5D8DE" w14:textId="77777777" w:rsidR="00D05A62" w:rsidRDefault="00D05A62" w:rsidP="007F082F">
      <w:pPr>
        <w:spacing w:line="480" w:lineRule="auto"/>
        <w:rPr>
          <w:rFonts w:ascii="Times New Roman" w:hAnsi="Times New Roman" w:cs="Times New Roman"/>
          <w:b/>
          <w:bCs/>
          <w:color w:val="313131"/>
        </w:rPr>
      </w:pPr>
    </w:p>
    <w:p w14:paraId="55BD992F" w14:textId="77777777" w:rsidR="00D05A62" w:rsidRDefault="00D05A62" w:rsidP="007F082F">
      <w:pPr>
        <w:spacing w:line="480" w:lineRule="auto"/>
        <w:rPr>
          <w:rFonts w:ascii="Times New Roman" w:hAnsi="Times New Roman" w:cs="Times New Roman"/>
          <w:b/>
          <w:bCs/>
          <w:color w:val="313131"/>
        </w:rPr>
      </w:pPr>
    </w:p>
    <w:p w14:paraId="65AA866D" w14:textId="77777777" w:rsidR="00D05A62" w:rsidRDefault="00D05A62" w:rsidP="007F082F">
      <w:pPr>
        <w:spacing w:line="480" w:lineRule="auto"/>
        <w:rPr>
          <w:rFonts w:ascii="Times New Roman" w:hAnsi="Times New Roman" w:cs="Times New Roman"/>
          <w:b/>
          <w:bCs/>
          <w:color w:val="313131"/>
        </w:rPr>
      </w:pPr>
    </w:p>
    <w:p w14:paraId="59F3E215" w14:textId="77777777" w:rsidR="00D05A62" w:rsidRDefault="00D05A62" w:rsidP="007F082F">
      <w:pPr>
        <w:spacing w:line="480" w:lineRule="auto"/>
        <w:rPr>
          <w:rFonts w:ascii="Times New Roman" w:hAnsi="Times New Roman" w:cs="Times New Roman"/>
          <w:b/>
          <w:bCs/>
          <w:color w:val="313131"/>
        </w:rPr>
      </w:pPr>
    </w:p>
    <w:p w14:paraId="7C351B56" w14:textId="77777777" w:rsidR="00D05A62" w:rsidRDefault="00D05A62" w:rsidP="007F082F">
      <w:pPr>
        <w:spacing w:line="480" w:lineRule="auto"/>
        <w:rPr>
          <w:rFonts w:ascii="Times New Roman" w:hAnsi="Times New Roman" w:cs="Times New Roman"/>
          <w:b/>
          <w:bCs/>
          <w:color w:val="313131"/>
        </w:rPr>
      </w:pPr>
    </w:p>
    <w:p w14:paraId="1C66BF09" w14:textId="77777777" w:rsidR="00D05A62" w:rsidRDefault="00D05A62" w:rsidP="007F082F">
      <w:pPr>
        <w:spacing w:line="480" w:lineRule="auto"/>
        <w:rPr>
          <w:rFonts w:ascii="Times New Roman" w:hAnsi="Times New Roman" w:cs="Times New Roman"/>
          <w:b/>
          <w:bCs/>
          <w:color w:val="313131"/>
        </w:rPr>
      </w:pPr>
    </w:p>
    <w:p w14:paraId="2CBB7B70" w14:textId="77777777" w:rsidR="00D05A62" w:rsidRDefault="00D05A62" w:rsidP="007F082F">
      <w:pPr>
        <w:spacing w:line="480" w:lineRule="auto"/>
        <w:rPr>
          <w:rFonts w:ascii="Times New Roman" w:hAnsi="Times New Roman" w:cs="Times New Roman"/>
          <w:b/>
          <w:bCs/>
          <w:color w:val="313131"/>
        </w:rPr>
      </w:pPr>
    </w:p>
    <w:p w14:paraId="2F7B2FE3" w14:textId="77777777" w:rsidR="00D05A62" w:rsidRDefault="00D05A62" w:rsidP="007F082F">
      <w:pPr>
        <w:spacing w:line="480" w:lineRule="auto"/>
        <w:rPr>
          <w:rFonts w:ascii="Times New Roman" w:hAnsi="Times New Roman" w:cs="Times New Roman"/>
          <w:b/>
          <w:bCs/>
          <w:color w:val="313131"/>
        </w:rPr>
      </w:pPr>
    </w:p>
    <w:p w14:paraId="23E8D3C9" w14:textId="77777777" w:rsidR="00D05A62" w:rsidRDefault="00D05A62" w:rsidP="007F082F">
      <w:pPr>
        <w:spacing w:line="480" w:lineRule="auto"/>
        <w:rPr>
          <w:rFonts w:ascii="Times New Roman" w:hAnsi="Times New Roman" w:cs="Times New Roman"/>
          <w:b/>
          <w:bCs/>
          <w:color w:val="313131"/>
        </w:rPr>
      </w:pPr>
    </w:p>
    <w:p w14:paraId="361181F7" w14:textId="77777777" w:rsidR="00D05A62" w:rsidRDefault="00D05A62" w:rsidP="007F082F">
      <w:pPr>
        <w:spacing w:line="480" w:lineRule="auto"/>
        <w:rPr>
          <w:rFonts w:ascii="Times New Roman" w:hAnsi="Times New Roman" w:cs="Times New Roman"/>
          <w:b/>
          <w:bCs/>
          <w:color w:val="313131"/>
        </w:rPr>
      </w:pPr>
    </w:p>
    <w:p w14:paraId="58B3A032" w14:textId="77777777" w:rsidR="00D05A62" w:rsidRDefault="00D05A62" w:rsidP="007F082F">
      <w:pPr>
        <w:spacing w:line="480" w:lineRule="auto"/>
        <w:rPr>
          <w:rFonts w:ascii="Times New Roman" w:hAnsi="Times New Roman" w:cs="Times New Roman"/>
          <w:b/>
          <w:bCs/>
          <w:color w:val="313131"/>
        </w:rPr>
      </w:pPr>
    </w:p>
    <w:p w14:paraId="06F8A558" w14:textId="3D92E84B" w:rsidR="005D5CDD" w:rsidRPr="007F082F" w:rsidRDefault="005D5CDD" w:rsidP="007F082F">
      <w:pPr>
        <w:spacing w:line="480" w:lineRule="auto"/>
        <w:rPr>
          <w:rFonts w:ascii="Times New Roman" w:hAnsi="Times New Roman" w:cs="Times New Roman"/>
        </w:rPr>
      </w:pPr>
      <w:r w:rsidRPr="001B404F">
        <w:rPr>
          <w:rFonts w:ascii="Times New Roman" w:hAnsi="Times New Roman" w:cs="Times New Roman"/>
          <w:b/>
          <w:bCs/>
          <w:color w:val="313131"/>
        </w:rPr>
        <w:t>References</w:t>
      </w:r>
    </w:p>
    <w:p w14:paraId="0BEBD905" w14:textId="77777777" w:rsidR="005D5CDD" w:rsidRPr="001B404F" w:rsidRDefault="005D5CDD" w:rsidP="001B404F">
      <w:pPr>
        <w:spacing w:line="480" w:lineRule="auto"/>
        <w:rPr>
          <w:rFonts w:ascii="Times New Roman" w:eastAsia="Times New Roman" w:hAnsi="Times New Roman" w:cs="Times New Roman"/>
        </w:rPr>
      </w:pPr>
    </w:p>
    <w:p w14:paraId="71F14332"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"Electric Power Monthly" (PDF). U.S. Department of Energy, Energy Information Administration. August 2018.</w:t>
      </w:r>
    </w:p>
    <w:p w14:paraId="4FABBFB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Anderson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(2002). </w:t>
      </w:r>
      <w:r w:rsidRPr="001B404F">
        <w:rPr>
          <w:rFonts w:ascii="Times New Roman" w:hAnsi="Times New Roman" w:cs="Times New Roman"/>
          <w:i/>
          <w:iCs/>
          <w:color w:val="000000"/>
        </w:rPr>
        <w:t>Permitting of Wind Energy Facilities: A Handbook</w:t>
      </w:r>
      <w:r w:rsidRPr="001B404F">
        <w:rPr>
          <w:rFonts w:ascii="Times New Roman" w:hAnsi="Times New Roman" w:cs="Times New Roman"/>
          <w:color w:val="000000"/>
        </w:rPr>
        <w:t xml:space="preserve"> (p. 30). United States Nuclear Regulatory Commission, National Wind Coordinating Committee. Oakland, CA: United States. Dept. of Energy.</w:t>
      </w:r>
    </w:p>
    <w:p w14:paraId="0AE68E5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Anderson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(2002). </w:t>
      </w:r>
      <w:r w:rsidRPr="001B404F">
        <w:rPr>
          <w:rFonts w:ascii="Times New Roman" w:hAnsi="Times New Roman" w:cs="Times New Roman"/>
          <w:i/>
          <w:iCs/>
          <w:color w:val="000000"/>
        </w:rPr>
        <w:t>Permitting of Wind Energy Facilities: A Handbook</w:t>
      </w:r>
      <w:r w:rsidRPr="001B404F">
        <w:rPr>
          <w:rFonts w:ascii="Times New Roman" w:hAnsi="Times New Roman" w:cs="Times New Roman"/>
          <w:color w:val="000000"/>
        </w:rPr>
        <w:t xml:space="preserve"> (p. 4). United States Nuclear Regulatory Commission, National Wind Coordinating Committee. Oakland, CA: United States. Dept. of Energy.</w:t>
      </w:r>
    </w:p>
    <w:p w14:paraId="49EFAF05"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Garolera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(2016). Lightning Damage to Wind Turbine Blades From Wind Farms in the U.S. </w:t>
      </w:r>
      <w:r w:rsidRPr="001B404F">
        <w:rPr>
          <w:rFonts w:ascii="Times New Roman" w:hAnsi="Times New Roman" w:cs="Times New Roman"/>
          <w:i/>
          <w:iCs/>
          <w:color w:val="000000"/>
        </w:rPr>
        <w:t>IEEE Transactions on Power Delivery</w:t>
      </w:r>
      <w:r w:rsidRPr="001B404F">
        <w:rPr>
          <w:rFonts w:ascii="Times New Roman" w:hAnsi="Times New Roman" w:cs="Times New Roman"/>
          <w:color w:val="000000"/>
        </w:rPr>
        <w:t>, 31, 1043-1049.</w:t>
      </w:r>
    </w:p>
    <w:p w14:paraId="0B1A1F9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585-6). Chichester: John Wiley.</w:t>
      </w:r>
    </w:p>
    <w:p w14:paraId="043BD13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turbines - Part 3: Design requirements for offshore wind turbines. (2009).</w:t>
      </w:r>
      <w:r w:rsidRPr="001B404F">
        <w:rPr>
          <w:rFonts w:ascii="Times New Roman" w:hAnsi="Times New Roman" w:cs="Times New Roman"/>
          <w:i/>
          <w:iCs/>
          <w:color w:val="000000"/>
        </w:rPr>
        <w:t xml:space="preserve"> IEC 61400-3</w:t>
      </w:r>
      <w:r w:rsidRPr="001B404F">
        <w:rPr>
          <w:rFonts w:ascii="Times New Roman" w:hAnsi="Times New Roman" w:cs="Times New Roman"/>
          <w:color w:val="000000"/>
        </w:rPr>
        <w:t>. (p. 22). International Electrotechnical Commission.</w:t>
      </w:r>
    </w:p>
    <w:p w14:paraId="05D5ABC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586-7). Chichester: John Wiley.</w:t>
      </w:r>
    </w:p>
    <w:p w14:paraId="712CD79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419). Chichester: John Wiley.</w:t>
      </w:r>
    </w:p>
    <w:p w14:paraId="6057F9A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(2014). </w:t>
      </w:r>
      <w:r w:rsidRPr="001B404F">
        <w:rPr>
          <w:rFonts w:ascii="Times New Roman" w:hAnsi="Times New Roman" w:cs="Times New Roman"/>
          <w:i/>
          <w:iCs/>
          <w:color w:val="000000"/>
        </w:rPr>
        <w:t>Electric Power Generation, Transmission, and Distribution; Electrical Protective Equipment</w:t>
      </w:r>
      <w:r w:rsidRPr="001B404F">
        <w:rPr>
          <w:rFonts w:ascii="Times New Roman" w:hAnsi="Times New Roman" w:cs="Times New Roman"/>
          <w:color w:val="000000"/>
        </w:rPr>
        <w:t xml:space="preserve"> (Vol. 79, No. 70, Final Rule, p. 20315-20743). Washington, DC. </w:t>
      </w:r>
    </w:p>
    <w:p w14:paraId="2A1132E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(1992). </w:t>
      </w:r>
      <w:r w:rsidRPr="001B404F">
        <w:rPr>
          <w:rFonts w:ascii="Times New Roman" w:hAnsi="Times New Roman" w:cs="Times New Roman"/>
          <w:i/>
          <w:iCs/>
          <w:color w:val="000000"/>
        </w:rPr>
        <w:t>Control of hazardous energy: Lockout/tagout</w:t>
      </w:r>
      <w:r w:rsidRPr="001B404F">
        <w:rPr>
          <w:rFonts w:ascii="Times New Roman" w:hAnsi="Times New Roman" w:cs="Times New Roman"/>
          <w:color w:val="000000"/>
        </w:rPr>
        <w:t>. (1910.147). Washington, DC.</w:t>
      </w:r>
    </w:p>
    <w:p w14:paraId="70DA29A5"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U.S. Dept. of Labor, Occupational Safety and Health Administration. (2017). </w:t>
      </w:r>
      <w:r w:rsidRPr="001B404F">
        <w:rPr>
          <w:rFonts w:ascii="Times New Roman" w:hAnsi="Times New Roman" w:cs="Times New Roman"/>
          <w:i/>
          <w:iCs/>
          <w:color w:val="000000"/>
        </w:rPr>
        <w:t>Personal fall protection systems</w:t>
      </w:r>
      <w:r w:rsidRPr="001B404F">
        <w:rPr>
          <w:rFonts w:ascii="Times New Roman" w:hAnsi="Times New Roman" w:cs="Times New Roman"/>
          <w:color w:val="000000"/>
        </w:rPr>
        <w:t>. (1910.140). Washington, DC.</w:t>
      </w:r>
    </w:p>
    <w:p w14:paraId="7C7C907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Notice of Proposed Construction or Alteration. </w:t>
      </w:r>
      <w:r w:rsidRPr="001B404F">
        <w:rPr>
          <w:rFonts w:ascii="Times New Roman" w:hAnsi="Times New Roman" w:cs="Times New Roman"/>
          <w:i/>
          <w:iCs/>
          <w:color w:val="000000"/>
        </w:rPr>
        <w:t>AJV-1, Airspace Service.</w:t>
      </w:r>
      <w:r w:rsidRPr="001B404F">
        <w:rPr>
          <w:rFonts w:ascii="Times New Roman" w:hAnsi="Times New Roman" w:cs="Times New Roman"/>
          <w:color w:val="000000"/>
        </w:rPr>
        <w:t xml:space="preserve"> FAA 7460-1 (2017).</w:t>
      </w:r>
    </w:p>
    <w:p w14:paraId="51BEB98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w:t>
      </w:r>
      <w:r w:rsidRPr="001B404F">
        <w:rPr>
          <w:rFonts w:ascii="Times New Roman" w:hAnsi="Times New Roman" w:cs="Times New Roman"/>
          <w:i/>
          <w:iCs/>
          <w:color w:val="000000"/>
        </w:rPr>
        <w:t>Final Report – Technical Analysis for On-site Wind Generation At the University of Delaware</w:t>
      </w:r>
      <w:r w:rsidRPr="001B404F">
        <w:rPr>
          <w:rFonts w:ascii="Times New Roman" w:hAnsi="Times New Roman" w:cs="Times New Roman"/>
          <w:color w:val="000000"/>
        </w:rPr>
        <w:t xml:space="preserve"> (p. 36-47). Sustainable Energy Developments Inc.</w:t>
      </w:r>
    </w:p>
    <w:p w14:paraId="1CE09F4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Wind turbines - Part 1: Design requirements. (2005).</w:t>
      </w:r>
      <w:r w:rsidRPr="001B404F">
        <w:rPr>
          <w:rFonts w:ascii="Times New Roman" w:hAnsi="Times New Roman" w:cs="Times New Roman"/>
          <w:i/>
          <w:iCs/>
          <w:color w:val="000000"/>
        </w:rPr>
        <w:t xml:space="preserve"> IEC 61400-1</w:t>
      </w:r>
      <w:r w:rsidRPr="001B404F">
        <w:rPr>
          <w:rFonts w:ascii="Times New Roman" w:hAnsi="Times New Roman" w:cs="Times New Roman"/>
          <w:color w:val="000000"/>
        </w:rPr>
        <w:t>. (p. 8). International Electrotechnical Commission.</w:t>
      </w:r>
    </w:p>
    <w:p w14:paraId="704C215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Manwell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(2009). </w:t>
      </w:r>
      <w:r w:rsidRPr="001B404F">
        <w:rPr>
          <w:rFonts w:ascii="Times New Roman" w:hAnsi="Times New Roman" w:cs="Times New Roman"/>
          <w:i/>
          <w:iCs/>
          <w:color w:val="000000"/>
        </w:rPr>
        <w:t>Wind Energy Explained, 2nd ed.</w:t>
      </w:r>
      <w:r w:rsidRPr="001B404F">
        <w:rPr>
          <w:rFonts w:ascii="Times New Roman" w:hAnsi="Times New Roman" w:cs="Times New Roman"/>
          <w:color w:val="000000"/>
        </w:rPr>
        <w:t xml:space="preserve"> (p. 323). Chichester: John Wiley.</w:t>
      </w:r>
    </w:p>
    <w:p w14:paraId="33A7F4A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turbines - Part 24: Lightning Protection. (2007).</w:t>
      </w:r>
      <w:r w:rsidRPr="001B404F">
        <w:rPr>
          <w:rFonts w:ascii="Times New Roman" w:hAnsi="Times New Roman" w:cs="Times New Roman"/>
          <w:i/>
          <w:iCs/>
          <w:color w:val="000000"/>
        </w:rPr>
        <w:t xml:space="preserve"> IEC 61400-24</w:t>
      </w:r>
      <w:r w:rsidRPr="001B404F">
        <w:rPr>
          <w:rFonts w:ascii="Times New Roman" w:hAnsi="Times New Roman" w:cs="Times New Roman"/>
          <w:color w:val="000000"/>
        </w:rPr>
        <w:t>. (p. 36-60). International Electrotechnical Commission.</w:t>
      </w:r>
    </w:p>
    <w:p w14:paraId="4D62643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 Mcniff, B. (2002). </w:t>
      </w:r>
      <w:r w:rsidRPr="001B404F">
        <w:rPr>
          <w:rFonts w:ascii="Times New Roman" w:hAnsi="Times New Roman" w:cs="Times New Roman"/>
          <w:i/>
          <w:iCs/>
          <w:color w:val="000000"/>
        </w:rPr>
        <w:t>Wind Turbine Lightning Protection Project: 1999-2001</w:t>
      </w:r>
      <w:r w:rsidRPr="001B404F">
        <w:rPr>
          <w:rFonts w:ascii="Times New Roman" w:hAnsi="Times New Roman" w:cs="Times New Roman"/>
          <w:color w:val="000000"/>
        </w:rPr>
        <w:t>. NREL, U.S. Department of Energy.</w:t>
      </w:r>
    </w:p>
    <w:p w14:paraId="52AC7EBB"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Uadiale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Overview of Problems and Solutions in Fire Protection Engineering of Wind Turbines. </w:t>
      </w:r>
      <w:r w:rsidRPr="001B404F">
        <w:rPr>
          <w:rFonts w:ascii="Times New Roman" w:hAnsi="Times New Roman" w:cs="Times New Roman"/>
          <w:i/>
          <w:iCs/>
          <w:color w:val="000000"/>
        </w:rPr>
        <w:t>Fire Safety Science</w:t>
      </w:r>
      <w:r w:rsidRPr="001B404F">
        <w:rPr>
          <w:rFonts w:ascii="Times New Roman" w:hAnsi="Times New Roman" w:cs="Times New Roman"/>
          <w:color w:val="000000"/>
        </w:rPr>
        <w:t>, 988.</w:t>
      </w:r>
    </w:p>
    <w:p w14:paraId="3E86AE7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Uadiale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Overview of Problems and Solutions in Fire Protection Engineering of Wind Turbines. </w:t>
      </w:r>
      <w:r w:rsidRPr="001B404F">
        <w:rPr>
          <w:rFonts w:ascii="Times New Roman" w:hAnsi="Times New Roman" w:cs="Times New Roman"/>
          <w:i/>
          <w:iCs/>
          <w:color w:val="000000"/>
        </w:rPr>
        <w:t>Fire Safety Science</w:t>
      </w:r>
      <w:r w:rsidRPr="001B404F">
        <w:rPr>
          <w:rFonts w:ascii="Times New Roman" w:hAnsi="Times New Roman" w:cs="Times New Roman"/>
          <w:color w:val="000000"/>
        </w:rPr>
        <w:t>, 991-2.</w:t>
      </w:r>
    </w:p>
    <w:p w14:paraId="4FDFDF9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222222"/>
        </w:rPr>
        <w:t xml:space="preserve">Haddad </w:t>
      </w:r>
      <w:r w:rsidRPr="001B404F">
        <w:rPr>
          <w:rFonts w:ascii="Times New Roman" w:hAnsi="Times New Roman" w:cs="Times New Roman"/>
          <w:i/>
          <w:iCs/>
          <w:color w:val="222222"/>
        </w:rPr>
        <w:t>et al</w:t>
      </w:r>
      <w:r w:rsidRPr="001B404F">
        <w:rPr>
          <w:rFonts w:ascii="Times New Roman" w:hAnsi="Times New Roman" w:cs="Times New Roman"/>
          <w:color w:val="222222"/>
        </w:rPr>
        <w:t xml:space="preserve">. (2011). Guaranteeing high availability of wind turbines. </w:t>
      </w:r>
      <w:r w:rsidRPr="001B404F">
        <w:rPr>
          <w:rFonts w:ascii="Times New Roman" w:hAnsi="Times New Roman" w:cs="Times New Roman"/>
          <w:i/>
          <w:iCs/>
          <w:color w:val="222222"/>
        </w:rPr>
        <w:t>Proceedings of the European Safety and Reliability Conference</w:t>
      </w:r>
      <w:r w:rsidRPr="001B404F">
        <w:rPr>
          <w:rFonts w:ascii="Times New Roman" w:hAnsi="Times New Roman" w:cs="Times New Roman"/>
          <w:color w:val="222222"/>
        </w:rPr>
        <w:t>. (p. 2-3)</w:t>
      </w:r>
    </w:p>
    <w:p w14:paraId="5A91DEA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222222"/>
        </w:rPr>
      </w:pPr>
      <w:r w:rsidRPr="001B404F">
        <w:rPr>
          <w:rFonts w:ascii="Times New Roman" w:hAnsi="Times New Roman" w:cs="Times New Roman"/>
          <w:i/>
          <w:iCs/>
          <w:color w:val="000000"/>
        </w:rPr>
        <w:t>Final Report – Technical Analysis for On-site Wind Generation At the University of Delaware</w:t>
      </w:r>
      <w:r w:rsidRPr="001B404F">
        <w:rPr>
          <w:rFonts w:ascii="Times New Roman" w:hAnsi="Times New Roman" w:cs="Times New Roman"/>
          <w:color w:val="000000"/>
        </w:rPr>
        <w:t xml:space="preserve"> (p. 18). Sustainable Energy Developments Inc.</w:t>
      </w:r>
    </w:p>
    <w:p w14:paraId="29177FFD"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GCube Insurance Services. (2013, August). GCube Top 5 US Wind Energy Insurance Claims Report. &lt;</w:t>
      </w:r>
      <w:hyperlink r:id="rId8" w:history="1">
        <w:r w:rsidRPr="001B404F">
          <w:rPr>
            <w:rFonts w:ascii="Times New Roman" w:hAnsi="Times New Roman" w:cs="Times New Roman"/>
            <w:color w:val="1155CC"/>
            <w:u w:val="single"/>
          </w:rPr>
          <w:t>http://www.gcube-insurance.com/news/gcube-top-5-us-wind-energy-insurance-claims-report/</w:t>
        </w:r>
      </w:hyperlink>
      <w:r w:rsidRPr="001B404F">
        <w:rPr>
          <w:rFonts w:ascii="Times New Roman" w:hAnsi="Times New Roman" w:cs="Times New Roman"/>
          <w:color w:val="000000"/>
        </w:rPr>
        <w:t>&gt;.</w:t>
      </w:r>
    </w:p>
    <w:p w14:paraId="0595E62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Shafiee, M., &amp; Dinmohammadi, F. (2014). An FMEA-Based Risk Assessment Approach for Wind Turbine Systems: A Comparative Study of Onshore and Offshore. </w:t>
      </w:r>
      <w:r w:rsidRPr="001B404F">
        <w:rPr>
          <w:rFonts w:ascii="Times New Roman" w:hAnsi="Times New Roman" w:cs="Times New Roman"/>
          <w:i/>
          <w:iCs/>
          <w:color w:val="000000"/>
        </w:rPr>
        <w:t>Energies</w:t>
      </w:r>
      <w:r w:rsidRPr="001B404F">
        <w:rPr>
          <w:rFonts w:ascii="Times New Roman" w:hAnsi="Times New Roman" w:cs="Times New Roman"/>
          <w:color w:val="000000"/>
        </w:rPr>
        <w:t>, 7, 630. doi:10.3390/en7020619</w:t>
      </w:r>
    </w:p>
    <w:p w14:paraId="62AB267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Larwood. (2005). </w:t>
      </w:r>
      <w:r w:rsidRPr="001B404F">
        <w:rPr>
          <w:rFonts w:ascii="Times New Roman" w:hAnsi="Times New Roman" w:cs="Times New Roman"/>
          <w:i/>
          <w:iCs/>
          <w:color w:val="000000"/>
        </w:rPr>
        <w:t>Permitting Setbacks for Wind Turbines in California and the Blade Throw Hazard</w:t>
      </w:r>
      <w:r w:rsidRPr="001B404F">
        <w:rPr>
          <w:rFonts w:ascii="Times New Roman" w:hAnsi="Times New Roman" w:cs="Times New Roman"/>
          <w:color w:val="000000"/>
        </w:rPr>
        <w:t>.</w:t>
      </w:r>
      <w:r w:rsidRPr="001B404F">
        <w:rPr>
          <w:rFonts w:ascii="Times New Roman" w:hAnsi="Times New Roman" w:cs="Times New Roman"/>
          <w:i/>
          <w:iCs/>
          <w:color w:val="000000"/>
        </w:rPr>
        <w:t xml:space="preserve"> </w:t>
      </w:r>
      <w:r w:rsidRPr="001B404F">
        <w:rPr>
          <w:rFonts w:ascii="Times New Roman" w:hAnsi="Times New Roman" w:cs="Times New Roman"/>
          <w:color w:val="000000"/>
        </w:rPr>
        <w:t>(California Wind Energy Collaborative, Rep. No. CWEC-2005-01). California Energy Commission.</w:t>
      </w:r>
    </w:p>
    <w:p w14:paraId="5AEF2A7F"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Morgan </w:t>
      </w:r>
      <w:r w:rsidRPr="001B404F">
        <w:rPr>
          <w:rFonts w:ascii="Times New Roman" w:hAnsi="Times New Roman" w:cs="Times New Roman"/>
          <w:i/>
          <w:iCs/>
          <w:color w:val="313131"/>
        </w:rPr>
        <w:t>et al</w:t>
      </w:r>
      <w:r w:rsidRPr="001B404F">
        <w:rPr>
          <w:rFonts w:ascii="Times New Roman" w:hAnsi="Times New Roman" w:cs="Times New Roman"/>
          <w:color w:val="313131"/>
        </w:rPr>
        <w:t>. (1996). Wing Turbine Icing And Public Safety - A Quantifiable Risk? &lt;</w:t>
      </w:r>
      <w:hyperlink r:id="rId9" w:history="1">
        <w:r w:rsidRPr="001B404F">
          <w:rPr>
            <w:rFonts w:ascii="Times New Roman" w:hAnsi="Times New Roman" w:cs="Times New Roman"/>
            <w:color w:val="1155CC"/>
            <w:u w:val="single"/>
          </w:rPr>
          <w:t>http://citeseerx.ist.psu.edu/viewdoc/download?doi=10.1.1.558.1329&amp;rep=rep1&amp;type=pdf</w:t>
        </w:r>
      </w:hyperlink>
      <w:r w:rsidRPr="001B404F">
        <w:rPr>
          <w:rFonts w:ascii="Times New Roman" w:hAnsi="Times New Roman" w:cs="Times New Roman"/>
          <w:color w:val="313131"/>
        </w:rPr>
        <w:t>&gt;.</w:t>
      </w:r>
    </w:p>
    <w:p w14:paraId="243E3BBB" w14:textId="77777777" w:rsidR="005D5CDD" w:rsidRPr="001B404F" w:rsidRDefault="005D5CDD" w:rsidP="001B404F">
      <w:pPr>
        <w:numPr>
          <w:ilvl w:val="0"/>
          <w:numId w:val="1"/>
        </w:numPr>
        <w:spacing w:line="480" w:lineRule="auto"/>
        <w:textAlignment w:val="baseline"/>
        <w:rPr>
          <w:rFonts w:ascii="Times New Roman" w:hAnsi="Times New Roman" w:cs="Times New Roman"/>
          <w:color w:val="313131"/>
        </w:rPr>
      </w:pPr>
      <w:r w:rsidRPr="001B404F">
        <w:rPr>
          <w:rFonts w:ascii="Times New Roman" w:hAnsi="Times New Roman" w:cs="Times New Roman"/>
          <w:color w:val="313131"/>
        </w:rPr>
        <w:t xml:space="preserve">Shohag et al. (2017). Damage mitigation techniques in wind turbine blades: A review. </w:t>
      </w:r>
      <w:r w:rsidRPr="001B404F">
        <w:rPr>
          <w:rFonts w:ascii="Times New Roman" w:hAnsi="Times New Roman" w:cs="Times New Roman"/>
          <w:i/>
          <w:iCs/>
          <w:color w:val="313131"/>
        </w:rPr>
        <w:t>Wind Engineering</w:t>
      </w:r>
      <w:r w:rsidRPr="001B404F">
        <w:rPr>
          <w:rFonts w:ascii="Times New Roman" w:hAnsi="Times New Roman" w:cs="Times New Roman"/>
          <w:color w:val="313131"/>
        </w:rPr>
        <w:t>, 41(3), 186. doi:10.1177/0309524x17706862</w:t>
      </w:r>
    </w:p>
    <w:p w14:paraId="02863680"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Chen </w:t>
      </w:r>
      <w:r w:rsidRPr="001B404F">
        <w:rPr>
          <w:rFonts w:ascii="Times New Roman" w:hAnsi="Times New Roman" w:cs="Times New Roman"/>
          <w:i/>
          <w:iCs/>
          <w:color w:val="000000"/>
        </w:rPr>
        <w:t>et al</w:t>
      </w:r>
      <w:r w:rsidRPr="001B404F">
        <w:rPr>
          <w:rFonts w:ascii="Times New Roman" w:hAnsi="Times New Roman" w:cs="Times New Roman"/>
          <w:color w:val="000000"/>
        </w:rPr>
        <w:t xml:space="preserve">. (2014). Failure Test and Finite Element Simulation of a Large Wind Turbine Composite Blade under Static Loading. </w:t>
      </w:r>
      <w:r w:rsidRPr="001B404F">
        <w:rPr>
          <w:rFonts w:ascii="Times New Roman" w:hAnsi="Times New Roman" w:cs="Times New Roman"/>
          <w:i/>
          <w:iCs/>
          <w:color w:val="000000"/>
        </w:rPr>
        <w:t>Energies</w:t>
      </w:r>
      <w:r w:rsidRPr="001B404F">
        <w:rPr>
          <w:rFonts w:ascii="Times New Roman" w:hAnsi="Times New Roman" w:cs="Times New Roman"/>
          <w:color w:val="000000"/>
        </w:rPr>
        <w:t>, 7(4), 2295. doi:10.3390/en7042274</w:t>
      </w:r>
    </w:p>
    <w:p w14:paraId="71E57D80"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Pérez et al. (2013). Wind turbine reliability analysis. </w:t>
      </w:r>
      <w:r w:rsidRPr="001B404F">
        <w:rPr>
          <w:rFonts w:ascii="Times New Roman" w:hAnsi="Times New Roman" w:cs="Times New Roman"/>
          <w:i/>
          <w:iCs/>
          <w:color w:val="000000"/>
        </w:rPr>
        <w:t>Renewable and Sustainable Energy Reviews</w:t>
      </w:r>
      <w:r w:rsidRPr="001B404F">
        <w:rPr>
          <w:rFonts w:ascii="Times New Roman" w:hAnsi="Times New Roman" w:cs="Times New Roman"/>
          <w:color w:val="000000"/>
        </w:rPr>
        <w:t>, 23, 471. doi:10.1016/j.rser.2013.03.018</w:t>
      </w:r>
    </w:p>
    <w:p w14:paraId="0C0C8FC4"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Busby. (2012). </w:t>
      </w:r>
      <w:r w:rsidRPr="001B404F">
        <w:rPr>
          <w:rFonts w:ascii="Times New Roman" w:hAnsi="Times New Roman" w:cs="Times New Roman"/>
          <w:i/>
          <w:iCs/>
          <w:color w:val="000000"/>
        </w:rPr>
        <w:t>Wind Power: The Industry Grows Up</w:t>
      </w:r>
      <w:r w:rsidRPr="001B404F">
        <w:rPr>
          <w:rFonts w:ascii="Times New Roman" w:hAnsi="Times New Roman" w:cs="Times New Roman"/>
          <w:color w:val="000000"/>
        </w:rPr>
        <w:t>. Tulsa: PennWell Corporation. (p.17).</w:t>
      </w:r>
    </w:p>
    <w:p w14:paraId="58F40AC6"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Wind Energy Technologies Office. (2015, September). Statistics Show Bearing Problems Cause the Majority of Wind Turbine Gearbox Failures. &lt;</w:t>
      </w:r>
      <w:hyperlink r:id="rId10" w:history="1">
        <w:r w:rsidRPr="001B404F">
          <w:rPr>
            <w:rFonts w:ascii="Times New Roman" w:hAnsi="Times New Roman" w:cs="Times New Roman"/>
            <w:color w:val="1155CC"/>
            <w:u w:val="single"/>
          </w:rPr>
          <w:t>https://www.energy.gov/eere/wind/articles/statistics-show-bearing-problems-cause-majority-wind-turbine-gearbox-failures</w:t>
        </w:r>
      </w:hyperlink>
      <w:r w:rsidRPr="001B404F">
        <w:rPr>
          <w:rFonts w:ascii="Times New Roman" w:hAnsi="Times New Roman" w:cs="Times New Roman"/>
          <w:color w:val="000000"/>
        </w:rPr>
        <w:t>&gt;.</w:t>
      </w:r>
    </w:p>
    <w:p w14:paraId="254E2D17"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Greco et al. (2013). Material wear and fatigue in wind turbine Systems. </w:t>
      </w:r>
      <w:r w:rsidRPr="001B404F">
        <w:rPr>
          <w:rFonts w:ascii="Times New Roman" w:hAnsi="Times New Roman" w:cs="Times New Roman"/>
          <w:i/>
          <w:iCs/>
          <w:color w:val="000000"/>
        </w:rPr>
        <w:t>Wear</w:t>
      </w:r>
      <w:r w:rsidRPr="001B404F">
        <w:rPr>
          <w:rFonts w:ascii="Times New Roman" w:hAnsi="Times New Roman" w:cs="Times New Roman"/>
          <w:color w:val="000000"/>
        </w:rPr>
        <w:t>, 302, 1583-1591. doi:10.1016/j.wear.2013.01.060</w:t>
      </w:r>
    </w:p>
    <w:p w14:paraId="4324990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i/>
          <w:iCs/>
          <w:color w:val="000000"/>
        </w:rPr>
        <w:t>2014 Wind Power Program Peer Review</w:t>
      </w:r>
      <w:r w:rsidRPr="001B404F">
        <w:rPr>
          <w:rFonts w:ascii="Times New Roman" w:hAnsi="Times New Roman" w:cs="Times New Roman"/>
          <w:color w:val="000000"/>
        </w:rPr>
        <w:t>. Reliability and A2e. (March 2014). Wind Energy Technologies: U.S. Dept. of Energy. PR-5000-62152</w:t>
      </w:r>
    </w:p>
    <w:p w14:paraId="6E1095C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Rao, B. (1996). </w:t>
      </w:r>
      <w:r w:rsidRPr="001B404F">
        <w:rPr>
          <w:rFonts w:ascii="Times New Roman" w:hAnsi="Times New Roman" w:cs="Times New Roman"/>
          <w:i/>
          <w:iCs/>
          <w:color w:val="313131"/>
        </w:rPr>
        <w:t>Handbook of Condition Monitoring</w:t>
      </w:r>
      <w:r w:rsidRPr="001B404F">
        <w:rPr>
          <w:rFonts w:ascii="Times New Roman" w:hAnsi="Times New Roman" w:cs="Times New Roman"/>
          <w:color w:val="313131"/>
        </w:rPr>
        <w:t>. Oxford: Elsevier Advanced Technology. (p. 52)</w:t>
      </w:r>
    </w:p>
    <w:p w14:paraId="0D4F28D9"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313131"/>
        </w:rPr>
        <w:t xml:space="preserve">Tian et al. (2011). Condition based maintenance optimization for wind power generation systems under continuous monitoring. </w:t>
      </w:r>
      <w:r w:rsidRPr="001B404F">
        <w:rPr>
          <w:rFonts w:ascii="Times New Roman" w:hAnsi="Times New Roman" w:cs="Times New Roman"/>
          <w:i/>
          <w:iCs/>
          <w:color w:val="313131"/>
        </w:rPr>
        <w:t>Renewable Energy</w:t>
      </w:r>
      <w:r w:rsidRPr="001B404F">
        <w:rPr>
          <w:rFonts w:ascii="Times New Roman" w:hAnsi="Times New Roman" w:cs="Times New Roman"/>
          <w:color w:val="313131"/>
        </w:rPr>
        <w:t>, 36, 1502-1509. doi:10.1016/j.renene.2010.10.028</w:t>
      </w:r>
    </w:p>
    <w:p w14:paraId="30DEC4CE" w14:textId="77777777" w:rsidR="005D5CDD" w:rsidRPr="001B404F" w:rsidRDefault="005D5CDD" w:rsidP="001B404F">
      <w:pPr>
        <w:numPr>
          <w:ilvl w:val="0"/>
          <w:numId w:val="1"/>
        </w:numPr>
        <w:spacing w:line="480" w:lineRule="auto"/>
        <w:textAlignment w:val="baseline"/>
        <w:rPr>
          <w:rFonts w:ascii="Times New Roman" w:hAnsi="Times New Roman" w:cs="Times New Roman"/>
          <w:color w:val="313131"/>
        </w:rPr>
      </w:pPr>
      <w:r w:rsidRPr="001B404F">
        <w:rPr>
          <w:rFonts w:ascii="Times New Roman" w:hAnsi="Times New Roman" w:cs="Times New Roman"/>
          <w:color w:val="000000"/>
        </w:rPr>
        <w:t xml:space="preserve">Jiang et al. (2017). Structural Reliability Analysis of Wind Turbines: A Review. </w:t>
      </w:r>
      <w:r w:rsidRPr="001B404F">
        <w:rPr>
          <w:rFonts w:ascii="Times New Roman" w:hAnsi="Times New Roman" w:cs="Times New Roman"/>
          <w:i/>
          <w:iCs/>
          <w:color w:val="000000"/>
        </w:rPr>
        <w:t>Energies</w:t>
      </w:r>
      <w:r w:rsidRPr="001B404F">
        <w:rPr>
          <w:rFonts w:ascii="Times New Roman" w:hAnsi="Times New Roman" w:cs="Times New Roman"/>
          <w:color w:val="000000"/>
        </w:rPr>
        <w:t>, 10(12), 11. doi:10.3390/en10122099</w:t>
      </w:r>
    </w:p>
    <w:p w14:paraId="6D30E09C"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GCube Insurance Services. (2014, September). Breaking Blades: Global Trends in Wind Turbine Downtime Events. &lt;</w:t>
      </w:r>
      <w:hyperlink r:id="rId11" w:history="1">
        <w:r w:rsidRPr="001B404F">
          <w:rPr>
            <w:rFonts w:ascii="Times New Roman" w:hAnsi="Times New Roman" w:cs="Times New Roman"/>
            <w:color w:val="1155CC"/>
            <w:u w:val="single"/>
          </w:rPr>
          <w:t>http://www.gcube-insurance.com/news/gcube-top-5-us-wind-energy-insurance-claims-report/</w:t>
        </w:r>
      </w:hyperlink>
      <w:r w:rsidRPr="001B404F">
        <w:rPr>
          <w:rFonts w:ascii="Times New Roman" w:hAnsi="Times New Roman" w:cs="Times New Roman"/>
          <w:color w:val="000000"/>
        </w:rPr>
        <w:t>&gt;.</w:t>
      </w:r>
    </w:p>
    <w:p w14:paraId="0725AF58" w14:textId="77777777" w:rsidR="005D5CDD" w:rsidRPr="001B404F" w:rsidRDefault="005D5CDD" w:rsidP="001B404F">
      <w:pPr>
        <w:numPr>
          <w:ilvl w:val="0"/>
          <w:numId w:val="1"/>
        </w:numPr>
        <w:spacing w:line="480" w:lineRule="auto"/>
        <w:textAlignment w:val="baseline"/>
        <w:rPr>
          <w:rFonts w:ascii="Times New Roman" w:hAnsi="Times New Roman" w:cs="Times New Roman"/>
          <w:color w:val="000000"/>
        </w:rPr>
      </w:pPr>
      <w:r w:rsidRPr="001B404F">
        <w:rPr>
          <w:rFonts w:ascii="Times New Roman" w:hAnsi="Times New Roman" w:cs="Times New Roman"/>
          <w:color w:val="000000"/>
        </w:rPr>
        <w:t xml:space="preserve">Wind Turbines and Health – A Rapid Review of the Evidence. (2010). Australian Government, (NHRC), 8. </w:t>
      </w:r>
    </w:p>
    <w:p w14:paraId="4BC48162" w14:textId="77777777" w:rsidR="00F403CF" w:rsidRPr="001B404F" w:rsidRDefault="00F403CF" w:rsidP="001B404F">
      <w:pPr>
        <w:spacing w:line="480" w:lineRule="auto"/>
        <w:rPr>
          <w:rFonts w:ascii="Times New Roman" w:hAnsi="Times New Roman" w:cs="Times New Roman"/>
        </w:rPr>
      </w:pPr>
    </w:p>
    <w:sectPr w:rsidR="00F403CF" w:rsidRPr="001B404F" w:rsidSect="00FC638F">
      <w:headerReference w:type="even" r:id="rId12"/>
      <w:headerReference w:type="default" r:id="rId13"/>
      <w:footnotePr>
        <w:numFmt w:val="lowerLetter"/>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77CE3" w14:textId="77777777" w:rsidR="00D05A62" w:rsidRDefault="00D05A62" w:rsidP="00EB0AF7">
      <w:r>
        <w:separator/>
      </w:r>
    </w:p>
  </w:endnote>
  <w:endnote w:type="continuationSeparator" w:id="0">
    <w:p w14:paraId="7B8BB187" w14:textId="77777777" w:rsidR="00D05A62" w:rsidRDefault="00D05A62" w:rsidP="00EB0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47234" w14:textId="77777777" w:rsidR="00D05A62" w:rsidRDefault="00D05A62" w:rsidP="00EB0AF7">
      <w:r>
        <w:separator/>
      </w:r>
    </w:p>
  </w:footnote>
  <w:footnote w:type="continuationSeparator" w:id="0">
    <w:p w14:paraId="2708596F" w14:textId="77777777" w:rsidR="00D05A62" w:rsidRDefault="00D05A62" w:rsidP="00EB0AF7">
      <w:r>
        <w:continuationSeparator/>
      </w:r>
    </w:p>
  </w:footnote>
  <w:footnote w:id="1">
    <w:p w14:paraId="67777909" w14:textId="4FDD7173" w:rsidR="00542FEA" w:rsidRPr="00542FEA" w:rsidRDefault="00542FEA">
      <w:pPr>
        <w:pStyle w:val="FootnoteText"/>
        <w:rPr>
          <w:sz w:val="18"/>
          <w:szCs w:val="18"/>
        </w:rPr>
      </w:pPr>
      <w:r>
        <w:rPr>
          <w:rStyle w:val="FootnoteReference"/>
        </w:rPr>
        <w:footnoteRef/>
      </w:r>
      <w:r>
        <w:rPr>
          <w:vertAlign w:val="superscript"/>
        </w:rPr>
        <w:t>)</w:t>
      </w:r>
      <w:r>
        <w:t xml:space="preserve"> </w:t>
      </w:r>
      <w:r w:rsidRPr="00542FEA">
        <w:rPr>
          <w:sz w:val="18"/>
          <w:szCs w:val="18"/>
        </w:rPr>
        <w:t>Author to whom correspondence should be</w:t>
      </w:r>
      <w:r>
        <w:rPr>
          <w:sz w:val="18"/>
          <w:szCs w:val="18"/>
        </w:rPr>
        <w:t xml:space="preserve"> addressed; electronic mail: zswain</w:t>
      </w:r>
      <w:r w:rsidRPr="00542FEA">
        <w:rPr>
          <w:sz w:val="18"/>
          <w:szCs w:val="18"/>
        </w:rPr>
        <w:t xml:space="preserve">@udel.edu. Also at: Department of </w:t>
      </w:r>
      <w:r>
        <w:rPr>
          <w:sz w:val="18"/>
          <w:szCs w:val="18"/>
        </w:rPr>
        <w:t>Materials Science and Engineering</w:t>
      </w:r>
      <w:r w:rsidRPr="00542FEA">
        <w:rPr>
          <w:sz w:val="18"/>
          <w:szCs w:val="18"/>
        </w:rPr>
        <w:t>, University of Delaware, Newark, Delaware 19716.</w:t>
      </w: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077D4" w14:textId="77777777" w:rsidR="00D05A62" w:rsidRDefault="00D05A62" w:rsidP="001B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A1B85D" w14:textId="77777777" w:rsidR="00D05A62" w:rsidRDefault="00D05A62" w:rsidP="00EB0A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163B3" w14:textId="77777777" w:rsidR="00D05A62" w:rsidRDefault="00D05A62" w:rsidP="001B40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2FEA">
      <w:rPr>
        <w:rStyle w:val="PageNumber"/>
        <w:noProof/>
      </w:rPr>
      <w:t>1</w:t>
    </w:r>
    <w:r>
      <w:rPr>
        <w:rStyle w:val="PageNumber"/>
      </w:rPr>
      <w:fldChar w:fldCharType="end"/>
    </w:r>
  </w:p>
  <w:p w14:paraId="59CA8A64" w14:textId="77777777" w:rsidR="00D05A62" w:rsidRDefault="00D05A62" w:rsidP="00EB0AF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44EDA"/>
    <w:multiLevelType w:val="multilevel"/>
    <w:tmpl w:val="7FCA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42"/>
    <w:rsid w:val="001B404F"/>
    <w:rsid w:val="003E7542"/>
    <w:rsid w:val="00542FEA"/>
    <w:rsid w:val="005D5CDD"/>
    <w:rsid w:val="005F288A"/>
    <w:rsid w:val="007C3A00"/>
    <w:rsid w:val="007F082F"/>
    <w:rsid w:val="008B65B2"/>
    <w:rsid w:val="00D05A62"/>
    <w:rsid w:val="00D9093B"/>
    <w:rsid w:val="00EB0AF7"/>
    <w:rsid w:val="00F403CF"/>
    <w:rsid w:val="00FC6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D45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 w:type="paragraph" w:styleId="FootnoteText">
    <w:name w:val="footnote text"/>
    <w:basedOn w:val="Normal"/>
    <w:link w:val="FootnoteTextChar"/>
    <w:uiPriority w:val="99"/>
    <w:unhideWhenUsed/>
    <w:rsid w:val="00542FEA"/>
  </w:style>
  <w:style w:type="character" w:customStyle="1" w:styleId="FootnoteTextChar">
    <w:name w:val="Footnote Text Char"/>
    <w:basedOn w:val="DefaultParagraphFont"/>
    <w:link w:val="FootnoteText"/>
    <w:uiPriority w:val="99"/>
    <w:rsid w:val="00542FEA"/>
  </w:style>
  <w:style w:type="character" w:styleId="FootnoteReference">
    <w:name w:val="footnote reference"/>
    <w:basedOn w:val="DefaultParagraphFont"/>
    <w:uiPriority w:val="99"/>
    <w:unhideWhenUsed/>
    <w:rsid w:val="00542FE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54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E7542"/>
  </w:style>
  <w:style w:type="character" w:styleId="Hyperlink">
    <w:name w:val="Hyperlink"/>
    <w:basedOn w:val="DefaultParagraphFont"/>
    <w:uiPriority w:val="99"/>
    <w:semiHidden/>
    <w:unhideWhenUsed/>
    <w:rsid w:val="005D5CDD"/>
    <w:rPr>
      <w:color w:val="0000FF"/>
      <w:u w:val="single"/>
    </w:rPr>
  </w:style>
  <w:style w:type="character" w:styleId="PlaceholderText">
    <w:name w:val="Placeholder Text"/>
    <w:basedOn w:val="DefaultParagraphFont"/>
    <w:uiPriority w:val="99"/>
    <w:semiHidden/>
    <w:rsid w:val="005D5CDD"/>
    <w:rPr>
      <w:color w:val="808080"/>
    </w:rPr>
  </w:style>
  <w:style w:type="paragraph" w:styleId="BalloonText">
    <w:name w:val="Balloon Text"/>
    <w:basedOn w:val="Normal"/>
    <w:link w:val="BalloonTextChar"/>
    <w:uiPriority w:val="99"/>
    <w:semiHidden/>
    <w:unhideWhenUsed/>
    <w:rsid w:val="005D5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CDD"/>
    <w:rPr>
      <w:rFonts w:ascii="Lucida Grande" w:hAnsi="Lucida Grande" w:cs="Lucida Grande"/>
      <w:sz w:val="18"/>
      <w:szCs w:val="18"/>
    </w:rPr>
  </w:style>
  <w:style w:type="paragraph" w:styleId="Header">
    <w:name w:val="header"/>
    <w:basedOn w:val="Normal"/>
    <w:link w:val="HeaderChar"/>
    <w:uiPriority w:val="99"/>
    <w:unhideWhenUsed/>
    <w:rsid w:val="00EB0AF7"/>
    <w:pPr>
      <w:tabs>
        <w:tab w:val="center" w:pos="4320"/>
        <w:tab w:val="right" w:pos="8640"/>
      </w:tabs>
    </w:pPr>
  </w:style>
  <w:style w:type="character" w:customStyle="1" w:styleId="HeaderChar">
    <w:name w:val="Header Char"/>
    <w:basedOn w:val="DefaultParagraphFont"/>
    <w:link w:val="Header"/>
    <w:uiPriority w:val="99"/>
    <w:rsid w:val="00EB0AF7"/>
  </w:style>
  <w:style w:type="character" w:styleId="PageNumber">
    <w:name w:val="page number"/>
    <w:basedOn w:val="DefaultParagraphFont"/>
    <w:uiPriority w:val="99"/>
    <w:semiHidden/>
    <w:unhideWhenUsed/>
    <w:rsid w:val="00EB0AF7"/>
  </w:style>
  <w:style w:type="paragraph" w:styleId="FootnoteText">
    <w:name w:val="footnote text"/>
    <w:basedOn w:val="Normal"/>
    <w:link w:val="FootnoteTextChar"/>
    <w:uiPriority w:val="99"/>
    <w:unhideWhenUsed/>
    <w:rsid w:val="00542FEA"/>
  </w:style>
  <w:style w:type="character" w:customStyle="1" w:styleId="FootnoteTextChar">
    <w:name w:val="Footnote Text Char"/>
    <w:basedOn w:val="DefaultParagraphFont"/>
    <w:link w:val="FootnoteText"/>
    <w:uiPriority w:val="99"/>
    <w:rsid w:val="00542FEA"/>
  </w:style>
  <w:style w:type="character" w:styleId="FootnoteReference">
    <w:name w:val="footnote reference"/>
    <w:basedOn w:val="DefaultParagraphFont"/>
    <w:uiPriority w:val="99"/>
    <w:unhideWhenUsed/>
    <w:rsid w:val="00542F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454">
      <w:bodyDiv w:val="1"/>
      <w:marLeft w:val="0"/>
      <w:marRight w:val="0"/>
      <w:marTop w:val="0"/>
      <w:marBottom w:val="0"/>
      <w:divBdr>
        <w:top w:val="none" w:sz="0" w:space="0" w:color="auto"/>
        <w:left w:val="none" w:sz="0" w:space="0" w:color="auto"/>
        <w:bottom w:val="none" w:sz="0" w:space="0" w:color="auto"/>
        <w:right w:val="none" w:sz="0" w:space="0" w:color="auto"/>
      </w:divBdr>
    </w:div>
    <w:div w:id="1302150014">
      <w:bodyDiv w:val="1"/>
      <w:marLeft w:val="0"/>
      <w:marRight w:val="0"/>
      <w:marTop w:val="0"/>
      <w:marBottom w:val="0"/>
      <w:divBdr>
        <w:top w:val="none" w:sz="0" w:space="0" w:color="auto"/>
        <w:left w:val="none" w:sz="0" w:space="0" w:color="auto"/>
        <w:bottom w:val="none" w:sz="0" w:space="0" w:color="auto"/>
        <w:right w:val="none" w:sz="0" w:space="0" w:color="auto"/>
      </w:divBdr>
    </w:div>
    <w:div w:id="1465388993">
      <w:bodyDiv w:val="1"/>
      <w:marLeft w:val="0"/>
      <w:marRight w:val="0"/>
      <w:marTop w:val="0"/>
      <w:marBottom w:val="0"/>
      <w:divBdr>
        <w:top w:val="none" w:sz="0" w:space="0" w:color="auto"/>
        <w:left w:val="none" w:sz="0" w:space="0" w:color="auto"/>
        <w:bottom w:val="none" w:sz="0" w:space="0" w:color="auto"/>
        <w:right w:val="none" w:sz="0" w:space="0" w:color="auto"/>
      </w:divBdr>
    </w:div>
    <w:div w:id="1632859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cube-insurance.com/news/gcube-top-5-us-wind-energy-insurance-claims-repor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cube-insurance.com/news/gcube-top-5-us-wind-energy-insurance-claims-report/" TargetMode="External"/><Relationship Id="rId9" Type="http://schemas.openxmlformats.org/officeDocument/2006/relationships/hyperlink" Target="http://citeseerx.ist.psu.edu/viewdoc/download?doi=10.1.1.558.1329&amp;rep=rep1&amp;type=pdf" TargetMode="External"/><Relationship Id="rId10" Type="http://schemas.openxmlformats.org/officeDocument/2006/relationships/hyperlink" Target="https://www.energy.gov/eere/wind/articles/statistics-show-bearing-problems-cause-majority-wind-turbine-gearbox-fail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2431</Words>
  <Characters>13861</Characters>
  <Application>Microsoft Macintosh Word</Application>
  <DocSecurity>0</DocSecurity>
  <Lines>115</Lines>
  <Paragraphs>32</Paragraphs>
  <ScaleCrop>false</ScaleCrop>
  <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3</cp:revision>
  <cp:lastPrinted>2018-11-13T18:00:00Z</cp:lastPrinted>
  <dcterms:created xsi:type="dcterms:W3CDTF">2018-11-13T18:00:00Z</dcterms:created>
  <dcterms:modified xsi:type="dcterms:W3CDTF">2018-11-13T18:04:00Z</dcterms:modified>
</cp:coreProperties>
</file>