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37A7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研究方案：基于AI辅助的泌尿外科专科护士专业知识考核前瞻性评估研究</w:t>
      </w:r>
    </w:p>
    <w:p w14:paraId="20D23332">
      <w:pPr>
        <w:pStyle w:val="2"/>
        <w:keepNext w:val="0"/>
        <w:keepLines w:val="0"/>
        <w:widowControl/>
        <w:suppressLineNumbers w:val="0"/>
      </w:pPr>
      <w:r>
        <w:t>一、研究背景与目的</w:t>
      </w:r>
    </w:p>
    <w:p w14:paraId="47034DEE">
      <w:pPr>
        <w:pStyle w:val="3"/>
        <w:keepNext w:val="0"/>
        <w:keepLines w:val="0"/>
        <w:widowControl/>
        <w:suppressLineNumbers w:val="0"/>
      </w:pPr>
      <w:r>
        <w:t>本研究在前期泌尿外科住院医师AI辅助命题研究方案基础上进行调整，聚焦于泌尿外科专科护士群体。拟参考现行护士执业资格考试及主管护师考试题库，并结合泌尿外科护理教学专家命制的专业知识试卷，探索人工智能（AI）在泌尿外科专科护士能力考核中的命题可行性与有效性。通过对比AI生成试卷与教学护士专家命制试卷在信度、效度、难度和区分度等方面的差异，评估AI在护理教育评价中的应用潜力，为智能化护理考核体系建设提供循证依据。</w:t>
      </w:r>
    </w:p>
    <w:p w14:paraId="321BD33A">
      <w:pPr>
        <w:pStyle w:val="2"/>
        <w:keepNext w:val="0"/>
        <w:keepLines w:val="0"/>
        <w:widowControl/>
        <w:suppressLineNumbers w:val="0"/>
      </w:pPr>
      <w:r>
        <w:t>二、研究设计</w:t>
      </w:r>
    </w:p>
    <w:p w14:paraId="3B389AD0">
      <w:pPr>
        <w:pStyle w:val="3"/>
        <w:keepNext w:val="0"/>
        <w:keepLines w:val="0"/>
        <w:widowControl/>
        <w:suppressLineNumbers w:val="0"/>
      </w:pPr>
      <w:r>
        <w:t>采用前瞻性、自身对照、交叉验证实验设计。所有入组护士在2–3周内先后完成两套不同来源但内容覆盖一致的试卷（人工命制卷与AI命制卷），以控制个体能力差异对结果的影响。</w:t>
      </w:r>
    </w:p>
    <w:p w14:paraId="772D441A">
      <w:pPr>
        <w:pStyle w:val="2"/>
        <w:keepNext w:val="0"/>
        <w:keepLines w:val="0"/>
        <w:widowControl/>
        <w:suppressLineNumbers w:val="0"/>
      </w:pPr>
      <w:r>
        <w:t>三、研究对象</w:t>
      </w:r>
    </w:p>
    <w:p w14:paraId="7FC010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目标人群</w:t>
      </w:r>
      <w:r>
        <w:t xml:space="preserve">：从事泌尿外科临床护理工作、具备注册护士资质的专科护士。 </w:t>
      </w:r>
    </w:p>
    <w:p w14:paraId="0C18B9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纳入标准</w:t>
      </w:r>
      <w:r>
        <w:t xml:space="preserve">： </w:t>
      </w:r>
    </w:p>
    <w:p w14:paraId="5E900E6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持有中华人民共和国护士执业证书； </w:t>
      </w:r>
    </w:p>
    <w:p w14:paraId="36EE97B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在泌尿外科病房或相关岗位工作≥6个月； </w:t>
      </w:r>
    </w:p>
    <w:p w14:paraId="553D938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自愿参与本研究并签署知情同意书； </w:t>
      </w:r>
    </w:p>
    <w:p w14:paraId="42E6EA2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能正常完成笔试考核。</w:t>
      </w:r>
    </w:p>
    <w:p w14:paraId="569C3D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排除标准</w:t>
      </w:r>
      <w:r>
        <w:t xml:space="preserve">： </w:t>
      </w:r>
    </w:p>
    <w:p w14:paraId="7C19BF1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近3个月内参与过AI命题或类似教育研究项目； </w:t>
      </w:r>
    </w:p>
    <w:p w14:paraId="1695C89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因病假、产假等长期脱离临床岗位（≥1个月）。</w:t>
      </w:r>
    </w:p>
    <w:p w14:paraId="6BB2C902">
      <w:pPr>
        <w:pStyle w:val="2"/>
        <w:keepNext w:val="0"/>
        <w:keepLines w:val="0"/>
        <w:widowControl/>
        <w:suppressLineNumbers w:val="0"/>
      </w:pPr>
      <w:r>
        <w:t>四、样本量估算</w:t>
      </w:r>
    </w:p>
    <w:p w14:paraId="131C0B84">
      <w:pPr>
        <w:pStyle w:val="3"/>
        <w:keepNext w:val="0"/>
        <w:keepLines w:val="0"/>
        <w:widowControl/>
        <w:suppressLineNumbers w:val="0"/>
      </w:pPr>
      <w:r>
        <w:t>本研究沿用原方案的统计方法，以试卷总分作为主要评价指标，采用配对t检验比较两套试卷得分差异。设定显著性水平 α = 0.05，检验效能 1−β = 0.80，预期中等效应量（Cohen’s d = 0.5）。</w:t>
      </w:r>
      <w:r>
        <w:br w:type="textWrapping"/>
      </w:r>
      <w:r>
        <w:t>根据配对样本量公式计算，所需最小样本量约为32人。考虑到实际临床护士人力安排及可行性，同时参考教育测量学建议（N ≥ 30 可满足参数检验基本前提），</w:t>
      </w:r>
      <w:r>
        <w:rPr>
          <w:rStyle w:val="6"/>
        </w:rPr>
        <w:t>本研究计划纳入约30名泌尿外科专科护士</w:t>
      </w:r>
      <w:r>
        <w:t>。该样本量在效应量略高于中等（d ≈ 0.55）时仍可达到80%检验效能，且符合小规模专业人群研究惯例。</w:t>
      </w:r>
    </w:p>
    <w:p w14:paraId="0DF1FA28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结论：每次实验共纳入约30名护士，所有人均完成两套试卷，无需分平行组。</w:t>
      </w:r>
    </w:p>
    <w:p w14:paraId="166AD414">
      <w:pPr>
        <w:pStyle w:val="2"/>
        <w:keepNext w:val="0"/>
        <w:keepLines w:val="0"/>
        <w:widowControl/>
        <w:suppressLineNumbers w:val="0"/>
      </w:pPr>
      <w:r>
        <w:t>五、试卷开发</w:t>
      </w:r>
    </w:p>
    <w:p w14:paraId="031C308A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人工命题试卷（教学护士卷）</w:t>
      </w:r>
      <w:r>
        <w:t xml:space="preserve">： </w:t>
      </w:r>
    </w:p>
    <w:p w14:paraId="144FB44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由2–3名具有5年以上泌尿外科临床教学经验的高年资专科护士（主管护师及以上职称）组成命题小组； </w:t>
      </w:r>
    </w:p>
    <w:p w14:paraId="355770E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依据《护士执业资格考试大纲》《主管护师考试泌尿外科护理相关内容》及科室内部培训教材，命制一套涵盖泌尿外科常见疾病护理、围术期管理、导管护理、并发症识别等核心知识点的标准化试卷（题型包括单选、多选、案例分析，满分100分）。</w:t>
      </w:r>
    </w:p>
    <w:p w14:paraId="5C660D9A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AI辅助命题试卷（AI卷）</w:t>
      </w:r>
      <w:r>
        <w:t xml:space="preserve">： </w:t>
      </w:r>
    </w:p>
    <w:p w14:paraId="48B46DE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使用大语言模型（如Qwen、GPT-4等），输入结构化Prompt，内容包括： </w:t>
      </w:r>
    </w:p>
    <w:p w14:paraId="7990188A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 xml:space="preserve">考核对象（泌尿外科专科护士）； </w:t>
      </w:r>
    </w:p>
    <w:p w14:paraId="3C4A0905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 xml:space="preserve">知识范围（参照上述考试大纲与教学重点）； </w:t>
      </w:r>
    </w:p>
    <w:p w14:paraId="0FF70E3C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 xml:space="preserve">题型与分值分布要求； </w:t>
      </w:r>
    </w:p>
    <w:p w14:paraId="12BEAE6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 xml:space="preserve">难度层级（以中等为主，兼顾基础与进阶）； </w:t>
      </w:r>
    </w:p>
    <w:p w14:paraId="52A91AC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禁止生成超纲、错误或模糊表述题目。</w:t>
      </w:r>
    </w:p>
    <w:p w14:paraId="0C3C441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AI生成初稿后，由1名非命题教学护士进行事实性审核（仅修正医学/护理事实错误，不改变题目逻辑或意图），形成最终AI试卷。</w:t>
      </w:r>
    </w:p>
    <w:p w14:paraId="421BFCD9">
      <w:pPr>
        <w:pStyle w:val="2"/>
        <w:keepNext w:val="0"/>
        <w:keepLines w:val="0"/>
        <w:widowControl/>
        <w:suppressLineNumbers w:val="0"/>
      </w:pPr>
      <w:r>
        <w:t>六、实验流程</w:t>
      </w:r>
    </w:p>
    <w:p w14:paraId="5162E1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入组人数</w:t>
      </w:r>
      <w:r>
        <w:t xml:space="preserve">：共纳入30名符合条件的泌尿外科专科护士。 </w:t>
      </w:r>
    </w:p>
    <w:p w14:paraId="0C72EF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考核安排</w:t>
      </w:r>
      <w:r>
        <w:t xml:space="preserve">： </w:t>
      </w:r>
    </w:p>
    <w:p w14:paraId="2398C67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所有护士在</w:t>
      </w:r>
      <w:r>
        <w:rPr>
          <w:rStyle w:val="6"/>
        </w:rPr>
        <w:t>2–3周内</w:t>
      </w:r>
      <w:r>
        <w:t xml:space="preserve">完成两次闭卷笔试： </w:t>
      </w:r>
    </w:p>
    <w:p w14:paraId="5721EE37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第一次：泌尿外科教学护士命制的专业知识试卷； </w:t>
      </w:r>
    </w:p>
    <w:p w14:paraId="70296B26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第二次：AI辅助命制的专业知识试卷（或反之）。</w:t>
      </w:r>
    </w:p>
    <w:p w14:paraId="28B1128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为控制顺序效应，将30人</w:t>
      </w:r>
      <w:r>
        <w:rPr>
          <w:rStyle w:val="6"/>
        </w:rPr>
        <w:t>随机分为两组（各15人）</w:t>
      </w:r>
      <w:r>
        <w:t xml:space="preserve">： </w:t>
      </w:r>
    </w:p>
    <w:p w14:paraId="3DD92623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A组</w:t>
      </w:r>
      <w:r>
        <w:t xml:space="preserve">：第1周考教学护士卷，第2–3周考AI卷； </w:t>
      </w:r>
    </w:p>
    <w:p w14:paraId="4941D979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B组</w:t>
      </w:r>
      <w:r>
        <w:t>：第1周考AI卷，第2–3周考教学护士卷。</w:t>
      </w:r>
    </w:p>
    <w:p w14:paraId="76DDDBB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两次考试间隔不少于7天，不多于21天，确保知识遗忘效应可控且避免记忆干扰。</w:t>
      </w:r>
    </w:p>
    <w:p w14:paraId="440457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考试实施</w:t>
      </w:r>
      <w:r>
        <w:t xml:space="preserve">： </w:t>
      </w:r>
    </w:p>
    <w:p w14:paraId="75D5A6F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统一考场环境，限时90分钟； </w:t>
      </w:r>
    </w:p>
    <w:p w14:paraId="28E823F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客观题系统自动评分，主观题由2名盲评护士独立评分，分歧由第三方仲裁； </w:t>
      </w:r>
    </w:p>
    <w:p w14:paraId="00A43F6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收集数据包括：总分、各题型得分、答题时间、题目难度（P值）、区分度（D值）、整卷信度（Cronbach’s α）及两卷得分相关系数（效标关联效度）。</w:t>
      </w:r>
    </w:p>
    <w:p w14:paraId="5C441760">
      <w:pPr>
        <w:pStyle w:val="2"/>
        <w:keepNext w:val="0"/>
        <w:keepLines w:val="0"/>
        <w:widowControl/>
        <w:suppressLineNumbers w:val="0"/>
      </w:pPr>
      <w:r>
        <w:t>七、伦理与数据管理</w:t>
      </w:r>
    </w:p>
    <w:p w14:paraId="76FB38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本研究将提交机构伦理委员会审批； </w:t>
      </w:r>
    </w:p>
    <w:p w14:paraId="36D58E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所有参与者签署知情同意书，明确说明研究性质、自愿参与、可随时退出，且考核结果</w:t>
      </w:r>
      <w:r>
        <w:rPr>
          <w:rStyle w:val="6"/>
        </w:rPr>
        <w:t>不影响其岗位聘任、晋升或绩效</w:t>
      </w:r>
      <w:r>
        <w:t xml:space="preserve">； </w:t>
      </w:r>
    </w:p>
    <w:p w14:paraId="548881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考试成绩仅用于科研分析，个人数据经脱敏处理，以编号代替姓名存储； </w:t>
      </w:r>
    </w:p>
    <w:p w14:paraId="5E8392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研究结束后向参与者反馈整体考核分析报告（不含个体排名）。</w:t>
      </w:r>
    </w:p>
    <w:p w14:paraId="6468568D">
      <w:pPr>
        <w:pStyle w:val="2"/>
        <w:keepNext w:val="0"/>
        <w:keepLines w:val="0"/>
        <w:widowControl/>
        <w:suppressLineNumbers w:val="0"/>
      </w:pPr>
      <w:r>
        <w:t>八、预期成果</w:t>
      </w:r>
    </w:p>
    <w:p w14:paraId="6C8AC6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验证AI在泌尿外科专科护士专业知识考核中的命题等效性； </w:t>
      </w:r>
    </w:p>
    <w:p w14:paraId="54F0EC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构建适用于护理领域的AI辅助命题质量评估指标； </w:t>
      </w:r>
    </w:p>
    <w:p w14:paraId="3EFFC6D9">
      <w:pPr>
        <w:pStyle w:val="3"/>
        <w:keepNext w:val="0"/>
        <w:keepLines w:val="0"/>
        <w:widowControl/>
        <w:suppressLineNumbers w:val="0"/>
      </w:pPr>
      <w:r>
        <w:t>为未来护理人员智能化、标准化考核提供实践范式与政策建议。</w:t>
      </w:r>
      <w:bookmarkStart w:id="0" w:name="_GoBack"/>
      <w:bookmarkEnd w:id="0"/>
    </w:p>
    <w:p w14:paraId="4A6C5515">
      <w:pPr>
        <w:keepNext w:val="0"/>
        <w:keepLines w:val="0"/>
        <w:widowControl/>
        <w:suppressLineNumbers w:val="0"/>
        <w:jc w:val="left"/>
      </w:pPr>
    </w:p>
    <w:p w14:paraId="0CC2D3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lusJakarta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411EB"/>
    <w:multiLevelType w:val="multilevel"/>
    <w:tmpl w:val="83D41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5E5D5CF"/>
    <w:multiLevelType w:val="multilevel"/>
    <w:tmpl w:val="C5E5D5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5BDCA66"/>
    <w:multiLevelType w:val="multilevel"/>
    <w:tmpl w:val="15BDC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AEB3F48"/>
    <w:multiLevelType w:val="multilevel"/>
    <w:tmpl w:val="6AEB3F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F5268"/>
    <w:rsid w:val="5FD4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2025-12-29T04:59:02Z</dcterms:created>
  <dc:creator>cheny</dc:creator>
  <cp:lastModifiedBy>陈以宁</cp:lastModifiedBy>
  <dcterms:modified xsi:type="dcterms:W3CDTF">2025-12-29T04:59:31Z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eyJoZGlkIjoiOTY2ZDFiNDIxMmVmMDU2ODQzZWNmYmE2NzkxMTI4MjAiLCJ1c2VySWQiOiIxNjQwMzgwOTMzIn0=</vt:lpwstr>
  </property>
  <property fmtid="{D5CDD505-2E9C-101B-9397-08002B2CF9AE}" pid="4" name="ICV">
    <vt:lpwstr>3CA4AA7BF7FF439AB2EB64987DACE88D_12</vt:lpwstr>
  </property>
</Properties>
</file>