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D5A27"/>
          <w:sz w:val="48"/>
        </w:rPr>
        <w:t>宏观经济学 PS1 详细解答</w:t>
        <w:br/>
        <w:t>国民收入核算</w:t>
      </w:r>
    </w:p>
    <w:p/>
    <w:p>
      <w:pPr>
        <w:jc w:val="center"/>
      </w:pPr>
      <w:r>
        <w:rPr>
          <w:color w:val="7A736D"/>
          <w:sz w:val="28"/>
        </w:rPr>
        <w:t>习题 1.1 – 1.5</w:t>
        <w:br/>
        <w:t>GDP核算 · 链式加权 · 房价泡沫</w:t>
      </w:r>
    </w:p>
    <w:p/>
    <w:p>
      <w:pPr>
        <w:jc w:val="center"/>
      </w:pPr>
      <w:r>
        <w:rPr>
          <w:color w:val="7A736D"/>
          <w:sz w:val="20"/>
        </w:rPr>
        <w:t>基于曼昆《宏观经济学》最新版</w:t>
      </w:r>
    </w:p>
    <w:p>
      <w:r>
        <w:br w:type="page"/>
      </w:r>
    </w:p>
    <w:p>
      <w:pPr>
        <w:pStyle w:val="Heading1"/>
      </w:pPr>
      <w:r>
        <w:t>1.1 纳尼亚 GDP 核算</w:t>
      </w:r>
    </w:p>
    <w:p>
      <w:r>
        <w:rPr>
          <w:rFonts w:ascii="Calibri" w:hAnsi="Calibri" w:eastAsia="Microsoft YaHei"/>
          <w:b w:val="0"/>
          <w:color w:val="3D3D3D"/>
        </w:rPr>
        <w:t>【题目翻译】给定纳尼亚宏观经济数据表，无统计误差，净要素支付仅含来自国外的工资。计算：(a) GDP（支出法+收入法）(b) GNP, NNP, NI (c) GNFI, NNFI (d) PI, DPI。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GDP 支出法 Expenditure approach  (GDP=C+I+G+NX)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GDP 收入法 Income approach  (GDP=雇员报酬+经营者收入+租金+利息+利润+间接税−补贴+折旧+(统计误差))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GNP 国民生产总值  (GNP=GDP+NFP (NFP=来自国外的净要素支付))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NNP 国民生产净值  (NNP=GNP−折旧 (consumption of fixed capital))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NI 国民收入  (NI=NNP−间接税+补贴−企业转移支付−政府企业盈余)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PI 个人收入  (PI=NI−公司利润−社保缴款+个人利息+个人股息+个人转移收入+企业转移支付)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DPI 可支配个人收入  (DPI=PI−个人所得税)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(a) 支出法 GDP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GDP_exp = C + I + G + NX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C=3000, I=2500, G=1000, NX=500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GDP = 3000+2500+1000+500 = 7000 (十亿美元)</w:t>
      </w:r>
    </w:p>
    <w:p>
      <w:r>
        <w:rPr>
          <w:rFonts w:ascii="Calibri" w:hAnsi="Calibri" w:eastAsia="Microsoft YaHei"/>
          <w:b/>
          <w:color w:val="2D5A27"/>
          <w:sz w:val="21"/>
        </w:rPr>
        <w:t>▌ (a) 收入法 GDP</w:t>
      </w:r>
    </w:p>
    <w:p>
      <w:r>
        <w:rPr>
          <w:rFonts w:ascii="Calibri" w:hAnsi="Calibri" w:eastAsia="Microsoft YaHei"/>
          <w:b w:val="0"/>
          <w:color w:val="3D3D3D"/>
        </w:rPr>
        <w:t>收入法 GDP = 雇员报酬 + 经营者收入 + 租金 + 净利息 + 公司利润 + 间接税净额 + 折旧 + 企业转移支付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GDP_inc = 3000+300+400+900+1400+600-50+150+200 = 6900? 等等</w:t>
      </w:r>
    </w:p>
    <w:p>
      <w:r>
        <w:rPr>
          <w:rFonts w:ascii="Calibri" w:hAnsi="Calibri" w:eastAsia="Microsoft YaHei"/>
          <w:b w:val="0"/>
          <w:color w:val="3D3D3D"/>
        </w:rPr>
        <w:t>注意: 间接税净额 (600) 含补贴 (50 已净额), 加折旧 (200), 企业转移支付 (150), 政府企业盈余 (50)</w:t>
      </w:r>
    </w:p>
    <w:p>
      <w:r>
        <w:rPr>
          <w:rFonts w:ascii="Calibri" w:hAnsi="Calibri" w:eastAsia="Microsoft YaHei"/>
          <w:b w:val="0"/>
          <w:color w:val="3D3D3D"/>
        </w:rPr>
        <w:t>标准公式: GDP = 补偿(3000) + 经营者(300) + 租金(400) + 净利息(900) + 公司利润(1400) + 间接税(600) + 折旧(200) + (企业转移支付 150 − 政府盈余 50?)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GDP = 3000+300+400+900+1400+600+200 = 6800?</w:t>
      </w:r>
    </w:p>
    <w:p>
      <w:r>
        <w:rPr>
          <w:rFonts w:ascii="Calibri" w:hAnsi="Calibri" w:eastAsia="Microsoft YaHei"/>
          <w:b w:val="0"/>
          <w:color w:val="3D3D3D"/>
        </w:rPr>
        <w:t>再核对: 支出法 = 7000。收入法必须一致。间接税 600 已含补贴净额, 折旧 200, 企业转移支付 150 需加回, 政府企业盈余 50 需减去。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GDP = 3000+300+400+900+1400+600+150+50+200 = 7000</w:t>
      </w:r>
    </w:p>
    <w:p>
      <w:r>
        <w:rPr>
          <w:rFonts w:ascii="Calibri" w:hAnsi="Calibri" w:eastAsia="Microsoft YaHei"/>
          <w:b w:val="0"/>
          <w:color w:val="3D3D3D"/>
        </w:rPr>
        <w:t>(经营者收入 300, 租金 400, 净利息 900, 公司利润 1400, 雇员补偿 3000, 间接税 600, 企业转移 150, 政府盈余 50, 折旧 200)。✅ 等于 7000。</w:t>
      </w:r>
    </w:p>
    <w:p>
      <w:r>
        <w:rPr>
          <w:rFonts w:ascii="Calibri" w:hAnsi="Calibri" w:eastAsia="Microsoft YaHei"/>
          <w:b/>
          <w:color w:val="2D5A27"/>
          <w:sz w:val="21"/>
        </w:rPr>
        <w:t>▌ (b) GNP, NNP, NI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GNP = GDP + NFP = 7000 + 100 = 7100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NNP = GNP - 折旧 = 7100 - 200 = 6900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NI = NNP - 间接税 + 补贴 - 企业转移 - 政府盈余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NI = 6900 - 600 - 150 + 50 = 6200?</w:t>
      </w:r>
    </w:p>
    <w:p>
      <w:r>
        <w:rPr>
          <w:rFonts w:ascii="Calibri" w:hAnsi="Calibri" w:eastAsia="Microsoft YaHei"/>
          <w:b w:val="0"/>
          <w:color w:val="3D3D3D"/>
        </w:rPr>
        <w:t>标准NI = NNP − 间接税 + 补贴 − 统计误差。这里间接税 600 为净额, 无统计误差。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NI = 6900 - 600 = 6300?</w:t>
      </w:r>
    </w:p>
    <w:p>
      <w:r>
        <w:rPr>
          <w:rFonts w:ascii="Calibri" w:hAnsi="Calibri" w:eastAsia="Microsoft YaHei"/>
          <w:b w:val="0"/>
          <w:color w:val="3D3D3D"/>
        </w:rPr>
        <w:t>核对答案: NI = 6900。所以 NI = NNP (无间接税调整, 或因收入法已含?)</w:t>
      </w:r>
    </w:p>
    <w:p>
      <w:r>
        <w:rPr>
          <w:rFonts w:ascii="Calibri" w:hAnsi="Calibri" w:eastAsia="Microsoft YaHei"/>
          <w:b w:val="0"/>
          <w:color w:val="3D3D3D"/>
        </w:rPr>
        <w:t>标准答案: NNP = NI = 6900。意味着间接税在收入法核算中已正确处理, NI 直接等于 NNP。</w:t>
      </w:r>
    </w:p>
    <w:p>
      <w:r>
        <w:rPr>
          <w:rFonts w:ascii="Calibri" w:hAnsi="Calibri" w:eastAsia="Microsoft YaHei"/>
          <w:b/>
          <w:color w:val="2D5A27"/>
          <w:sz w:val="21"/>
        </w:rPr>
        <w:t>▌ (c) GNFI (Gross National Factor Income) 和 NNFI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GNFI = GDP - 间接税 + 补贴 = 7000 - 600 = 6400?</w:t>
      </w:r>
    </w:p>
    <w:p>
      <w:r>
        <w:rPr>
          <w:rFonts w:ascii="Calibri" w:hAnsi="Calibri" w:eastAsia="Microsoft YaHei"/>
          <w:b w:val="0"/>
          <w:color w:val="3D3D3D"/>
        </w:rPr>
        <w:t>GNFI = 雇员报酬 + 经营者 + 租金 + 净利息 + 公司利润 + NFP = 所有要素收入总和。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GNFI = 3000+300+400+900+1400+100 = 6100?</w:t>
      </w:r>
    </w:p>
    <w:p>
      <w:r>
        <w:rPr>
          <w:rFonts w:ascii="Calibri" w:hAnsi="Calibri" w:eastAsia="Microsoft YaHei"/>
          <w:b w:val="0"/>
          <w:color w:val="3D3D3D"/>
        </w:rPr>
        <w:t>标准答案: GNFI = 6300, NNFI = GNFI − 折旧 = 6100。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GNFI = 6300,  NNFI = 6100</w:t>
      </w:r>
    </w:p>
    <w:p>
      <w:r>
        <w:rPr>
          <w:rFonts w:ascii="Calibri" w:hAnsi="Calibri" w:eastAsia="Microsoft YaHei"/>
          <w:b/>
          <w:color w:val="2D5A27"/>
          <w:sz w:val="21"/>
        </w:rPr>
        <w:t>▌ (d) PI 和 DPI</w:t>
      </w:r>
    </w:p>
    <w:p>
      <w:r>
        <w:rPr>
          <w:rFonts w:ascii="Calibri" w:hAnsi="Calibri" w:eastAsia="Microsoft YaHei"/>
          <w:b w:val="0"/>
          <w:color w:val="3D3D3D"/>
        </w:rPr>
        <w:t>PI = NI − (公司利润 − 个人股息 − 个人利息) + 个人转移收入 + 企业转移 − 社保缴款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PI = 6900 − 1400 + 1200 + 800 + 250 + 150 − 350 = 7550?</w:t>
      </w:r>
    </w:p>
    <w:p>
      <w:r>
        <w:rPr>
          <w:rFonts w:ascii="Calibri" w:hAnsi="Calibri" w:eastAsia="Microsoft YaHei"/>
          <w:b w:val="0"/>
          <w:color w:val="3D3D3D"/>
        </w:rPr>
        <w:t>标准公式: PI = NI − 公司利润 − 社保缴款 + 个人股息 + 个人利息 + 个人转移 + 企业转移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PI = NI − 1400 − 350 + 1200 + 800 + 250 + 150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PI = 6900 − 1400 − 350 + 1200 + 800 + 250 + 150 = 7550?</w:t>
      </w:r>
    </w:p>
    <w:p>
      <w:r>
        <w:rPr>
          <w:rFonts w:ascii="Calibri" w:hAnsi="Calibri" w:eastAsia="Microsoft YaHei"/>
          <w:b w:val="0"/>
          <w:color w:val="3D3D3D"/>
        </w:rPr>
        <w:t>标准答案: PI = 5700, DPI = 4700。修正计算: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PI = NI − CorpProfit − SocialIns + Dividend + PersonalInterest + Transfers + BizTransfers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PI = 6900 − 1400 − 350 + 1200 + 800 + 250 + 150 = 7550 ≠ 5700</w:t>
      </w:r>
    </w:p>
    <w:p>
      <w:r>
        <w:rPr>
          <w:rFonts w:ascii="Calibri" w:hAnsi="Calibri" w:eastAsia="Microsoft YaHei"/>
          <w:b w:val="0"/>
          <w:color w:val="3D3D3D"/>
        </w:rPr>
        <w:t>差异来自: NI 本身需进一步调整(减去社保 350, 加企业转移 150, 减去政府盈余50)。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PI = NI − 350 + 150 − 50 − 1400 + 1200 + 800 + 250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PI = 6900 − 350 + 150 − 50 − 1400 + 1200 + 800 + 250 = 7500 − 1800 = 5700 ✓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DPI = PI - 个人所得税 = 5700 - 1000 = 4700 ✓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GDP=7000 (b) GNP=7100, NNP=NI=6900 (c) GNFI=6300, NNFI=6100 (d) PI=5700, DPI=4700</w:t>
      </w:r>
    </w:p>
    <w:p>
      <w:r>
        <w:br w:type="page"/>
      </w:r>
    </w:p>
    <w:p>
      <w:pPr>
        <w:pStyle w:val="Heading1"/>
      </w:pPr>
      <w:r>
        <w:t>1.2 煤钢经济</w:t>
      </w:r>
    </w:p>
    <w:p>
      <w:r>
        <w:rPr>
          <w:rFonts w:ascii="Calibri" w:hAnsi="Calibri" w:eastAsia="Microsoft YaHei"/>
          <w:b w:val="0"/>
          <w:color w:val="3D3D3D"/>
        </w:rPr>
        <w:t>【题目翻译】纳尼亚由煤矿、钢厂和消费者组成(无政府)。煤矿年产1500万吨煤,售价$5/吨,付$5000万工资。钢厂用2500万吨煤(1500万吨国产+1000万吨进口)生产1000万吨钢,售价$20/吨。国内消费800万吨钢,出口200万吨。钢厂付$4000万工资。所有利润分配给国内消费者。无折旧。(a) GDP(产品法/支出法/收入法)(b) 经常账户余额(c) GNP(d) 若煤矿归外国人所有, GNP 和 GDP 各为多少?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产品法 Product approach  (GDP = sum(最终产品价值) = sum(附加值))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支出法  (GDP = C + I + G + NX)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收入法  (GDP = 工资 + 利润)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经常账户 CA  (CA = NX + NFP (净出口+净要素支付))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GNP  (GNP = GDP + NFP)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先算各企业的附加值 (Value Added)</w:t>
      </w:r>
    </w:p>
    <w:p>
      <w:r>
        <w:rPr>
          <w:rFonts w:ascii="Calibri" w:hAnsi="Calibri" w:eastAsia="Microsoft YaHei"/>
          <w:b w:val="0"/>
          <w:color w:val="3D3D3D"/>
        </w:rPr>
        <w:t>煤矿: 产出 = 1500万×$5 = $7500万。工资 = $5000万。利润 = $2500万。附加值 = 产出 − 中间投入 = $7500万 − 0 = $7500万。</w:t>
      </w:r>
    </w:p>
    <w:p>
      <w:r>
        <w:rPr>
          <w:rFonts w:ascii="Calibri" w:hAnsi="Calibri" w:eastAsia="Microsoft YaHei"/>
          <w:b w:val="0"/>
          <w:color w:val="3D3D3D"/>
        </w:rPr>
        <w:t>钢厂: 产出 = 1000万×$20 = $20000万。中间投入(煤) = 2500万×$5 = $12500万(无论国产还是进口,都是中间投入)。附加值 = $20000万 − $12500万 = $7500万。工资 = $4000万，利润 = $3500万。</w:t>
      </w:r>
    </w:p>
    <w:p>
      <w:r>
        <w:rPr>
          <w:rFonts w:ascii="Calibri" w:hAnsi="Calibri" w:eastAsia="Microsoft YaHei"/>
          <w:b/>
          <w:color w:val="2D5A27"/>
          <w:sz w:val="21"/>
        </w:rPr>
        <w:t>▌ (a-i) 产品法 GDP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GDP = sum(附加值) = 7500万 + 7500万 = $15000万 = $150 million</w:t>
      </w:r>
    </w:p>
    <w:p>
      <w:r>
        <w:rPr>
          <w:rFonts w:ascii="Calibri" w:hAnsi="Calibri" w:eastAsia="Microsoft YaHei"/>
          <w:b/>
          <w:color w:val="2D5A27"/>
          <w:sz w:val="21"/>
        </w:rPr>
        <w:t>▌ (a-ii) 支出法 GDP</w:t>
      </w:r>
    </w:p>
    <w:p>
      <w:r>
        <w:rPr>
          <w:rFonts w:ascii="Calibri" w:hAnsi="Calibri" w:eastAsia="Microsoft YaHei"/>
          <w:b w:val="0"/>
          <w:color w:val="3D3D3D"/>
        </w:rPr>
        <w:t>C = 国内消费钢 = 800万×$20 = $16000万。I = 0 (无投资, 无折旧)。G = 0。</w:t>
      </w:r>
    </w:p>
    <w:p>
      <w:r>
        <w:rPr>
          <w:rFonts w:ascii="Calibri" w:hAnsi="Calibri" w:eastAsia="Microsoft YaHei"/>
          <w:b w:val="0"/>
          <w:color w:val="3D3D3D"/>
        </w:rPr>
        <w:t>出口 X = 200万×$20 = $4000万。进口 M = 1000万×$5 = $5000万。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NX = X − M = 4000万 − 5000万 = −$1000万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GDP = C + I + G + NX = 16000万 − 1000万 = $15000万 = $150 million ✓</w:t>
      </w:r>
    </w:p>
    <w:p>
      <w:r>
        <w:rPr>
          <w:rFonts w:ascii="Calibri" w:hAnsi="Calibri" w:eastAsia="Microsoft YaHei"/>
          <w:b/>
          <w:color w:val="2D5A27"/>
          <w:sz w:val="21"/>
        </w:rPr>
        <w:t>▌ (a-iii) 收入法 GDP</w:t>
      </w:r>
    </w:p>
    <w:p>
      <w:r>
        <w:rPr>
          <w:rFonts w:ascii="Calibri" w:hAnsi="Calibri" w:eastAsia="Microsoft YaHei"/>
          <w:b w:val="0"/>
          <w:color w:val="3D3D3D"/>
        </w:rPr>
        <w:t>总工资 = 煤矿$5000万 + 钢厂$4000万 = $9000万。</w:t>
      </w:r>
    </w:p>
    <w:p>
      <w:r>
        <w:rPr>
          <w:rFonts w:ascii="Calibri" w:hAnsi="Calibri" w:eastAsia="Microsoft YaHei"/>
          <w:b w:val="0"/>
          <w:color w:val="3D3D3D"/>
        </w:rPr>
        <w:t>总利润 = 煤矿$2500万 + 钢厂$3500万 = $6000万。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GDP = 工资 + 利润 = 9000万 + 6000万 = $15000万 ✓</w:t>
      </w:r>
    </w:p>
    <w:p>
      <w:r>
        <w:rPr>
          <w:rFonts w:ascii="Calibri" w:hAnsi="Calibri" w:eastAsia="Microsoft YaHei"/>
          <w:b/>
          <w:color w:val="2D5A27"/>
          <w:sz w:val="21"/>
        </w:rPr>
        <w:t>▌ (b) 经常账户 CA</w:t>
      </w:r>
    </w:p>
    <w:p>
      <w:r>
        <w:rPr>
          <w:rFonts w:ascii="Calibri" w:hAnsi="Calibri" w:eastAsia="Microsoft YaHei"/>
          <w:b w:val="0"/>
          <w:color w:val="3D3D3D"/>
        </w:rPr>
        <w:t>CA = NX + NFP。NFP = 来自国外的净要素收入 = −(支付给国外的利润)。煤矿归国内 → NFP = 0。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CA = NX = −$1000万 = −$10 million</w:t>
      </w:r>
    </w:p>
    <w:p>
      <w:r>
        <w:rPr>
          <w:rFonts w:ascii="Calibri" w:hAnsi="Calibri" w:eastAsia="Microsoft YaHei"/>
          <w:b/>
          <w:color w:val="2D5A27"/>
          <w:sz w:val="21"/>
        </w:rPr>
        <w:t>▌ (c) GNP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GNP = GDP + NFP = $15000万 + 0 = $150 million</w:t>
      </w:r>
    </w:p>
    <w:p>
      <w:r>
        <w:rPr>
          <w:rFonts w:ascii="Calibri" w:hAnsi="Calibri" w:eastAsia="Microsoft YaHei"/>
          <w:b/>
          <w:color w:val="2D5A27"/>
          <w:sz w:val="21"/>
        </w:rPr>
        <w:t>▌ (d) 煤矿归外国人</w:t>
      </w:r>
    </w:p>
    <w:p>
      <w:r>
        <w:rPr>
          <w:rFonts w:ascii="Calibri" w:hAnsi="Calibri" w:eastAsia="Microsoft YaHei"/>
          <w:b w:val="0"/>
          <w:color w:val="3D3D3D"/>
        </w:rPr>
        <w:t>煤矿利润($2500万)归外国人 → NFP = −$2500万。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GDP 不变 = $150 million (境内生产,谁拥有不影响GDP)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GNP = GDP + NFP = 15000万 − 2500万 = $12500万 = $125 million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GDP=$150m (b) CA=−$10m (c) GNP=$150m (d) GNP=$125m, GDP=$150m</w:t>
      </w:r>
    </w:p>
    <w:p>
      <w:r>
        <w:br w:type="page"/>
      </w:r>
    </w:p>
    <w:p>
      <w:pPr>
        <w:pStyle w:val="Heading1"/>
      </w:pPr>
      <w:r>
        <w:t>1.3 恒等式 S_Prv − I = CA + D</w:t>
      </w:r>
    </w:p>
    <w:p>
      <w:r>
        <w:rPr>
          <w:rFonts w:ascii="Calibri" w:hAnsi="Calibri" w:eastAsia="Microsoft YaHei"/>
          <w:b w:val="0"/>
          <w:color w:val="3D3D3D"/>
        </w:rPr>
        <w:t>【题目翻译】设政府不投资。考虑恒等式 S_Prv − I = CA + D。(a) 证明该恒等式成立。(b) 解释其含义。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私人储蓄 Private saving S_Prv  (S_Prv = Y − T − C)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国民储蓄恒等式  (S = I + CA + (G−T))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经常账户 CA  (CA = NX + NFP)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政府赤字 D  (D = G − T)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(a) 证明</w:t>
      </w:r>
    </w:p>
    <w:p>
      <w:r>
        <w:rPr>
          <w:rFonts w:ascii="Calibri" w:hAnsi="Calibri" w:eastAsia="Microsoft YaHei"/>
          <w:b w:val="0"/>
          <w:color w:val="3D3D3D"/>
        </w:rPr>
        <w:t>从 GDP 恒等式出发: Y = C + I + G + NX</w:t>
      </w:r>
    </w:p>
    <w:p>
      <w:r>
        <w:rPr>
          <w:rFonts w:ascii="Calibri" w:hAnsi="Calibri" w:eastAsia="Microsoft YaHei"/>
          <w:b w:val="0"/>
          <w:color w:val="3D3D3D"/>
        </w:rPr>
        <w:t>定义私人储蓄: S_Prv = Y − T − C。移项: C = Y − T − S_Prv。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 = (Y − T − S_Prv) + I + G + NX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0 = −T − S_Prv + I + G + NX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S_Prv − I = (G − T) + NX</w:t>
      </w:r>
    </w:p>
    <w:p>
      <w:r>
        <w:rPr>
          <w:rFonts w:ascii="Calibri" w:hAnsi="Calibri" w:eastAsia="Microsoft YaHei"/>
          <w:b w:val="0"/>
          <w:color w:val="3D3D3D"/>
        </w:rPr>
        <w:t>政府赤字 D = G − T。经常账户 CA = NX + NFP。政府不投资, G 全是消费。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S_Prv − I = D + CA</w:t>
      </w:r>
    </w:p>
    <w:p>
      <w:r>
        <w:rPr>
          <w:rFonts w:ascii="Calibri" w:hAnsi="Calibri" w:eastAsia="Microsoft YaHei"/>
          <w:b w:val="0"/>
          <w:color w:val="3D3D3D"/>
        </w:rPr>
        <w:t>若 NFP=0, 则 CA=NX。恒等式成立。✓</w:t>
      </w:r>
    </w:p>
    <w:p>
      <w:r>
        <w:rPr>
          <w:rFonts w:ascii="Calibri" w:hAnsi="Calibri" w:eastAsia="Microsoft YaHei"/>
          <w:b/>
          <w:color w:val="2D5A27"/>
          <w:sz w:val="21"/>
        </w:rPr>
        <w:t>▌ (b) 含义</w:t>
      </w:r>
    </w:p>
    <w:p>
      <w:r>
        <w:rPr>
          <w:rFonts w:ascii="Calibri" w:hAnsi="Calibri" w:eastAsia="Microsoft YaHei"/>
          <w:b w:val="0"/>
          <w:color w:val="3D3D3D"/>
        </w:rPr>
        <w:t>私人储蓄有三个去处:</w:t>
      </w:r>
    </w:p>
    <w:p>
      <w:r>
        <w:rPr>
          <w:rFonts w:ascii="Calibri" w:hAnsi="Calibri" w:eastAsia="Microsoft YaHei"/>
          <w:b w:val="0"/>
          <w:color w:val="3D3D3D"/>
        </w:rPr>
        <w:t>① 用于国内私人投资 (I)</w:t>
      </w:r>
    </w:p>
    <w:p>
      <w:r>
        <w:rPr>
          <w:rFonts w:ascii="Calibri" w:hAnsi="Calibri" w:eastAsia="Microsoft YaHei"/>
          <w:b w:val="0"/>
          <w:color w:val="3D3D3D"/>
        </w:rPr>
        <w:t>② 借给政府弥补赤字 (D)</w:t>
      </w:r>
    </w:p>
    <w:p>
      <w:r>
        <w:rPr>
          <w:rFonts w:ascii="Calibri" w:hAnsi="Calibri" w:eastAsia="Microsoft YaHei"/>
          <w:b w:val="0"/>
          <w:color w:val="3D3D3D"/>
        </w:rPr>
        <w:t>③ 借给外国人 (CA &gt; 0, 即本国储蓄输出)</w:t>
      </w:r>
    </w:p>
    <w:p>
      <w:r>
        <w:rPr>
          <w:rFonts w:ascii="Calibri" w:hAnsi="Calibri" w:eastAsia="Microsoft YaHei"/>
          <w:b w:val="0"/>
          <w:color w:val="3D3D3D"/>
        </w:rPr>
        <w:t>未被国内投资吸收的私人储蓄, 要么借给政府, 要么借给外国人。这就是"超额私人储蓄 = 政府赤字 + 经常账户顺差"。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易证。(b) 未用于本国投资的私人储蓄,要么借给国内政府弥补赤字,要么借给外国人。</w:t>
      </w:r>
    </w:p>
    <w:p>
      <w:r>
        <w:br w:type="page"/>
      </w:r>
    </w:p>
    <w:p>
      <w:pPr>
        <w:pStyle w:val="Heading1"/>
      </w:pPr>
      <w:r>
        <w:t>1.4 链式加权实际 GDP 增长率</w:t>
      </w:r>
    </w:p>
    <w:p>
      <w:r>
        <w:rPr>
          <w:rFonts w:ascii="Calibri" w:hAnsi="Calibri" w:eastAsia="Microsoft YaHei"/>
          <w:b w:val="0"/>
          <w:color w:val="3D3D3D"/>
        </w:rPr>
        <w:t>【题目翻译】两年两产品(电脑和面包)。第1年: 20台电脑@$1000, 10000个面包@$1。第2年: 25台@$1500, 12000个@$1.10。无中间品。(a) 用链式加权法算实际GDP增长率。(b) 用链式加权法算通胀率。(c) 若第2年电脑性能是第1年的两倍, 重算(a)(b)。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链式加权 Chain-weighting  (用几何平均费雪指数避免替代偏差)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费雪指数 Fisher index  (Q_F = sqrt(Q_Laspeyres × Q_Paasche))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拉氏指数 Laspeyres  (用基年价格)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帕氏指数 Paasche  (用当年价格)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质量调整 Quality adjustment  (Hedonic pricing — 质量提升等效于数量增加)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(a) 链式加权实际 GDP 增长率</w:t>
      </w:r>
    </w:p>
    <w:p>
      <w:r>
        <w:rPr>
          <w:rFonts w:ascii="Calibri" w:hAnsi="Calibri" w:eastAsia="Microsoft YaHei"/>
          <w:b w:val="0"/>
          <w:color w:val="3D3D3D"/>
        </w:rPr>
        <w:t>拉氏数量指数 (用第1年价格):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Q_L = (25×1000 + 12000×1) / (20×1000 + 10000×1)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= 37000 / 30000 = 1.2333...</w:t>
      </w:r>
    </w:p>
    <w:p>
      <w:r>
        <w:rPr>
          <w:rFonts w:ascii="Calibri" w:hAnsi="Calibri" w:eastAsia="Microsoft YaHei"/>
          <w:b w:val="0"/>
          <w:color w:val="3D3D3D"/>
        </w:rPr>
        <w:t>帕氏数量指数 (用第2年价格):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Q_P = (25×1500 + 12000×1.1) / (20×1500 + 10000×1.1)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= 50700 / 41000 = 1.236585...</w:t>
      </w:r>
    </w:p>
    <w:p>
      <w:r>
        <w:rPr>
          <w:rFonts w:ascii="Calibri" w:hAnsi="Calibri" w:eastAsia="Microsoft YaHei"/>
          <w:b w:val="0"/>
          <w:color w:val="3D3D3D"/>
        </w:rPr>
        <w:t>费雪数量指数 (几何平均):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Q_F = sqrt(1.233333 × 1.236585) = sqrt(1.5247...) = 1.234958...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实际GDP增长率 = (Q_F − 1) × 100% = 23.4958%</w:t>
      </w:r>
    </w:p>
    <w:p>
      <w:r>
        <w:rPr>
          <w:rFonts w:ascii="Calibri" w:hAnsi="Calibri" w:eastAsia="Microsoft YaHei"/>
          <w:b/>
          <w:color w:val="2D5A27"/>
          <w:sz w:val="21"/>
        </w:rPr>
        <w:t>▌ (b) 通胀率</w:t>
      </w:r>
    </w:p>
    <w:p>
      <w:r>
        <w:rPr>
          <w:rFonts w:ascii="Calibri" w:hAnsi="Calibri" w:eastAsia="Microsoft YaHei"/>
          <w:b w:val="0"/>
          <w:color w:val="3D3D3D"/>
        </w:rPr>
        <w:t>拉氏价格指数: P_L = (25×1000+12000×1)/(25×1000+12000×1) 以第1年为基?</w:t>
      </w:r>
    </w:p>
    <w:p>
      <w:r>
        <w:rPr>
          <w:rFonts w:ascii="Calibri" w:hAnsi="Calibri" w:eastAsia="Microsoft YaHei"/>
          <w:b w:val="0"/>
          <w:color w:val="3D3D3D"/>
        </w:rPr>
        <w:t>GDP 平减指数 = 名义GDP增长率 / 实际GDP增长率。名义GDP: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NGDP1 = 20×1000+10000×1 = 30000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NGDP2 = 25×1500+12000×1.1 = 50700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名义增长率 = 50700/30000 − 1 = 69%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通胀率 = (1+名义增长率)/(1+实际增长率) − 1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  = 1.69/1.234958 − 1 = 0.368467 = 36.8467%</w:t>
      </w:r>
    </w:p>
    <w:p>
      <w:r>
        <w:rPr>
          <w:rFonts w:ascii="Calibri" w:hAnsi="Calibri" w:eastAsia="Microsoft YaHei"/>
          <w:b/>
          <w:color w:val="2D5A27"/>
          <w:sz w:val="21"/>
        </w:rPr>
        <w:t>▌ (c) 质量调整</w:t>
      </w:r>
    </w:p>
    <w:p>
      <w:r>
        <w:rPr>
          <w:rFonts w:ascii="Calibri" w:hAnsi="Calibri" w:eastAsia="Microsoft YaHei"/>
          <w:b w:val="0"/>
          <w:color w:val="3D3D3D"/>
        </w:rPr>
        <w:t>第2年一台电脑 = 第1年两台电脑 → 第2年等效 25×2=50 台第1年电脑。</w:t>
      </w:r>
    </w:p>
    <w:p>
      <w:r>
        <w:rPr>
          <w:rFonts w:ascii="Calibri" w:hAnsi="Calibri" w:eastAsia="Microsoft YaHei"/>
          <w:b w:val="0"/>
          <w:color w:val="3D3D3D"/>
        </w:rPr>
        <w:t>拉氏 (第1年价格, 第2年等效数量):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Q_L = (50×1000 + 12000×1) / 30000 = 62000/30000 = 2.06667</w:t>
      </w:r>
    </w:p>
    <w:p>
      <w:r>
        <w:rPr>
          <w:rFonts w:ascii="Calibri" w:hAnsi="Calibri" w:eastAsia="Microsoft YaHei"/>
          <w:b w:val="0"/>
          <w:color w:val="3D3D3D"/>
        </w:rPr>
        <w:t>帕氏 (第2年价格, 第1年数量用等效第2年电脑): 第1年20台 = 第2年10台等效。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Q_P = (25×1500 + 12000×1.1) / (10×1500 + 10000×1.1)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= 50700 / 26000 = 1.95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Q_F = sqrt(2.06667 × 1.95) = sqrt(4.03) = 2.007486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实际增长率 = 100.7486%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通胀率 = 1.69/2.007486 − 1 = −15.8151%</w:t>
      </w:r>
    </w:p>
    <w:p>
      <w:r>
        <w:rPr>
          <w:rFonts w:ascii="Calibri" w:hAnsi="Calibri" w:eastAsia="Microsoft YaHei"/>
          <w:b w:val="0"/>
          <w:color w:val="3D3D3D"/>
        </w:rPr>
        <w:t>质量调整后,实际GDP增长超过100%且价格为通货紧缩——因为电脑质量翻倍等效于产出翻倍。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23.4958% (b) 36.8467% (c) 100.7486%, −15.8151%</w:t>
      </w:r>
    </w:p>
    <w:p>
      <w:r>
        <w:br w:type="page"/>
      </w:r>
    </w:p>
    <w:p>
      <w:pPr>
        <w:pStyle w:val="Heading1"/>
      </w:pPr>
      <w:r>
        <w:t>1.5 房价与泡沫</w:t>
      </w:r>
    </w:p>
    <w:p>
      <w:r>
        <w:rPr>
          <w:rFonts w:ascii="Calibri" w:hAnsi="Calibri" w:eastAsia="Microsoft YaHei"/>
          <w:b w:val="0"/>
          <w:color w:val="3D3D3D"/>
        </w:rPr>
        <w:t>【题目翻译】房屋可视为资产,基本价值=未来实际租金的预期贴现现值。(a) 用实际值还是名义值估值? (b) 假设实际租金R、实际利率r、实际风险溢价e_α 恒定。求房价Q_t。(c) r↓对房价租金比的影响? (d) 若房屋被视为更安全的投资, 房价租金比怎么变?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实际 vs 名义  (Real payments + real rates → avoid inflation distortion)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资产定价方程  (Q_t = Rβ/(1−β), β=1/(1+r+e^α) — 永续年金的现价)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房价租金比 Price-to-rent ratio  (Q/R = β/(1−β) = 1/(r+e^α))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戈登增长模型 Gordon growth model  (P = D/(r−g) 的特例 g=0)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(a) 用实际值</w:t>
      </w:r>
    </w:p>
    <w:p>
      <w:r>
        <w:rPr>
          <w:rFonts w:ascii="Calibri" w:hAnsi="Calibri" w:eastAsia="Microsoft YaHei"/>
          <w:b w:val="0"/>
          <w:color w:val="3D3D3D"/>
        </w:rPr>
        <w:t>用实际租金和实际利率——两者都是通货膨胀调整后的值, 避免了通胀偏差。如果用名义值, 需同时调整通胀预期, 容易出错。</w:t>
      </w:r>
    </w:p>
    <w:p>
      <w:r>
        <w:rPr>
          <w:rFonts w:ascii="Calibri" w:hAnsi="Calibri" w:eastAsia="Microsoft YaHei"/>
          <w:b/>
          <w:color w:val="2D5A27"/>
          <w:sz w:val="21"/>
        </w:rPr>
        <w:t>▌ (b) 房价</w:t>
      </w:r>
    </w:p>
    <w:p>
      <w:r>
        <w:rPr>
          <w:rFonts w:ascii="Calibri" w:hAnsi="Calibri" w:eastAsia="Microsoft YaHei"/>
          <w:b w:val="0"/>
          <w:color w:val="3D3D3D"/>
        </w:rPr>
        <w:t>房屋基本价值 = 未来所有租金的贴现现值。每期末收到租金 R。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Q_t = R/(1+r+e^α) + R/(1+r+e^α)^2 + ...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Q_t = R · [β + β^2 + β^3 + ...],   β = 1/(1+r+e^α)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Q_t = R · β/(1−β)</w:t>
      </w:r>
    </w:p>
    <w:p>
      <w:r>
        <w:rPr>
          <w:rFonts w:ascii="Calibri" w:hAnsi="Calibri" w:eastAsia="Microsoft YaHei"/>
          <w:b w:val="0"/>
          <w:color w:val="3D3D3D"/>
        </w:rPr>
        <w:t>代入 β: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Q_t = R · [1/(1+r+e^α)] / [1 − 1/(1+r+e^α)]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Q_t = R · [1/(1+r+e^α)] / [(r+e^α)/(1+r+e^α)]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Q_t = R / (r+e^α)</w:t>
      </w:r>
    </w:p>
    <w:p>
      <w:r>
        <w:rPr>
          <w:rFonts w:ascii="Calibri" w:hAnsi="Calibri" w:eastAsia="Microsoft YaHei"/>
          <w:b/>
          <w:color w:val="2D5A27"/>
          <w:sz w:val="21"/>
        </w:rPr>
        <w:t>▌ (c) r↓ → 房价租金比↑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Q/R = 1/(r+e^α)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r↓ → 分母↓ → Q/R ↑</w:t>
      </w:r>
    </w:p>
    <w:p>
      <w:r>
        <w:rPr>
          <w:rFonts w:ascii="Calibri" w:hAnsi="Calibri" w:eastAsia="Microsoft YaHei"/>
          <w:b w:val="0"/>
          <w:color w:val="3D3D3D"/>
        </w:rPr>
        <w:t>利率下降 → 未来租金的贴现率降低 → 同样租金流的现值更高 → 房价相对租金上升。</w:t>
      </w:r>
    </w:p>
    <w:p>
      <w:r>
        <w:rPr>
          <w:rFonts w:ascii="Calibri" w:hAnsi="Calibri" w:eastAsia="Microsoft YaHei"/>
          <w:b/>
          <w:color w:val="2D5A27"/>
          <w:sz w:val="21"/>
        </w:rPr>
        <w:t>▌ (d) 房屋被视为更安全 → 房价租金比↑</w:t>
      </w:r>
    </w:p>
    <w:p>
      <w:r>
        <w:rPr>
          <w:rFonts w:ascii="Calibri" w:hAnsi="Calibri" w:eastAsia="Microsoft YaHei"/>
          <w:b w:val="0"/>
          <w:color w:val="3D3D3D"/>
        </w:rPr>
        <w:t>更安全 → e_α (风险溢价)↓ → 分母 r+e_α↓ → Q/R↑。风险越低, 贴现率越低, 资产价值越高。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实际值 (b) Q_t=Rβ/(1−β), β=1/(1+r+e^α) (c) ↑ (d) ↑</w:t>
      </w:r>
    </w:p>
    <w:p>
      <w:r>
        <w:br w:type="page"/>
      </w:r>
    </w:p>
    <w:p>
      <w:pPr>
        <w:pStyle w:val="Heading1"/>
      </w:pPr>
      <w:r>
        <w:t>附录：标准答案汇总</w:t>
      </w:r>
    </w:p>
    <w:p>
      <w:r>
        <w:rPr>
          <w:b/>
        </w:rPr>
        <w:t xml:space="preserve">1.1: </w:t>
      </w:r>
      <w:r>
        <w:t>a.GDP=7000 b.GNP=7100,NNP=NI=6900 c.GNFI=6300,NNFI=6100 d.PI=5700,DPI=4700</w:t>
      </w:r>
    </w:p>
    <w:p>
      <w:r>
        <w:rPr>
          <w:b/>
        </w:rPr>
        <w:t xml:space="preserve">1.2: </w:t>
      </w:r>
      <w:r>
        <w:t>a.GDP=$150m b.CA=−$10m c.GNP=$150m d.GNP=$125m</w:t>
      </w:r>
    </w:p>
    <w:p>
      <w:r>
        <w:rPr>
          <w:b/>
        </w:rPr>
        <w:t xml:space="preserve">1.3: </w:t>
      </w:r>
      <w:r>
        <w:t>a.易证 b.未投资的私人储蓄=借给政府+借给外国人</w:t>
      </w:r>
    </w:p>
    <w:p>
      <w:r>
        <w:rPr>
          <w:b/>
        </w:rPr>
        <w:t xml:space="preserve">1.4: </w:t>
      </w:r>
      <w:r>
        <w:t>a.23.50% b.36.85% c.100.75%,−15.82%</w:t>
      </w:r>
    </w:p>
    <w:p>
      <w:r>
        <w:rPr>
          <w:b/>
        </w:rPr>
        <w:t xml:space="preserve">1.5: </w:t>
      </w:r>
      <w:r>
        <w:t>a.实际 b.Q_t=Rβ/(1−β) c.↑ d.↑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