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Blueprint for an Interactive Physics Learning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aims to build an interactive educational platform tailored for introductory college physics and as a bridging tool for high school students preparing for university. The platform will use dynamic simulations, gamified progression, and simple comprehension tools to help students overcome common misconceptions and build a strong conceptual foundation in kinematics, dynamics, work, and momentum.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product is accessible, buildable, and directly useful to the target audience, this plan focuses on a streamlined Phase 1 Minimum Viable Product (MVP) covering four core lecture topics.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Landscape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platforms like PhET Interactive Simulations and oPhysics already provide excellent, free physics simulations, they often operate as standalone sandboxes. This platform differentiates itself by actively enforcing a structured pedagogical loop (the Predict-Observe-Explain cycle), integrating gamified progression directly into the learning mechanics, and eventually offering robust LMS-integrated analytics for instructors. It is not just a simulation toy; it is an accountable, interactive curriculum.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Personas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guide the design and complexity of the platform, we will focus on three primary student personas: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Pre-College Bridging Student:</w:t>
      </w:r>
      <w:r w:rsidDel="00000000" w:rsidR="00000000" w:rsidRPr="00000000">
        <w:rPr>
          <w:rFonts w:ascii="Google Sans" w:cs="Google Sans" w:eastAsia="Google Sans" w:hAnsi="Google Sans"/>
          <w:color w:val="1f1f1f"/>
          <w:rtl w:val="0"/>
        </w:rPr>
        <w:t xml:space="preserve"> A high school senior or incoming college freshman looking to get a head start. They need gamified, engaging, and highly contextualized content that bridges the gap between high school algebra-based physics and college-level expectations.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Pre-Med/Life Sciences Student:</w:t>
      </w:r>
      <w:r w:rsidDel="00000000" w:rsidR="00000000" w:rsidRPr="00000000">
        <w:rPr>
          <w:rFonts w:ascii="Google Sans" w:cs="Google Sans" w:eastAsia="Google Sans" w:hAnsi="Google Sans"/>
          <w:color w:val="1f1f1f"/>
          <w:rtl w:val="0"/>
        </w:rPr>
        <w:t xml:space="preserve"> Needs to understand physics to pass introductory requirements and the MCAT. They struggle with the abstract math and need concrete visual representations.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First-Year Engineering/Science Student:</w:t>
      </w:r>
      <w:r w:rsidDel="00000000" w:rsidR="00000000" w:rsidRPr="00000000">
        <w:rPr>
          <w:rFonts w:ascii="Google Sans" w:cs="Google Sans" w:eastAsia="Google Sans" w:hAnsi="Google Sans"/>
          <w:color w:val="1f1f1f"/>
          <w:rtl w:val="0"/>
        </w:rPr>
        <w:t xml:space="preserve"> Concurrently taking Calculus I. They need help connecting mathematical formulas (like derivatives and integrals) to physical realities.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Persona Differentiation (Mode Toggle):</w:t>
      </w:r>
      <w:r w:rsidDel="00000000" w:rsidR="00000000" w:rsidRPr="00000000">
        <w:rPr>
          <w:rFonts w:ascii="Google Sans" w:cs="Google Sans" w:eastAsia="Google Sans" w:hAnsi="Google Sans"/>
          <w:color w:val="1f1f1f"/>
          <w:rtl w:val="0"/>
        </w:rPr>
        <w:t xml:space="preserve"> To accommodate both the pre-meds who struggle with math and the engineering students who need it, the user interface will feature a "Visual/Mathematical" mode toggle. Students can choose to display the underlying calculus and algebraic equations alongside the simulation, or hide the raw math to focus purely on visual intuition and conceptual vectors.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Pedagogical Foundations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platform's design relies on established Physics Education Research (PER) to target pervasive student misconceptions, paired with modern gamification techniques.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Conceptual Comprehension Tools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diving into full simulations, students often need simpler tools to grasp the underlying concepts. The platform will include: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Interactive Concept Scaffolding:</w:t>
      </w:r>
      <w:r w:rsidDel="00000000" w:rsidR="00000000" w:rsidRPr="00000000">
        <w:rPr>
          <w:rFonts w:ascii="Google Sans" w:cs="Google Sans" w:eastAsia="Google Sans" w:hAnsi="Google Sans"/>
          <w:color w:val="1f1f1f"/>
          <w:rtl w:val="0"/>
        </w:rPr>
        <w:t xml:space="preserve"> Complex topics will be broken down into simple, bite-sized units with instant feedback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example, before calculating net force, a simple drag-and-drop tool will ask students to simply match the direction of a force arrow to a real-world scenario.</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Story-Based Context:</w:t>
      </w:r>
      <w:r w:rsidDel="00000000" w:rsidR="00000000" w:rsidRPr="00000000">
        <w:rPr>
          <w:rFonts w:ascii="Google Sans" w:cs="Google Sans" w:eastAsia="Google Sans" w:hAnsi="Google Sans"/>
          <w:color w:val="1f1f1f"/>
          <w:rtl w:val="0"/>
        </w:rPr>
        <w:t xml:space="preserve"> Abstract concepts will be placed within concrete narratives (e.g., space exploration, engineering issues) to make it easier for students to understand how principles translate to everyday life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Slow-Motion and Pause Mechanisms:</w:t>
      </w:r>
      <w:r w:rsidDel="00000000" w:rsidR="00000000" w:rsidRPr="00000000">
        <w:rPr>
          <w:rFonts w:ascii="Google Sans" w:cs="Google Sans" w:eastAsia="Google Sans" w:hAnsi="Google Sans"/>
          <w:color w:val="1f1f1f"/>
          <w:rtl w:val="0"/>
        </w:rPr>
        <w:t xml:space="preserve"> Interactive tools that allow students to freeze time, rewind, and inspect physical states (like momentum vectors mid-collision) to deeply comprehend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an outcome happened.</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Gamification Mechanics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Gamification integrates game elements into the educational process to drastically improve participation, engagement, and motivation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Points, Levels, and Badges:</w:t>
      </w:r>
      <w:r w:rsidDel="00000000" w:rsidR="00000000" w:rsidRPr="00000000">
        <w:rPr>
          <w:rFonts w:ascii="Google Sans" w:cs="Google Sans" w:eastAsia="Google Sans" w:hAnsi="Google Sans"/>
          <w:color w:val="1f1f1f"/>
          <w:rtl w:val="0"/>
        </w:rPr>
        <w:t xml:space="preserve"> Students will earn points for completing modules and unlock themed badges (e.g., earning a "Conservationist" badge for mastering elastic collisions) to reward progress and provide a sense of achievement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avoid the "overjustification effect" (where extrinsic rewards undermine intrinsic motivation), the gamification will lean heavily on mechanics where the game </w:t>
      </w:r>
      <w:r w:rsidDel="00000000" w:rsidR="00000000" w:rsidRPr="00000000">
        <w:rPr>
          <w:rFonts w:ascii="Google Sans" w:cs="Google Sans" w:eastAsia="Google Sans" w:hAnsi="Google Sans"/>
          <w:i w:val="1"/>
          <w:iCs w:val="1"/>
          <w:color w:val="1f1f1f"/>
          <w:rtl w:val="0"/>
        </w:rPr>
        <w:t xml:space="preserve">is</w:t>
      </w:r>
      <w:r w:rsidDel="00000000" w:rsidR="00000000" w:rsidRPr="00000000">
        <w:rPr>
          <w:rFonts w:ascii="Google Sans" w:cs="Google Sans" w:eastAsia="Google Sans" w:hAnsi="Google Sans"/>
          <w:color w:val="1f1f1f"/>
          <w:rtl w:val="0"/>
        </w:rPr>
        <w:t xml:space="preserve"> the learning.</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Trial and Error Safenets:</w:t>
      </w:r>
      <w:r w:rsidDel="00000000" w:rsidR="00000000" w:rsidRPr="00000000">
        <w:rPr>
          <w:rFonts w:ascii="Google Sans" w:cs="Google Sans" w:eastAsia="Google Sans" w:hAnsi="Google Sans"/>
          <w:color w:val="1f1f1f"/>
          <w:rtl w:val="0"/>
        </w:rPr>
        <w:t xml:space="preserve"> The environment will be designed to allow students to fail and try again without academic punishment, a core mechanism in games that fosters a resilient, problem-solving mindset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Healthy Competition:</w:t>
      </w:r>
      <w:r w:rsidDel="00000000" w:rsidR="00000000" w:rsidRPr="00000000">
        <w:rPr>
          <w:rFonts w:ascii="Google Sans" w:cs="Google Sans" w:eastAsia="Google Sans" w:hAnsi="Google Sans"/>
          <w:color w:val="1f1f1f"/>
          <w:rtl w:val="0"/>
        </w:rPr>
        <w:t xml:space="preserve"> Leaderboards will be available to introduce healthy competition, thrilling pre-college students and motivating them to master the subjects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to prevent demotivation among struggling students, leaderboards will be strictly opt-in and designed to show relative progress (e.g., comparing a student to their own past performance or a nearby peer cohort) rather than a rigid global ranking.</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Cognitive Misconceptions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Introductory students often hold intuitive beliefs that conflict with Newtonian mechanics. Our simulations will make physical forces visible to correct these errors.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Pervasive Misconception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Conceptual 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Interactive Simulation Mitigation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Impetus Theory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Belief that motion implies an active, continuous force.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rendering of net force vectors reaching zero while the velocity vector remains constant.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Kinematic Undiscrimination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Conflating velocity and acceleration graphically.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Synchronized plotting of position, velocity, and acceleration graphs to show gradient relationships.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Action-Reaction Asymmetry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Belief that greater mass implies a greater applied force during a collision.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Visualizing collision force vectors as strictly equal in magnitude and opposite in direction.</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Predict-Observe-Explain (POE) Cycle &amp; Assessment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the simulations from becoming passive toys, the platform will structurally enforce the Predict-Observe-Explain (POE) cycle:</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Predict:</w:t>
      </w:r>
      <w:r w:rsidDel="00000000" w:rsidR="00000000" w:rsidRPr="00000000">
        <w:rPr>
          <w:rFonts w:ascii="Google Sans" w:cs="Google Sans" w:eastAsia="Google Sans" w:hAnsi="Google Sans"/>
          <w:color w:val="1f1f1f"/>
          <w:rtl w:val="0"/>
        </w:rPr>
        <w:t xml:space="preserve"> The UI halts and requires the student to answer a multiple-choice or guided-interaction question (e.g., drawing a predicted trajectory).</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Observe:</w:t>
      </w:r>
      <w:r w:rsidDel="00000000" w:rsidR="00000000" w:rsidRPr="00000000">
        <w:rPr>
          <w:rFonts w:ascii="Google Sans" w:cs="Google Sans" w:eastAsia="Google Sans" w:hAnsi="Google Sans"/>
          <w:color w:val="1f1f1f"/>
          <w:rtl w:val="0"/>
        </w:rPr>
        <w:t xml:space="preserve"> The student runs the simulation to see the actual outcome.</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Explain:</w:t>
      </w:r>
      <w:r w:rsidDel="00000000" w:rsidR="00000000" w:rsidRPr="00000000">
        <w:rPr>
          <w:rFonts w:ascii="Google Sans" w:cs="Google Sans" w:eastAsia="Google Sans" w:hAnsi="Google Sans"/>
          <w:color w:val="1f1f1f"/>
          <w:rtl w:val="0"/>
        </w:rPr>
        <w:t xml:space="preserve"> The student reconciles any differences between their prediction and the result using </w:t>
      </w:r>
      <w:r w:rsidDel="00000000" w:rsidR="00000000" w:rsidRPr="00000000">
        <w:rPr>
          <w:rFonts w:ascii="Google Sans" w:cs="Google Sans" w:eastAsia="Google Sans" w:hAnsi="Google Sans"/>
          <w:b w:val="1"/>
          <w:bCs w:val="1"/>
          <w:color w:val="1f1f1f"/>
          <w:rtl w:val="0"/>
        </w:rPr>
        <w:t xml:space="preserve">structured guided prompts</w:t>
      </w:r>
      <w:r w:rsidDel="00000000" w:rsidR="00000000" w:rsidRPr="00000000">
        <w:rPr>
          <w:rFonts w:ascii="Google Sans" w:cs="Google Sans" w:eastAsia="Google Sans" w:hAnsi="Google Sans"/>
          <w:color w:val="1f1f1f"/>
          <w:rtl w:val="0"/>
        </w:rPr>
        <w:t xml:space="preserve">. Rather than using free-text responses that are difficult to evaluate or generic multiple-choice questions, the system will use a sequence of targeted questions (e.g., "Did the block accelerate?" followed by "What does that tell you about the net force?") to guide students to the correct conceptual takeaway.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Formative Assessment &amp; Adaptive Pathways: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Predictions and explanations will be scored automatically where possible, tying directly into the gamified point system. If a student consistently demonstrates mastery, they level up and the system unlocks advanced parameters.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MVP: Curriculum Architecture (4 Core Topics)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will focus exclusively on a core set of highly effective, gamified simulations tailored to the four core lecture topics of a standard introductory syllabus.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Vector Kinematics Grapher (1D)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govern the motion of a particle in one dimension. The interface will generate real-time, synchronized position-time, velocity-time, and acceleration-time graphs.</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Gamification/Comprehension Element:</w:t>
      </w:r>
      <w:r w:rsidDel="00000000" w:rsidR="00000000" w:rsidRPr="00000000">
        <w:rPr>
          <w:rFonts w:ascii="Google Sans" w:cs="Google Sans" w:eastAsia="Google Sans" w:hAnsi="Google Sans"/>
          <w:color w:val="1f1f1f"/>
          <w:rtl w:val="0"/>
        </w:rPr>
        <w:t xml:space="preserve"> A "Graph Match" mini-game where students earn points by adjusting their acceleration sliders in real-time to match a target velocity graph provided by the system.</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Projectile Motion Sandbox (2D)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2D environment demonstrating the independence of orthogonal vectors. Students manipulate initial velocity and launch angle using constant acceleration equations.</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Gamification/Comprehension Element:</w:t>
      </w:r>
      <w:r w:rsidDel="00000000" w:rsidR="00000000" w:rsidRPr="00000000">
        <w:rPr>
          <w:rFonts w:ascii="Google Sans" w:cs="Google Sans" w:eastAsia="Google Sans" w:hAnsi="Google Sans"/>
          <w:color w:val="1f1f1f"/>
          <w:rtl w:val="0"/>
        </w:rPr>
        <w:t xml:space="preserve"> Framed as a story-based mission (e.g., launching relief supplies over a wall). Students use simple interactive crosshairs to predict the landing spot before firing.</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Free-Body Diagram (FBD) on an Incline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place blocks on tilted planes, adjusting the angle and friction coefficients. The tool decomposes the gravitational force into perpendicular and parallel components.</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Gamification/Comprehension Element:</w:t>
      </w:r>
      <w:r w:rsidDel="00000000" w:rsidR="00000000" w:rsidRPr="00000000">
        <w:rPr>
          <w:rFonts w:ascii="Google Sans" w:cs="Google Sans" w:eastAsia="Google Sans" w:hAnsi="Google Sans"/>
          <w:color w:val="1f1f1f"/>
          <w:rtl w:val="0"/>
        </w:rPr>
        <w:t xml:space="preserve"> The simulation will not play until the FBD is perfectly balanced by the student. Instant visual feedback (red/green glowing vectors) will gently guide them if they struggle.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1D Elastic and Inelastic Collisions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simple track where students crash two carts together. They can adjust masses, initial velocities, and the coefficient of restitution, proving that total system momentum is always conserved.</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Gamification/Comprehension Element:</w:t>
      </w:r>
      <w:r w:rsidDel="00000000" w:rsidR="00000000" w:rsidRPr="00000000">
        <w:rPr>
          <w:rFonts w:ascii="Google Sans" w:cs="Google Sans" w:eastAsia="Google Sans" w:hAnsi="Google Sans"/>
          <w:color w:val="1f1f1f"/>
          <w:rtl w:val="0"/>
        </w:rPr>
        <w:t xml:space="preserve"> A slider allows students to pause and "scrub" backward and forward through the millisecond of impact, making the abstract concept of momentum transfer highly visible and concrete.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stack prioritizes simplicity, performance on average student hardware, and rapid development.</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Rendering &amp; Physics:</w:t>
      </w:r>
      <w:r w:rsidDel="00000000" w:rsidR="00000000" w:rsidRPr="00000000">
        <w:rPr>
          <w:rFonts w:ascii="Google Sans" w:cs="Google Sans" w:eastAsia="Google Sans" w:hAnsi="Google Sans"/>
          <w:color w:val="1f1f1f"/>
          <w:rtl w:val="0"/>
        </w:rPr>
        <w:t xml:space="preserve"> We will use </w:t>
      </w:r>
      <w:r w:rsidDel="00000000" w:rsidR="00000000" w:rsidRPr="00000000">
        <w:rPr>
          <w:rFonts w:ascii="Google Sans" w:cs="Google Sans" w:eastAsia="Google Sans" w:hAnsi="Google Sans"/>
          <w:b w:val="1"/>
          <w:bCs w:val="1"/>
          <w:color w:val="1f1f1f"/>
          <w:rtl w:val="0"/>
        </w:rPr>
        <w:t xml:space="preserve">HTML5 Canvas 2D</w:t>
      </w:r>
      <w:r w:rsidDel="00000000" w:rsidR="00000000" w:rsidRPr="00000000">
        <w:rPr>
          <w:rFonts w:ascii="Google Sans" w:cs="Google Sans" w:eastAsia="Google Sans" w:hAnsi="Google Sans"/>
          <w:color w:val="1f1f1f"/>
          <w:rtl w:val="0"/>
        </w:rPr>
        <w:t xml:space="preserve"> and vanilla </w:t>
      </w:r>
      <w:r w:rsidDel="00000000" w:rsidR="00000000" w:rsidRPr="00000000">
        <w:rPr>
          <w:rFonts w:ascii="Google Sans" w:cs="Google Sans" w:eastAsia="Google Sans" w:hAnsi="Google Sans"/>
          <w:b w:val="1"/>
          <w:bCs w:val="1"/>
          <w:color w:val="1f1f1f"/>
          <w:rtl w:val="0"/>
        </w:rPr>
        <w:t xml:space="preserve">TypeScript</w:t>
      </w:r>
      <w:r w:rsidDel="00000000" w:rsidR="00000000" w:rsidRPr="00000000">
        <w:rPr>
          <w:rFonts w:ascii="Google Sans" w:cs="Google Sans" w:eastAsia="Google Sans" w:hAnsi="Google Sans"/>
          <w:color w:val="1f1f1f"/>
          <w:rtl w:val="0"/>
        </w:rPr>
        <w:t xml:space="preserve"> (or React with lightweight state management). Because Phase 1 focuses on constant acceleration, basic kinematics, and 1D/2D collisions, the physics can be solved analytically.</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Backend &amp; Data Persistence:</w:t>
      </w:r>
      <w:r w:rsidDel="00000000" w:rsidR="00000000" w:rsidRPr="00000000">
        <w:rPr>
          <w:rFonts w:ascii="Google Sans" w:cs="Google Sans" w:eastAsia="Google Sans" w:hAnsi="Google Sans"/>
          <w:color w:val="1f1f1f"/>
          <w:rtl w:val="0"/>
        </w:rPr>
        <w:t xml:space="preserve"> To keep the 12-week MVP feasible, Phase 1 will ship as a purely static Progressive Web App (PWA) using localStorage to save student progress, points, and settings. A serverless backend (such as Firebase or Supabase) will be introduced in Phase 2 to handle telemetry, global leaderboards, and instructor dashboards.</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Mobile &amp; Touch Strategy:</w:t>
      </w:r>
      <w:r w:rsidDel="00000000" w:rsidR="00000000" w:rsidRPr="00000000">
        <w:rPr>
          <w:rFonts w:ascii="Google Sans" w:cs="Google Sans" w:eastAsia="Google Sans" w:hAnsi="Google Sans"/>
          <w:color w:val="1f1f1f"/>
          <w:rtl w:val="0"/>
        </w:rPr>
        <w:t xml:space="preserve"> The UI will be built mobile-first. Sliders, vector-dragging interactions, and buttons will be sized and optimized for touch events.</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Offline Support:</w:t>
      </w:r>
      <w:r w:rsidDel="00000000" w:rsidR="00000000" w:rsidRPr="00000000">
        <w:rPr>
          <w:rFonts w:ascii="Google Sans" w:cs="Google Sans" w:eastAsia="Google Sans" w:hAnsi="Google Sans"/>
          <w:color w:val="1f1f1f"/>
          <w:rtl w:val="0"/>
        </w:rPr>
        <w:t xml:space="preserve"> Service Workers will cache the application shell, simulation logic, and static assets, allowing students with poor internet connections to use the tools offline.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Antigravity Development Workflow</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will be built using the Antigravity 2.0 IDE, leveraging its AI agent ecosystem to accelerate coding and testing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Open Agent Manager:</w:t>
      </w:r>
      <w:r w:rsidDel="00000000" w:rsidR="00000000" w:rsidRPr="00000000">
        <w:rPr>
          <w:rFonts w:ascii="Google Sans" w:cs="Google Sans" w:eastAsia="Google Sans" w:hAnsi="Google Sans"/>
          <w:color w:val="1f1f1f"/>
          <w:rtl w:val="0"/>
        </w:rPr>
        <w:t xml:space="preserve"> Antigravity allows us to spin up multiple parallel agents inside dedicated Projects with scoped settings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example, one agent can focus on writing the TypeScript physics logic while another concurrently builds the React UI components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Voice Transcription:</w:t>
      </w:r>
      <w:r w:rsidDel="00000000" w:rsidR="00000000" w:rsidRPr="00000000">
        <w:rPr>
          <w:rFonts w:ascii="Google Sans" w:cs="Google Sans" w:eastAsia="Google Sans" w:hAnsi="Google Sans"/>
          <w:color w:val="1f1f1f"/>
          <w:rtl w:val="0"/>
        </w:rPr>
        <w:t xml:space="preserve"> To maintain flow state, developers can use the built-in voice transcription (Ctrl+M) to prompt agents naturally; the system automatically cleans up pauses and filler words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Artifact Review:</w:t>
      </w:r>
      <w:r w:rsidDel="00000000" w:rsidR="00000000" w:rsidRPr="00000000">
        <w:rPr>
          <w:rFonts w:ascii="Google Sans" w:cs="Google Sans" w:eastAsia="Google Sans" w:hAnsi="Google Sans"/>
          <w:color w:val="1f1f1f"/>
          <w:rtl w:val="0"/>
        </w:rPr>
        <w:t xml:space="preserve"> As agents write code or plan architectures, they generate structured Artifacts. Developers can highlight specific lines of code or text in these plans and leave Google Docs-style comments to guide the agent's next iteration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Browser Subagent for Testing:</w:t>
      </w:r>
      <w:r w:rsidDel="00000000" w:rsidR="00000000" w:rsidRPr="00000000">
        <w:rPr>
          <w:rFonts w:ascii="Google Sans" w:cs="Google Sans" w:eastAsia="Google Sans" w:hAnsi="Google Sans"/>
          <w:color w:val="1f1f1f"/>
          <w:rtl w:val="0"/>
        </w:rPr>
        <w:t xml:space="preserve"> Instead of manual UI testing, we will invoke the /browser command. The browser subagent integrates with Chrome DevTools to autonomously test the canvas interactions, verifying slider inputs and graph outputs, and will provide .webm video recordings of the tests for the developer to review</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Feasibility and Execution</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 and Timeline</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Team Composition:</w:t>
      </w:r>
      <w:r w:rsidDel="00000000" w:rsidR="00000000" w:rsidRPr="00000000">
        <w:rPr>
          <w:rFonts w:ascii="Google Sans" w:cs="Google Sans" w:eastAsia="Google Sans" w:hAnsi="Google Sans"/>
          <w:color w:val="1f1f1f"/>
          <w:rtl w:val="0"/>
        </w:rPr>
        <w:t xml:space="preserve"> 1 Lead Developer (leveraging Antigravity), 1 Physics Subject Matter Expert (SME), and 1 Part-time UI/UX Designer.</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1 MVP Timeline (12 Weeks):</w:t>
      </w:r>
    </w:p>
    <w:p w:rsidR="00000000" w:rsidDel="00000000" w:rsidP="00000000" w:rsidRDefault="00000000" w:rsidRPr="00000000" w14:paraId="0000004B">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Weeks 1-2:</w:t>
      </w:r>
      <w:r w:rsidDel="00000000" w:rsidR="00000000" w:rsidRPr="00000000">
        <w:rPr>
          <w:rFonts w:ascii="Google Sans" w:cs="Google Sans" w:eastAsia="Google Sans" w:hAnsi="Google Sans"/>
          <w:color w:val="1f1f1f"/>
          <w:rtl w:val="0"/>
        </w:rPr>
        <w:t xml:space="preserve"> UI/UX design, gamification mechanics mapping, and architecture decisions (PWA/localStorage structure).</w:t>
      </w:r>
    </w:p>
    <w:p w:rsidR="00000000" w:rsidDel="00000000" w:rsidP="00000000" w:rsidRDefault="00000000" w:rsidRPr="00000000" w14:paraId="0000004C">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Weeks 3-8:</w:t>
      </w:r>
      <w:r w:rsidDel="00000000" w:rsidR="00000000" w:rsidRPr="00000000">
        <w:rPr>
          <w:rFonts w:ascii="Google Sans" w:cs="Google Sans" w:eastAsia="Google Sans" w:hAnsi="Google Sans"/>
          <w:color w:val="1f1f1f"/>
          <w:rtl w:val="0"/>
        </w:rPr>
        <w:t xml:space="preserve"> Core physics logic, Canvas 2D rendering, POE cycle implementation, and basic progress tracking.</w:t>
      </w:r>
    </w:p>
    <w:p w:rsidR="00000000" w:rsidDel="00000000" w:rsidP="00000000" w:rsidRDefault="00000000" w:rsidRPr="00000000" w14:paraId="0000004D">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Weeks 9-10:</w:t>
      </w:r>
      <w:r w:rsidDel="00000000" w:rsidR="00000000" w:rsidRPr="00000000">
        <w:rPr>
          <w:rFonts w:ascii="Google Sans" w:cs="Google Sans" w:eastAsia="Google Sans" w:hAnsi="Google Sans"/>
          <w:color w:val="1f1f1f"/>
          <w:rtl w:val="0"/>
        </w:rPr>
        <w:t xml:space="preserve"> Accessibility remediation, complete QA, and Service Worker PWA setup.</w:t>
      </w:r>
    </w:p>
    <w:p w:rsidR="00000000" w:rsidDel="00000000" w:rsidP="00000000" w:rsidRDefault="00000000" w:rsidRPr="00000000" w14:paraId="0000004E">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Weeks 11-12:</w:t>
      </w:r>
      <w:r w:rsidDel="00000000" w:rsidR="00000000" w:rsidRPr="00000000">
        <w:rPr>
          <w:rFonts w:ascii="Google Sans" w:cs="Google Sans" w:eastAsia="Google Sans" w:hAnsi="Google Sans"/>
          <w:color w:val="1f1f1f"/>
          <w:rtl w:val="0"/>
        </w:rPr>
        <w:t xml:space="preserve"> Deployment and initial user testing with a small student cohort.</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2 Pipeline:</w:t>
      </w:r>
      <w:r w:rsidDel="00000000" w:rsidR="00000000" w:rsidRPr="00000000">
        <w:rPr>
          <w:rFonts w:ascii="Google Sans" w:cs="Google Sans" w:eastAsia="Google Sans" w:hAnsi="Google Sans"/>
          <w:color w:val="1f1f1f"/>
          <w:rtl w:val="0"/>
        </w:rPr>
        <w:t xml:space="preserve"> Introduce the serverless backend, LTI 1.3 LMS integration, cross-device state management, instructor dashboards, and global leaderboards.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 Assurance and Deployment</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Testing:</w:t>
      </w:r>
      <w:r w:rsidDel="00000000" w:rsidR="00000000" w:rsidRPr="00000000">
        <w:rPr>
          <w:rFonts w:ascii="Google Sans" w:cs="Google Sans" w:eastAsia="Google Sans" w:hAnsi="Google Sans"/>
          <w:color w:val="1f1f1f"/>
          <w:rtl w:val="0"/>
        </w:rPr>
        <w:t xml:space="preserve"> We will use Jest for unit testing the analytical physics functions. Axe-core will be run in CI/CD pipelines to ensure WCAG accessibility. Antigravity's browser subagent will handle end-to-end visual tests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Deployment:</w:t>
      </w:r>
      <w:r w:rsidDel="00000000" w:rsidR="00000000" w:rsidRPr="00000000">
        <w:rPr>
          <w:rFonts w:ascii="Google Sans" w:cs="Google Sans" w:eastAsia="Google Sans" w:hAnsi="Google Sans"/>
          <w:color w:val="1f1f1f"/>
          <w:rtl w:val="0"/>
        </w:rPr>
        <w:t xml:space="preserve"> The application will be hosted on a global CDN (like Vercel or Netlify) to ensure fast, scalable delivery of the static PWA payload to university networks.</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and Compliance</w:t>
      </w:r>
    </w:p>
    <w:p w:rsidR="00000000" w:rsidDel="00000000" w:rsidP="00000000" w:rsidRDefault="00000000" w:rsidRPr="00000000" w14:paraId="0000005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LTI 1.3 Advantage Integration (Phase 2):</w:t>
      </w:r>
      <w:r w:rsidDel="00000000" w:rsidR="00000000" w:rsidRPr="00000000">
        <w:rPr>
          <w:rFonts w:ascii="Google Sans" w:cs="Google Sans" w:eastAsia="Google Sans" w:hAnsi="Google Sans"/>
          <w:color w:val="1f1f1f"/>
          <w:rtl w:val="0"/>
        </w:rPr>
        <w:t xml:space="preserve"> The application will use OAuth2 and OpenID Connect (OIDC) for secure Single Sign-On (SSO) with the university's LMS. Grades and gamified scores from the POE cycles will sync automatically to the LMS gradebook once the backend is established in Phase 2.</w:t>
      </w:r>
    </w:p>
    <w:p w:rsidR="00000000" w:rsidDel="00000000" w:rsidP="00000000" w:rsidRDefault="00000000" w:rsidRPr="00000000" w14:paraId="0000005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Accessibility (WCAG 2.1 AA):</w:t>
      </w:r>
      <w:r w:rsidDel="00000000" w:rsidR="00000000" w:rsidRPr="00000000">
        <w:rPr>
          <w:rFonts w:ascii="Google Sans" w:cs="Google Sans" w:eastAsia="Google Sans" w:hAnsi="Google Sans"/>
          <w:color w:val="1f1f1f"/>
          <w:rtl w:val="0"/>
        </w:rPr>
        <w:t xml:space="preserve"> All interactive controls will be fully operable via keyboard. Vector arrows will use distinct visual patterns (not just color), and mathematical formulas will be encoded using MathML for screen reader support.</w:t>
      </w:r>
    </w:p>
    <w:p w:rsidR="00000000" w:rsidDel="00000000" w:rsidP="00000000" w:rsidRDefault="00000000" w:rsidRPr="00000000" w14:paraId="0000005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PDPA Compliance:</w:t>
      </w:r>
      <w:r w:rsidDel="00000000" w:rsidR="00000000" w:rsidRPr="00000000">
        <w:rPr>
          <w:rFonts w:ascii="Google Sans" w:cs="Google Sans" w:eastAsia="Google Sans" w:hAnsi="Google Sans"/>
          <w:color w:val="1f1f1f"/>
          <w:rtl w:val="0"/>
        </w:rPr>
        <w:t xml:space="preserve"> To adhere to the Personal Data Protection Act (PDPA), all student telemetry and usage data collected in Phase 2 will be anonymized on collection.</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Integration of Gamification-Based Learning into College Physics, </w:t>
      </w:r>
      <w:hyperlink r:id="rId6">
        <w:r w:rsidDel="00000000" w:rsidR="00000000" w:rsidRPr="00000000">
          <w:rPr>
            <w:rFonts w:ascii="Google Sans" w:cs="Google Sans" w:eastAsia="Google Sans" w:hAnsi="Google Sans"/>
            <w:color w:val="0000ee"/>
            <w:sz w:val="24"/>
            <w:szCs w:val="24"/>
            <w:u w:val="single"/>
            <w:rtl w:val="0"/>
          </w:rPr>
          <w:t xml:space="preserve">https://jisem-journal.com/index.php/journal/article/download/12532/5811</w:t>
        </w:r>
      </w:hyperlink>
      <w:r w:rsidDel="00000000" w:rsidR="00000000" w:rsidRPr="00000000">
        <w:rPr>
          <w:rtl w:val="0"/>
        </w:rPr>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Integration of Gamification-Based Learning into College Physics,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https://www.researchgate.net/publication/394819482_Integration_of_Gamification-Based_Learning_into_College_Physics_Digital_Applications_and_Strategies</w:t>
        </w:r>
      </w:hyperlink>
      <w:r w:rsidDel="00000000" w:rsidR="00000000" w:rsidRPr="00000000">
        <w:rPr>
          <w:rtl w:val="0"/>
        </w:rPr>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Gamification and Game-Based Learning | Centre for Teaching, </w:t>
      </w:r>
      <w:hyperlink r:id="rId8">
        <w:r w:rsidDel="00000000" w:rsidR="00000000" w:rsidRPr="00000000">
          <w:rPr>
            <w:rFonts w:ascii="Google Sans" w:cs="Google Sans" w:eastAsia="Google Sans" w:hAnsi="Google Sans"/>
            <w:color w:val="0000ee"/>
            <w:sz w:val="24"/>
            <w:szCs w:val="24"/>
            <w:u w:val="single"/>
            <w:rtl w:val="0"/>
          </w:rPr>
          <w:t xml:space="preserve">https://uwaterloo.ca/centre-for-teaching-excellence/catalogs/tip-sheets/gamification-and-game-based-learning</w:t>
        </w:r>
      </w:hyperlink>
      <w:r w:rsidDel="00000000" w:rsidR="00000000" w:rsidRPr="00000000">
        <w:rPr>
          <w:rtl w:val="0"/>
        </w:rPr>
      </w:r>
    </w:p>
    <w:p w:rsidR="00000000" w:rsidDel="00000000" w:rsidP="00000000" w:rsidRDefault="00000000" w:rsidRPr="00000000" w14:paraId="0000005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Gamification and its Impact on Learning Fundamental Physics, </w:t>
      </w:r>
      <w:hyperlink r:id="rId9">
        <w:r w:rsidDel="00000000" w:rsidR="00000000" w:rsidRPr="00000000">
          <w:rPr>
            <w:rFonts w:ascii="Google Sans" w:cs="Google Sans" w:eastAsia="Google Sans" w:hAnsi="Google Sans"/>
            <w:color w:val="0000ee"/>
            <w:sz w:val="24"/>
            <w:szCs w:val="24"/>
            <w:u w:val="single"/>
            <w:rtl w:val="0"/>
          </w:rPr>
          <w:t xml:space="preserve">https://kwpublications.com/papers_submitted/11628/gamification-and-its-impact-on-learning-fundamental-physics-a-meta-analysis.pdf</w:t>
        </w:r>
      </w:hyperlink>
      <w:r w:rsidDel="00000000" w:rsidR="00000000" w:rsidRPr="00000000">
        <w:rPr>
          <w:rtl w:val="0"/>
        </w:rPr>
      </w:r>
    </w:p>
    <w:p w:rsidR="00000000" w:rsidDel="00000000" w:rsidP="00000000" w:rsidRDefault="00000000" w:rsidRPr="00000000" w14:paraId="0000005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Gamification of Web Based Learning Environment for Physics, </w:t>
      </w:r>
      <w:hyperlink r:id="rId10">
        <w:r w:rsidDel="00000000" w:rsidR="00000000" w:rsidRPr="00000000">
          <w:rPr>
            <w:rFonts w:ascii="Google Sans" w:cs="Google Sans" w:eastAsia="Google Sans" w:hAnsi="Google Sans"/>
            <w:color w:val="0000ee"/>
            <w:sz w:val="24"/>
            <w:szCs w:val="24"/>
            <w:u w:val="single"/>
            <w:rtl w:val="0"/>
          </w:rPr>
          <w:t xml:space="preserve">https://papers.iafor.org/wp-content/uploads/papers/acset2014/ACSET2014_05847.pdf</w:t>
        </w:r>
      </w:hyperlink>
      <w:r w:rsidDel="00000000" w:rsidR="00000000" w:rsidRPr="00000000">
        <w:rPr>
          <w:rtl w:val="0"/>
        </w:rPr>
      </w:r>
    </w:p>
    <w:p w:rsidR="00000000" w:rsidDel="00000000" w:rsidP="00000000" w:rsidRDefault="00000000" w:rsidRPr="00000000" w14:paraId="0000005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Google Antigravity Docs, </w:t>
      </w:r>
      <w:hyperlink r:id="rId11">
        <w:r w:rsidDel="00000000" w:rsidR="00000000" w:rsidRPr="00000000">
          <w:rPr>
            <w:rFonts w:ascii="Google Sans" w:cs="Google Sans" w:eastAsia="Google Sans" w:hAnsi="Google Sans"/>
            <w:color w:val="0000ee"/>
            <w:sz w:val="24"/>
            <w:szCs w:val="24"/>
            <w:u w:val="single"/>
            <w:rtl w:val="0"/>
          </w:rPr>
          <w:t xml:space="preserve">https://antigravity.google/docs/home/</w:t>
        </w:r>
      </w:hyperlink>
      <w:r w:rsidDel="00000000" w:rsidR="00000000" w:rsidRPr="00000000">
        <w:rPr>
          <w:rtl w:val="0"/>
        </w:rPr>
      </w:r>
    </w:p>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Overview | Google Antigravity Docs, </w:t>
      </w:r>
      <w:hyperlink r:id="rId12">
        <w:r w:rsidDel="00000000" w:rsidR="00000000" w:rsidRPr="00000000">
          <w:rPr>
            <w:rFonts w:ascii="Google Sans" w:cs="Google Sans" w:eastAsia="Google Sans" w:hAnsi="Google Sans"/>
            <w:color w:val="0000ee"/>
            <w:sz w:val="24"/>
            <w:szCs w:val="24"/>
            <w:u w:val="single"/>
            <w:rtl w:val="0"/>
          </w:rPr>
          <w:t xml:space="preserve">https://antigravity.google/docs/features/</w:t>
        </w:r>
      </w:hyperlink>
      <w:r w:rsidDel="00000000" w:rsidR="00000000" w:rsidRPr="00000000">
        <w:rPr>
          <w:rtl w:val="0"/>
        </w:rPr>
      </w:r>
    </w:p>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5 Key Features of the Next-Gen Agentic IDE, </w:t>
      </w:r>
      <w:hyperlink r:id="rId13">
        <w:r w:rsidDel="00000000" w:rsidR="00000000" w:rsidRPr="00000000">
          <w:rPr>
            <w:rFonts w:ascii="Google Sans" w:cs="Google Sans" w:eastAsia="Google Sans" w:hAnsi="Google Sans"/>
            <w:color w:val="0000ee"/>
            <w:sz w:val="24"/>
            <w:szCs w:val="24"/>
            <w:u w:val="single"/>
            <w:rtl w:val="0"/>
          </w:rPr>
          <w:t xml:space="preserve">https://zeabur.com/blogs/google-antigravity-agentic-ide-features</w:t>
        </w:r>
      </w:hyperlink>
      <w:r w:rsidDel="00000000" w:rsidR="00000000" w:rsidRPr="00000000">
        <w:rPr>
          <w:rtl w:val="0"/>
        </w:rPr>
      </w:r>
    </w:p>
    <w:p w:rsidR="00000000" w:rsidDel="00000000" w:rsidP="00000000" w:rsidRDefault="00000000" w:rsidRPr="00000000" w14:paraId="0000006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 IDE Overview, </w:t>
      </w:r>
      <w:hyperlink r:id="rId14">
        <w:r w:rsidDel="00000000" w:rsidR="00000000" w:rsidRPr="00000000">
          <w:rPr>
            <w:rFonts w:ascii="Google Sans" w:cs="Google Sans" w:eastAsia="Google Sans" w:hAnsi="Google Sans"/>
            <w:color w:val="0000ee"/>
            <w:sz w:val="24"/>
            <w:szCs w:val="24"/>
            <w:u w:val="single"/>
            <w:rtl w:val="0"/>
          </w:rPr>
          <w:t xml:space="preserve">https://antigravity.google/docs/ide/overview/</w:t>
        </w:r>
      </w:hyperlink>
      <w:r w:rsidDel="00000000" w:rsidR="00000000" w:rsidRPr="00000000">
        <w:rPr>
          <w:rtl w:val="0"/>
        </w:rPr>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The Agentic Development Platform Transforming, </w:t>
      </w:r>
      <w:hyperlink r:id="rId15">
        <w:r w:rsidDel="00000000" w:rsidR="00000000" w:rsidRPr="00000000">
          <w:rPr>
            <w:rFonts w:ascii="Google Sans" w:cs="Google Sans" w:eastAsia="Google Sans" w:hAnsi="Google Sans"/>
            <w:color w:val="0000ee"/>
            <w:sz w:val="24"/>
            <w:szCs w:val="24"/>
            <w:u w:val="single"/>
            <w:rtl w:val="0"/>
          </w:rPr>
          <w:t xml:space="preserve">https://deepfa.ir/en/blog/google-antigravity-agentic-ide-development-platform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ntigravity.google/docs/home/" TargetMode="External"/><Relationship Id="rId10" Type="http://schemas.openxmlformats.org/officeDocument/2006/relationships/hyperlink" Target="https://papers.iafor.org/wp-content/uploads/papers/acset2014/ACSET2014_05847.pdf" TargetMode="External"/><Relationship Id="rId13" Type="http://schemas.openxmlformats.org/officeDocument/2006/relationships/hyperlink" Target="https://zeabur.com/blogs/google-antigravity-agentic-ide-features" TargetMode="External"/><Relationship Id="rId12" Type="http://schemas.openxmlformats.org/officeDocument/2006/relationships/hyperlink" Target="https://antigravity.google/docs/featu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wpublications.com/papers_submitted/11628/gamification-and-its-impact-on-learning-fundamental-physics-a-meta-analysis.pdf" TargetMode="External"/><Relationship Id="rId15" Type="http://schemas.openxmlformats.org/officeDocument/2006/relationships/hyperlink" Target="https://deepfa.ir/en/blog/google-antigravity-agentic-ide-development-platform" TargetMode="External"/><Relationship Id="rId14" Type="http://schemas.openxmlformats.org/officeDocument/2006/relationships/hyperlink" Target="https://antigravity.google/docs/ide/overview/" TargetMode="External"/><Relationship Id="rId5" Type="http://schemas.openxmlformats.org/officeDocument/2006/relationships/styles" Target="styles.xml"/><Relationship Id="rId6" Type="http://schemas.openxmlformats.org/officeDocument/2006/relationships/hyperlink" Target="https://jisem-journal.com/index.php/journal/article/download/12532/5811" TargetMode="External"/><Relationship Id="rId7" Type="http://schemas.openxmlformats.org/officeDocument/2006/relationships/hyperlink" Target="https://www.researchgate.net/publication/394819482_Integration_of_Gamification-Based_Learning_into_College_Physics_Digital_Applications_and_Strategies" TargetMode="External"/><Relationship Id="rId8" Type="http://schemas.openxmlformats.org/officeDocument/2006/relationships/hyperlink" Target="https://uwaterloo.ca/centre-for-teaching-excellence/catalogs/tip-sheets/gamification-and-game-based-lear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