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EFFE" w14:textId="14FB1055" w:rsidR="00A7394B" w:rsidRDefault="00E465D6" w:rsidP="00A7394B">
      <w:pPr>
        <w:spacing w:line="360" w:lineRule="auto"/>
      </w:pPr>
      <w:bookmarkStart w:id="0" w:name="_GoBack"/>
      <w:bookmarkEnd w:id="0"/>
      <w:r w:rsidRPr="0063687C">
        <w:rPr>
          <w:highlight w:val="yellow"/>
        </w:rPr>
        <w:t>a) Statement Coverag</w:t>
      </w:r>
      <w:r w:rsidR="0063687C" w:rsidRPr="0063687C">
        <w:rPr>
          <w:highlight w:val="yellow"/>
        </w:rPr>
        <w:t xml:space="preserve">e </w:t>
      </w:r>
      <w:r w:rsidR="00EC5FBF">
        <w:rPr>
          <w:highlight w:val="yellow"/>
        </w:rPr>
        <w:t>for</w:t>
      </w:r>
      <w:r w:rsidR="0063687C" w:rsidRPr="0063687C">
        <w:rPr>
          <w:highlight w:val="yellow"/>
        </w:rPr>
        <w:t xml:space="preserve"> T?</w:t>
      </w:r>
    </w:p>
    <w:p w14:paraId="18FB6F86" w14:textId="0BC5D8C6" w:rsidR="00E465D6" w:rsidRDefault="00E465D6" w:rsidP="00A7394B">
      <w:pPr>
        <w:spacing w:line="360" w:lineRule="auto"/>
      </w:pPr>
      <w:r>
        <w:t>D</w:t>
      </w:r>
      <w:r>
        <w:rPr>
          <w:vertAlign w:val="subscript"/>
        </w:rPr>
        <w:t>S</w:t>
      </w:r>
      <w:r>
        <w:t xml:space="preserve"> = {</w:t>
      </w:r>
      <w:r w:rsidRPr="0063687C">
        <w:rPr>
          <w:strike/>
        </w:rPr>
        <w:t>1, 2, 4</w:t>
      </w:r>
      <w:r>
        <w:t xml:space="preserve">, </w:t>
      </w:r>
      <w:r w:rsidRPr="0063687C">
        <w:rPr>
          <w:strike/>
        </w:rPr>
        <w:t>6, 7</w:t>
      </w:r>
      <w:r>
        <w:t xml:space="preserve">, </w:t>
      </w:r>
      <w:r w:rsidRPr="0063687C">
        <w:rPr>
          <w:strike/>
        </w:rPr>
        <w:t>9, 10</w:t>
      </w:r>
      <w:r>
        <w:t xml:space="preserve">, </w:t>
      </w:r>
      <w:r w:rsidRPr="00E465D6">
        <w:rPr>
          <w:color w:val="FF0000"/>
        </w:rPr>
        <w:t>11</w:t>
      </w:r>
      <w:r>
        <w:t xml:space="preserve">, </w:t>
      </w:r>
      <w:r w:rsidRPr="0063687C">
        <w:rPr>
          <w:strike/>
        </w:rPr>
        <w:t>12</w:t>
      </w:r>
      <w:r>
        <w:t xml:space="preserve">, </w:t>
      </w:r>
      <w:r w:rsidRPr="0063687C">
        <w:rPr>
          <w:strike/>
        </w:rPr>
        <w:t>16, 17</w:t>
      </w:r>
      <w:r>
        <w:t xml:space="preserve">, </w:t>
      </w:r>
      <w:r w:rsidRPr="00E465D6">
        <w:rPr>
          <w:color w:val="FF0000"/>
        </w:rPr>
        <w:t>18</w:t>
      </w:r>
      <w:r>
        <w:t xml:space="preserve">, </w:t>
      </w:r>
      <w:r w:rsidRPr="0063687C">
        <w:rPr>
          <w:strike/>
        </w:rPr>
        <w:t>20, 21, 23</w:t>
      </w:r>
      <w:r>
        <w:t xml:space="preserve">, </w:t>
      </w:r>
      <w:r w:rsidRPr="0063687C">
        <w:rPr>
          <w:color w:val="4472C4" w:themeColor="accent1"/>
        </w:rPr>
        <w:t>26</w:t>
      </w:r>
      <w:r>
        <w:t xml:space="preserve">, </w:t>
      </w:r>
      <w:r w:rsidRPr="0063687C">
        <w:rPr>
          <w:strike/>
        </w:rPr>
        <w:t>27</w:t>
      </w:r>
      <w:r>
        <w:t>}</w:t>
      </w:r>
    </w:p>
    <w:p w14:paraId="4019E977" w14:textId="7E56C220" w:rsidR="00E465D6" w:rsidRPr="00BD1916" w:rsidRDefault="00E465D6" w:rsidP="00A7394B">
      <w:pPr>
        <w:spacing w:line="360" w:lineRule="auto"/>
        <w:rPr>
          <w:color w:val="FF0000"/>
        </w:rPr>
      </w:pPr>
      <w:r>
        <w:t>D</w:t>
      </w:r>
      <w:r>
        <w:rPr>
          <w:vertAlign w:val="subscript"/>
        </w:rPr>
        <w:t>S</w:t>
      </w:r>
      <w:r>
        <w:t xml:space="preserve"> = |17|</w:t>
      </w:r>
      <w:r w:rsidR="00BD1916">
        <w:t xml:space="preserve"> </w:t>
      </w:r>
      <w:r w:rsidR="00BD1916">
        <w:sym w:font="Wingdings" w:char="F0E0"/>
      </w:r>
      <w:r w:rsidR="00BD1916">
        <w:t xml:space="preserve"> </w:t>
      </w:r>
      <w:r w:rsidR="00BD1916">
        <w:rPr>
          <w:color w:val="FF0000"/>
        </w:rPr>
        <w:t>2 infeasible conditions</w:t>
      </w:r>
    </w:p>
    <w:p w14:paraId="0EA718D5" w14:textId="6E8C33F3" w:rsidR="00F348E7" w:rsidRPr="00EC5FBF" w:rsidRDefault="007D1D46" w:rsidP="00A7394B">
      <w:pPr>
        <w:spacing w:line="360" w:lineRule="auto"/>
        <w:rPr>
          <w:b/>
          <w:bCs w:val="0"/>
        </w:rPr>
      </w:pPr>
      <w:r w:rsidRPr="00EC5FBF">
        <w:rPr>
          <w:b/>
          <w:bCs w:val="0"/>
        </w:rPr>
        <w:t>Statement Coverage = 14/(17-2) = 14/15</w:t>
      </w:r>
    </w:p>
    <w:p w14:paraId="13B1E365" w14:textId="3A13E1E9" w:rsidR="0063687C" w:rsidRDefault="0063687C" w:rsidP="00A7394B">
      <w:pPr>
        <w:spacing w:line="360" w:lineRule="auto"/>
      </w:pPr>
      <w:r w:rsidRPr="0063687C">
        <w:rPr>
          <w:highlight w:val="yellow"/>
        </w:rPr>
        <w:t xml:space="preserve">b) Block Coverage </w:t>
      </w:r>
      <w:r w:rsidR="00EC5FBF">
        <w:rPr>
          <w:highlight w:val="yellow"/>
        </w:rPr>
        <w:t>for</w:t>
      </w:r>
      <w:r w:rsidRPr="0063687C">
        <w:rPr>
          <w:highlight w:val="yellow"/>
        </w:rPr>
        <w:t xml:space="preserve"> T?</w:t>
      </w:r>
    </w:p>
    <w:p w14:paraId="6487C5C5" w14:textId="02E0FA68" w:rsidR="0063687C" w:rsidRDefault="0063687C" w:rsidP="005C67F9">
      <w:pPr>
        <w:contextualSpacing/>
        <w:rPr>
          <w:u w:val="single"/>
        </w:rPr>
      </w:pPr>
      <w:r>
        <w:rPr>
          <w:u w:val="single"/>
        </w:rPr>
        <w:t>Blocks:</w:t>
      </w:r>
    </w:p>
    <w:p w14:paraId="16D1FB11" w14:textId="6F08C77E" w:rsidR="0063687C" w:rsidRDefault="0063687C" w:rsidP="005C67F9">
      <w:pPr>
        <w:contextualSpacing/>
      </w:pPr>
      <w:r>
        <w:t>1</w:t>
      </w:r>
      <w:r>
        <w:tab/>
        <w:t>1, 2, 4</w:t>
      </w:r>
    </w:p>
    <w:p w14:paraId="3EDA2D33" w14:textId="375BDB32" w:rsidR="0063687C" w:rsidRDefault="0063687C" w:rsidP="005C67F9">
      <w:pPr>
        <w:contextualSpacing/>
      </w:pPr>
      <w:r>
        <w:t>2</w:t>
      </w:r>
      <w:r>
        <w:tab/>
        <w:t>6, 7</w:t>
      </w:r>
    </w:p>
    <w:p w14:paraId="59F4E042" w14:textId="01A91A67" w:rsidR="0063687C" w:rsidRDefault="0063687C" w:rsidP="005C67F9">
      <w:pPr>
        <w:contextualSpacing/>
      </w:pPr>
      <w:r>
        <w:t>3</w:t>
      </w:r>
      <w:r>
        <w:tab/>
        <w:t>9, 10</w:t>
      </w:r>
    </w:p>
    <w:p w14:paraId="4F66951E" w14:textId="163AB1B1" w:rsidR="0063687C" w:rsidRDefault="0063687C" w:rsidP="005C67F9">
      <w:pPr>
        <w:contextualSpacing/>
      </w:pPr>
      <w:r>
        <w:t>4</w:t>
      </w:r>
      <w:r>
        <w:tab/>
      </w:r>
      <w:r w:rsidR="00EC5FBF">
        <w:rPr>
          <w:color w:val="FF0000"/>
        </w:rPr>
        <w:t>11</w:t>
      </w:r>
      <w:r w:rsidR="00EC5FBF">
        <w:t xml:space="preserve"> </w:t>
      </w:r>
      <w:r w:rsidR="00EC5FBF">
        <w:sym w:font="Wingdings" w:char="F0E0"/>
      </w:r>
      <w:r w:rsidR="00EC5FBF">
        <w:t xml:space="preserve"> unreachable</w:t>
      </w:r>
    </w:p>
    <w:p w14:paraId="64BF90E4" w14:textId="19D8077A" w:rsidR="00EC5FBF" w:rsidRDefault="00EC5FBF" w:rsidP="005C67F9">
      <w:pPr>
        <w:contextualSpacing/>
      </w:pPr>
      <w:r>
        <w:t>5</w:t>
      </w:r>
      <w:r>
        <w:tab/>
        <w:t>12</w:t>
      </w:r>
    </w:p>
    <w:p w14:paraId="0FA3A06D" w14:textId="2708483F" w:rsidR="00EC5FBF" w:rsidRDefault="00EC5FBF" w:rsidP="005C67F9">
      <w:pPr>
        <w:contextualSpacing/>
      </w:pPr>
      <w:r>
        <w:t>6</w:t>
      </w:r>
      <w:r>
        <w:tab/>
        <w:t>16, 17</w:t>
      </w:r>
    </w:p>
    <w:p w14:paraId="03C86385" w14:textId="3303BFB6" w:rsidR="00EC5FBF" w:rsidRDefault="00EC5FBF" w:rsidP="005C67F9">
      <w:pPr>
        <w:contextualSpacing/>
      </w:pPr>
      <w:r>
        <w:t>7</w:t>
      </w:r>
      <w:r>
        <w:tab/>
      </w:r>
      <w:r>
        <w:rPr>
          <w:color w:val="FF0000"/>
        </w:rPr>
        <w:t>18</w:t>
      </w:r>
      <w:r>
        <w:t xml:space="preserve"> </w:t>
      </w:r>
      <w:r>
        <w:sym w:font="Wingdings" w:char="F0E0"/>
      </w:r>
      <w:r>
        <w:t xml:space="preserve"> unreachable</w:t>
      </w:r>
    </w:p>
    <w:p w14:paraId="31DE874E" w14:textId="0F384666" w:rsidR="00EC5FBF" w:rsidRDefault="00EC5FBF" w:rsidP="005C67F9">
      <w:pPr>
        <w:contextualSpacing/>
      </w:pPr>
      <w:r>
        <w:t>8</w:t>
      </w:r>
      <w:r>
        <w:tab/>
        <w:t>20</w:t>
      </w:r>
    </w:p>
    <w:p w14:paraId="7CF16B20" w14:textId="0D522C92" w:rsidR="00EC5FBF" w:rsidRDefault="00EC5FBF" w:rsidP="005C67F9">
      <w:pPr>
        <w:contextualSpacing/>
      </w:pPr>
      <w:r>
        <w:t>9</w:t>
      </w:r>
      <w:r>
        <w:tab/>
        <w:t>21</w:t>
      </w:r>
    </w:p>
    <w:p w14:paraId="24849F81" w14:textId="5EFD63E6" w:rsidR="00EC5FBF" w:rsidRDefault="00EC5FBF" w:rsidP="005C67F9">
      <w:pPr>
        <w:contextualSpacing/>
      </w:pPr>
      <w:r>
        <w:t>10</w:t>
      </w:r>
      <w:r>
        <w:tab/>
        <w:t>23</w:t>
      </w:r>
    </w:p>
    <w:p w14:paraId="39EE46BF" w14:textId="479DCCBF" w:rsidR="00EC5FBF" w:rsidRDefault="00EC5FBF" w:rsidP="005C67F9">
      <w:pPr>
        <w:contextualSpacing/>
      </w:pPr>
      <w:r>
        <w:t>11</w:t>
      </w:r>
      <w:r>
        <w:tab/>
      </w:r>
      <w:r>
        <w:rPr>
          <w:color w:val="4472C4" w:themeColor="accent1"/>
        </w:rPr>
        <w:t>26</w:t>
      </w:r>
      <w:r>
        <w:t xml:space="preserve"> </w:t>
      </w:r>
      <w:r>
        <w:sym w:font="Wingdings" w:char="F0E0"/>
      </w:r>
      <w:r>
        <w:t xml:space="preserve"> not covered</w:t>
      </w:r>
    </w:p>
    <w:p w14:paraId="06F73160" w14:textId="2046A1BF" w:rsidR="00BD1916" w:rsidRDefault="00EC5FBF" w:rsidP="005C67F9">
      <w:pPr>
        <w:contextualSpacing/>
      </w:pPr>
      <w:r>
        <w:t>12</w:t>
      </w:r>
      <w:r>
        <w:tab/>
        <w:t>27</w:t>
      </w:r>
    </w:p>
    <w:p w14:paraId="50B7D52F" w14:textId="77777777" w:rsidR="00BD1916" w:rsidRPr="005C67F9" w:rsidRDefault="00BD1916" w:rsidP="00BD1916">
      <w:pPr>
        <w:contextualSpacing/>
        <w:rPr>
          <w:sz w:val="16"/>
          <w:szCs w:val="16"/>
        </w:rPr>
      </w:pPr>
    </w:p>
    <w:p w14:paraId="3A862618" w14:textId="5F5ECFE7" w:rsidR="00EC5FBF" w:rsidRPr="00BD1916" w:rsidRDefault="00EC5FBF" w:rsidP="00A7394B">
      <w:pPr>
        <w:spacing w:line="360" w:lineRule="auto"/>
        <w:rPr>
          <w:color w:val="FF0000"/>
        </w:rPr>
      </w:pPr>
      <w:r>
        <w:t>D</w:t>
      </w:r>
      <w:r>
        <w:rPr>
          <w:vertAlign w:val="subscript"/>
        </w:rPr>
        <w:t>B</w:t>
      </w:r>
      <w:r>
        <w:t xml:space="preserve"> = |12|</w:t>
      </w:r>
      <w:r w:rsidR="00BD1916">
        <w:t xml:space="preserve"> </w:t>
      </w:r>
      <w:r w:rsidR="00BD1916">
        <w:sym w:font="Wingdings" w:char="F0E0"/>
      </w:r>
      <w:r w:rsidR="00BD1916">
        <w:t xml:space="preserve"> </w:t>
      </w:r>
      <w:r w:rsidR="00BD1916">
        <w:rPr>
          <w:color w:val="FF0000"/>
        </w:rPr>
        <w:t>2 infeasible conditions</w:t>
      </w:r>
    </w:p>
    <w:p w14:paraId="1FDF6271" w14:textId="21F25E16" w:rsidR="00EC5FBF" w:rsidRPr="00EC5FBF" w:rsidRDefault="00EC5FBF" w:rsidP="00A7394B">
      <w:pPr>
        <w:spacing w:line="360" w:lineRule="auto"/>
        <w:rPr>
          <w:b/>
          <w:bCs w:val="0"/>
        </w:rPr>
      </w:pPr>
      <w:r w:rsidRPr="00EC5FBF">
        <w:rPr>
          <w:b/>
          <w:bCs w:val="0"/>
        </w:rPr>
        <w:t>Block Coverage = 9/(12-2) = 9/10</w:t>
      </w:r>
    </w:p>
    <w:p w14:paraId="6A10410A" w14:textId="1D1707A1" w:rsidR="00EC5FBF" w:rsidRDefault="00EC5FBF" w:rsidP="00A7394B">
      <w:pPr>
        <w:spacing w:line="360" w:lineRule="auto"/>
      </w:pPr>
      <w:r w:rsidRPr="00EC5FBF">
        <w:rPr>
          <w:highlight w:val="yellow"/>
        </w:rPr>
        <w:t xml:space="preserve">c) Decision Coverage </w:t>
      </w:r>
      <w:r>
        <w:rPr>
          <w:highlight w:val="yellow"/>
        </w:rPr>
        <w:t>for</w:t>
      </w:r>
      <w:r w:rsidRPr="00EC5FBF">
        <w:rPr>
          <w:highlight w:val="yellow"/>
        </w:rPr>
        <w:t xml:space="preserve"> T?</w:t>
      </w:r>
    </w:p>
    <w:p w14:paraId="06D590D7" w14:textId="234353F2" w:rsidR="00EC5FBF" w:rsidRDefault="00EC5FBF" w:rsidP="00A7394B">
      <w:pPr>
        <w:spacing w:line="360" w:lineRule="auto"/>
      </w:pPr>
      <w:r>
        <w:t>D</w:t>
      </w:r>
      <w:r>
        <w:rPr>
          <w:vertAlign w:val="subscript"/>
        </w:rPr>
        <w:t>D</w:t>
      </w:r>
      <w:r>
        <w:t xml:space="preserve"> = {4, 7, </w:t>
      </w:r>
      <w:r w:rsidRPr="00EC5FBF">
        <w:rPr>
          <w:color w:val="FF0000"/>
        </w:rPr>
        <w:t>10</w:t>
      </w:r>
      <w:r>
        <w:t xml:space="preserve">, </w:t>
      </w:r>
      <w:r w:rsidRPr="00EC5FBF">
        <w:rPr>
          <w:color w:val="FF0000"/>
        </w:rPr>
        <w:t>17</w:t>
      </w:r>
      <w:r>
        <w:t>}</w:t>
      </w:r>
    </w:p>
    <w:p w14:paraId="68F8310B" w14:textId="298B88F0" w:rsidR="00EC5FBF" w:rsidRPr="00BD1916" w:rsidRDefault="00EC5FBF" w:rsidP="00A7394B">
      <w:pPr>
        <w:spacing w:line="360" w:lineRule="auto"/>
        <w:rPr>
          <w:color w:val="FF0000"/>
        </w:rPr>
      </w:pPr>
      <w:r>
        <w:t>D</w:t>
      </w:r>
      <w:r>
        <w:rPr>
          <w:vertAlign w:val="subscript"/>
        </w:rPr>
        <w:t>D</w:t>
      </w:r>
      <w:r>
        <w:t xml:space="preserve"> = |4|</w:t>
      </w:r>
      <w:r w:rsidR="00BD1916">
        <w:t xml:space="preserve"> </w:t>
      </w:r>
      <w:r w:rsidR="00BD1916">
        <w:sym w:font="Wingdings" w:char="F0E0"/>
      </w:r>
      <w:r w:rsidR="00BD1916">
        <w:t xml:space="preserve"> </w:t>
      </w:r>
      <w:r w:rsidR="00BD1916">
        <w:rPr>
          <w:color w:val="FF0000"/>
        </w:rPr>
        <w:t>2 infeasible conditions</w:t>
      </w:r>
    </w:p>
    <w:p w14:paraId="37A4C583" w14:textId="5CDD5508" w:rsidR="00EC5FBF" w:rsidRDefault="00EC5FBF" w:rsidP="00A7394B">
      <w:pPr>
        <w:spacing w:line="360" w:lineRule="auto"/>
      </w:pPr>
      <w:r>
        <w:rPr>
          <w:b/>
          <w:bCs w:val="0"/>
        </w:rPr>
        <w:t>Decision Coverage = 1/(4-2) = 1/2</w:t>
      </w:r>
    </w:p>
    <w:p w14:paraId="5FA682EE" w14:textId="2F595265" w:rsidR="00EC5FBF" w:rsidRDefault="00EC5FBF" w:rsidP="00A7394B">
      <w:pPr>
        <w:spacing w:line="360" w:lineRule="auto"/>
      </w:pPr>
      <w:r w:rsidRPr="00EC5FBF">
        <w:rPr>
          <w:highlight w:val="yellow"/>
        </w:rPr>
        <w:t>d) Condition Coverage for T?</w:t>
      </w:r>
    </w:p>
    <w:p w14:paraId="10BAAD22" w14:textId="07F0B1F2" w:rsidR="00EC5FBF" w:rsidRDefault="00BD1916" w:rsidP="00BD1916">
      <w:pPr>
        <w:contextualSpacing/>
      </w:pPr>
      <w:r>
        <w:t>D</w:t>
      </w:r>
      <w:r>
        <w:rPr>
          <w:vertAlign w:val="subscript"/>
        </w:rPr>
        <w:t>C</w:t>
      </w:r>
      <w:r>
        <w:t xml:space="preserve"> = { 4) X ≥ 0</w:t>
      </w:r>
    </w:p>
    <w:p w14:paraId="3D6D265C" w14:textId="45F4B9DF" w:rsidR="00BD1916" w:rsidRDefault="00BD1916" w:rsidP="00BD1916">
      <w:pPr>
        <w:contextualSpacing/>
      </w:pPr>
      <w:r>
        <w:tab/>
        <w:t>4) X ≤ 100</w:t>
      </w:r>
    </w:p>
    <w:p w14:paraId="588B88AF" w14:textId="5EB8B763" w:rsidR="00BD1916" w:rsidRDefault="00BD1916" w:rsidP="00BD1916">
      <w:pPr>
        <w:contextualSpacing/>
      </w:pPr>
      <w:r>
        <w:tab/>
        <w:t>4) Y &gt; 0</w:t>
      </w:r>
    </w:p>
    <w:p w14:paraId="6F604879" w14:textId="7104C577" w:rsidR="00BD1916" w:rsidRDefault="00BD1916" w:rsidP="00BD1916">
      <w:pPr>
        <w:contextualSpacing/>
      </w:pPr>
      <w:r>
        <w:tab/>
        <w:t>4) Y &lt; 4</w:t>
      </w:r>
    </w:p>
    <w:p w14:paraId="5F184AB5" w14:textId="31C082EB" w:rsidR="00BD1916" w:rsidRDefault="00BD1916" w:rsidP="00BD1916">
      <w:pPr>
        <w:contextualSpacing/>
      </w:pPr>
      <w:r>
        <w:tab/>
        <w:t>7) X &lt; 60</w:t>
      </w:r>
    </w:p>
    <w:p w14:paraId="416B4105" w14:textId="7285DDF5" w:rsidR="00BD1916" w:rsidRDefault="00BD1916" w:rsidP="00BD1916">
      <w:pPr>
        <w:contextualSpacing/>
      </w:pPr>
      <w:r>
        <w:tab/>
      </w:r>
      <w:r>
        <w:rPr>
          <w:color w:val="FF0000"/>
        </w:rPr>
        <w:t>10) X &gt; 80</w:t>
      </w:r>
    </w:p>
    <w:p w14:paraId="14A0E516" w14:textId="4156D163" w:rsidR="00BD1916" w:rsidRDefault="00BD1916" w:rsidP="00BD1916">
      <w:pPr>
        <w:contextualSpacing/>
      </w:pPr>
      <w:r>
        <w:tab/>
        <w:t>10) Y == 1</w:t>
      </w:r>
    </w:p>
    <w:p w14:paraId="3AABA26D" w14:textId="3DB7C199" w:rsidR="00BD1916" w:rsidRDefault="00BD1916" w:rsidP="00BD1916">
      <w:pPr>
        <w:contextualSpacing/>
      </w:pPr>
      <w:r>
        <w:tab/>
      </w:r>
      <w:r>
        <w:rPr>
          <w:color w:val="FF0000"/>
        </w:rPr>
        <w:t>17) Y == 0</w:t>
      </w:r>
      <w:r>
        <w:t xml:space="preserve"> }</w:t>
      </w:r>
    </w:p>
    <w:p w14:paraId="4D8ADD87" w14:textId="77777777" w:rsidR="00BD1916" w:rsidRPr="00BD1916" w:rsidRDefault="00BD1916" w:rsidP="00BD1916">
      <w:pPr>
        <w:contextualSpacing/>
        <w:rPr>
          <w:sz w:val="16"/>
          <w:szCs w:val="16"/>
        </w:rPr>
      </w:pPr>
    </w:p>
    <w:p w14:paraId="519670C2" w14:textId="7ED1CBB1" w:rsidR="00BD1916" w:rsidRPr="00BD1916" w:rsidRDefault="00BD1916" w:rsidP="00BD1916">
      <w:pPr>
        <w:spacing w:line="360" w:lineRule="auto"/>
        <w:contextualSpacing/>
        <w:rPr>
          <w:color w:val="FF0000"/>
        </w:rPr>
      </w:pPr>
      <w:r>
        <w:t>D</w:t>
      </w:r>
      <w:r>
        <w:rPr>
          <w:vertAlign w:val="subscript"/>
        </w:rPr>
        <w:t>C</w:t>
      </w:r>
      <w:r>
        <w:t xml:space="preserve"> = |8| </w:t>
      </w:r>
      <w:r>
        <w:sym w:font="Wingdings" w:char="F0E0"/>
      </w:r>
      <w:r>
        <w:t xml:space="preserve"> </w:t>
      </w:r>
      <w:r>
        <w:rPr>
          <w:color w:val="FF0000"/>
        </w:rPr>
        <w:t>2 infeasible conditions</w:t>
      </w:r>
    </w:p>
    <w:p w14:paraId="4FB830C0" w14:textId="1B4D69E0" w:rsidR="00BD1916" w:rsidRDefault="00BD1916" w:rsidP="00BD1916">
      <w:pPr>
        <w:spacing w:line="360" w:lineRule="auto"/>
        <w:contextualSpacing/>
      </w:pPr>
      <w:r>
        <w:rPr>
          <w:b/>
          <w:bCs w:val="0"/>
        </w:rPr>
        <w:t>Condition Coverage = 2/(8-2) = 2/6</w:t>
      </w:r>
    </w:p>
    <w:p w14:paraId="03E38547" w14:textId="51A0C0C1" w:rsidR="005C67F9" w:rsidRPr="007A25AC" w:rsidRDefault="005C67F9" w:rsidP="00BD1916">
      <w:pPr>
        <w:spacing w:line="360" w:lineRule="auto"/>
        <w:contextualSpacing/>
      </w:pPr>
      <w:r w:rsidRPr="007A25AC">
        <w:rPr>
          <w:highlight w:val="yellow"/>
        </w:rPr>
        <w:t>e) Condition/Decision Coverage for T?</w:t>
      </w:r>
    </w:p>
    <w:p w14:paraId="1F0F87D4" w14:textId="5934DD9D" w:rsidR="005C67F9" w:rsidRDefault="007A25AC" w:rsidP="00BD1916">
      <w:pPr>
        <w:spacing w:line="360" w:lineRule="auto"/>
        <w:contextualSpacing/>
      </w:pPr>
      <w:r w:rsidRPr="007A25AC">
        <w:t>(|C</w:t>
      </w:r>
      <w:r>
        <w:rPr>
          <w:vertAlign w:val="subscript"/>
        </w:rPr>
        <w:t>C</w:t>
      </w:r>
      <w:r w:rsidRPr="007A25AC">
        <w:t>| + |D</w:t>
      </w:r>
      <w:r>
        <w:rPr>
          <w:vertAlign w:val="subscript"/>
        </w:rPr>
        <w:t>C</w:t>
      </w:r>
      <w:r w:rsidRPr="007A25AC">
        <w:t>|) / [(|C</w:t>
      </w:r>
      <w:r>
        <w:rPr>
          <w:vertAlign w:val="subscript"/>
        </w:rPr>
        <w:t>e</w:t>
      </w:r>
      <w:r w:rsidRPr="007A25AC">
        <w:t>| – |C</w:t>
      </w:r>
      <w:r>
        <w:rPr>
          <w:vertAlign w:val="subscript"/>
        </w:rPr>
        <w:t>i</w:t>
      </w:r>
      <w:r w:rsidRPr="007A25AC">
        <w:t>|) + (|D</w:t>
      </w:r>
      <w:r>
        <w:rPr>
          <w:vertAlign w:val="subscript"/>
        </w:rPr>
        <w:t>e</w:t>
      </w:r>
      <w:r w:rsidRPr="007A25AC">
        <w:t>| – |D</w:t>
      </w:r>
      <w:r>
        <w:rPr>
          <w:vertAlign w:val="subscript"/>
        </w:rPr>
        <w:t>i</w:t>
      </w:r>
      <w:r w:rsidRPr="007A25AC">
        <w:t>|)]</w:t>
      </w:r>
    </w:p>
    <w:p w14:paraId="5C26C8BE" w14:textId="6E9A1DC4" w:rsidR="007A25AC" w:rsidRPr="007A25AC" w:rsidRDefault="007A25AC" w:rsidP="00BD1916">
      <w:pPr>
        <w:spacing w:line="360" w:lineRule="auto"/>
        <w:contextualSpacing/>
        <w:rPr>
          <w:b/>
          <w:bCs w:val="0"/>
        </w:rPr>
      </w:pPr>
      <w:r w:rsidRPr="007A25AC">
        <w:rPr>
          <w:b/>
          <w:bCs w:val="0"/>
        </w:rPr>
        <w:t>Condition/Decision Coverage = (2+1)/[(8-2)+(</w:t>
      </w:r>
      <w:r w:rsidR="00881236">
        <w:rPr>
          <w:b/>
          <w:bCs w:val="0"/>
        </w:rPr>
        <w:t>4-2</w:t>
      </w:r>
      <w:r w:rsidRPr="007A25AC">
        <w:rPr>
          <w:b/>
          <w:bCs w:val="0"/>
        </w:rPr>
        <w:t>)] = 3/</w:t>
      </w:r>
      <w:r w:rsidR="004F2FFD">
        <w:rPr>
          <w:b/>
          <w:bCs w:val="0"/>
        </w:rPr>
        <w:t>8</w:t>
      </w:r>
    </w:p>
    <w:sectPr w:rsidR="007A25AC" w:rsidRPr="007A25AC" w:rsidSect="00A47883">
      <w:headerReference w:type="default" r:id="rId8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FFEA" w14:textId="77777777" w:rsidR="0028318A" w:rsidRDefault="0028318A" w:rsidP="0028318A">
      <w:r>
        <w:separator/>
      </w:r>
    </w:p>
  </w:endnote>
  <w:endnote w:type="continuationSeparator" w:id="0">
    <w:p w14:paraId="0232535A" w14:textId="77777777" w:rsidR="0028318A" w:rsidRDefault="0028318A" w:rsidP="0028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4FB5" w14:textId="77777777" w:rsidR="0028318A" w:rsidRDefault="0028318A" w:rsidP="0028318A">
      <w:r>
        <w:separator/>
      </w:r>
    </w:p>
  </w:footnote>
  <w:footnote w:type="continuationSeparator" w:id="0">
    <w:p w14:paraId="05714973" w14:textId="77777777" w:rsidR="0028318A" w:rsidRDefault="0028318A" w:rsidP="00283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00953" w14:textId="44839C11" w:rsidR="0028318A" w:rsidRPr="0028318A" w:rsidRDefault="0028318A" w:rsidP="0028318A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28318A">
      <w:rPr>
        <w:rFonts w:ascii="Times New Roman" w:hAnsi="Times New Roman" w:cs="Times New Roman"/>
        <w:sz w:val="24"/>
        <w:szCs w:val="24"/>
      </w:rPr>
      <w:t>Zachary Tarell</w:t>
    </w:r>
    <w:r w:rsidRPr="0028318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8318A">
      <w:rPr>
        <w:rFonts w:ascii="Times New Roman" w:hAnsi="Times New Roman" w:cs="Times New Roman"/>
        <w:sz w:val="24"/>
        <w:szCs w:val="24"/>
      </w:rPr>
      <w:t>A</w:t>
    </w:r>
    <w:r w:rsidR="00FE69A6">
      <w:rPr>
        <w:rFonts w:ascii="Times New Roman" w:hAnsi="Times New Roman" w:cs="Times New Roman"/>
        <w:sz w:val="24"/>
        <w:szCs w:val="24"/>
      </w:rPr>
      <w:t>10</w:t>
    </w:r>
    <w:r w:rsidRPr="0028318A">
      <w:rPr>
        <w:rFonts w:ascii="Times New Roman" w:hAnsi="Times New Roman" w:cs="Times New Roman"/>
        <w:sz w:val="24"/>
        <w:szCs w:val="24"/>
      </w:rPr>
      <w:t xml:space="preserve"> </w:t>
    </w:r>
    <w:r w:rsidR="00890BD0">
      <w:rPr>
        <w:rFonts w:ascii="Times New Roman" w:hAnsi="Times New Roman" w:cs="Times New Roman"/>
        <w:sz w:val="24"/>
        <w:szCs w:val="24"/>
      </w:rPr>
      <w:t>–</w:t>
    </w:r>
    <w:r w:rsidRPr="0028318A">
      <w:rPr>
        <w:rFonts w:ascii="Times New Roman" w:hAnsi="Times New Roman" w:cs="Times New Roman"/>
        <w:sz w:val="24"/>
        <w:szCs w:val="24"/>
      </w:rPr>
      <w:t xml:space="preserve"> </w:t>
    </w:r>
    <w:r w:rsidR="00FE69A6">
      <w:rPr>
        <w:rFonts w:ascii="Times New Roman" w:hAnsi="Times New Roman" w:cs="Times New Roman"/>
        <w:sz w:val="24"/>
        <w:szCs w:val="24"/>
      </w:rPr>
      <w:t>Control Flow</w:t>
    </w:r>
    <w:r w:rsidRPr="0028318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8318A">
      <w:rPr>
        <w:rFonts w:ascii="Times New Roman" w:hAnsi="Times New Roman" w:cs="Times New Roman"/>
        <w:sz w:val="24"/>
        <w:szCs w:val="24"/>
      </w:rPr>
      <w:t>SE 4367.001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E9F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E2E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9"/>
    <w:rsid w:val="000209A3"/>
    <w:rsid w:val="00067472"/>
    <w:rsid w:val="000D2717"/>
    <w:rsid w:val="000E66A8"/>
    <w:rsid w:val="000F7A60"/>
    <w:rsid w:val="0011030F"/>
    <w:rsid w:val="00141EAB"/>
    <w:rsid w:val="0015531B"/>
    <w:rsid w:val="0024670F"/>
    <w:rsid w:val="00281C2C"/>
    <w:rsid w:val="0028318A"/>
    <w:rsid w:val="002C6DFB"/>
    <w:rsid w:val="00321A6F"/>
    <w:rsid w:val="00351FB4"/>
    <w:rsid w:val="003C1099"/>
    <w:rsid w:val="00405175"/>
    <w:rsid w:val="004E77A9"/>
    <w:rsid w:val="004F2FFD"/>
    <w:rsid w:val="00550D52"/>
    <w:rsid w:val="005C67F9"/>
    <w:rsid w:val="0063687C"/>
    <w:rsid w:val="00694BE0"/>
    <w:rsid w:val="006D5CEE"/>
    <w:rsid w:val="007009DB"/>
    <w:rsid w:val="00786D0B"/>
    <w:rsid w:val="007A25AC"/>
    <w:rsid w:val="007B0D57"/>
    <w:rsid w:val="007C1CAF"/>
    <w:rsid w:val="007C32DB"/>
    <w:rsid w:val="007D1D46"/>
    <w:rsid w:val="00847357"/>
    <w:rsid w:val="00873E2C"/>
    <w:rsid w:val="00881236"/>
    <w:rsid w:val="00883508"/>
    <w:rsid w:val="00890BD0"/>
    <w:rsid w:val="008A3B23"/>
    <w:rsid w:val="008D4B23"/>
    <w:rsid w:val="00916659"/>
    <w:rsid w:val="00935824"/>
    <w:rsid w:val="0099572E"/>
    <w:rsid w:val="00A044E3"/>
    <w:rsid w:val="00A44BEF"/>
    <w:rsid w:val="00A47883"/>
    <w:rsid w:val="00A57A73"/>
    <w:rsid w:val="00A7394B"/>
    <w:rsid w:val="00A77EFF"/>
    <w:rsid w:val="00B007A3"/>
    <w:rsid w:val="00BB62DA"/>
    <w:rsid w:val="00BD1916"/>
    <w:rsid w:val="00BE6861"/>
    <w:rsid w:val="00C04E26"/>
    <w:rsid w:val="00C05971"/>
    <w:rsid w:val="00C82955"/>
    <w:rsid w:val="00D077F7"/>
    <w:rsid w:val="00D07982"/>
    <w:rsid w:val="00D20207"/>
    <w:rsid w:val="00D51241"/>
    <w:rsid w:val="00D94DEC"/>
    <w:rsid w:val="00E378EC"/>
    <w:rsid w:val="00E465D6"/>
    <w:rsid w:val="00EA115A"/>
    <w:rsid w:val="00EC5FBF"/>
    <w:rsid w:val="00EE73AD"/>
    <w:rsid w:val="00F0549D"/>
    <w:rsid w:val="00F30CA2"/>
    <w:rsid w:val="00F348E7"/>
    <w:rsid w:val="00F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EC2"/>
  <w15:chartTrackingRefBased/>
  <w15:docId w15:val="{6D76517D-13A8-451B-97D6-40FD479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B"/>
    <w:pPr>
      <w:spacing w:after="0" w:line="240" w:lineRule="auto"/>
    </w:pPr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8A"/>
    <w:pPr>
      <w:tabs>
        <w:tab w:val="center" w:pos="4680"/>
        <w:tab w:val="right" w:pos="9360"/>
      </w:tabs>
    </w:pPr>
    <w:rPr>
      <w:rFonts w:asciiTheme="minorHAnsi" w:hAnsiTheme="minorHAnsi" w:cstheme="minorBidi"/>
      <w:bCs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8318A"/>
  </w:style>
  <w:style w:type="paragraph" w:styleId="Footer">
    <w:name w:val="footer"/>
    <w:basedOn w:val="Normal"/>
    <w:link w:val="FooterChar"/>
    <w:uiPriority w:val="99"/>
    <w:unhideWhenUsed/>
    <w:rsid w:val="0028318A"/>
    <w:pPr>
      <w:tabs>
        <w:tab w:val="center" w:pos="4680"/>
        <w:tab w:val="right" w:pos="9360"/>
      </w:tabs>
    </w:pPr>
    <w:rPr>
      <w:rFonts w:asciiTheme="minorHAnsi" w:hAnsiTheme="minorHAnsi" w:cstheme="minorBidi"/>
      <w:bCs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8318A"/>
  </w:style>
  <w:style w:type="paragraph" w:styleId="ListParagraph">
    <w:name w:val="List Paragraph"/>
    <w:basedOn w:val="Normal"/>
    <w:uiPriority w:val="34"/>
    <w:qFormat/>
    <w:rsid w:val="0084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0B38-EB13-4CD9-8083-72993947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Zach Tarell</cp:lastModifiedBy>
  <cp:revision>59</cp:revision>
  <dcterms:created xsi:type="dcterms:W3CDTF">2019-08-31T17:44:00Z</dcterms:created>
  <dcterms:modified xsi:type="dcterms:W3CDTF">2019-12-10T18:10:00Z</dcterms:modified>
</cp:coreProperties>
</file>