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Залина</w:t>
      </w:r>
      <w:r>
        <w:t xml:space="preserve"> </w:t>
      </w:r>
      <w:r>
        <w:t xml:space="preserve">Арсоева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3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38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3" w:name="fig:001"/>
      <w:r>
        <w:drawing>
          <wp:inline>
            <wp:extent cx="5334000" cy="2882688"/>
            <wp:effectExtent b="0" l="0" r="0" t="0"/>
            <wp:docPr descr="Figure 1: запуск http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2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5" w:name="fig:002"/>
      <w:r>
        <w:drawing>
          <wp:inline>
            <wp:extent cx="5334000" cy="1475123"/>
            <wp:effectExtent b="0" l="0" r="0" t="0"/>
            <wp:docPr descr="Figure 2: контекст безопасности http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75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27" w:name="fig:003"/>
      <w:r>
        <w:drawing>
          <wp:inline>
            <wp:extent cx="5034012" cy="7575082"/>
            <wp:effectExtent b="0" l="0" r="0" t="0"/>
            <wp:docPr descr="Figure 3: переключатели SELinux для http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012" cy="7575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29" w:name="fig:004"/>
      <w:r>
        <w:drawing>
          <wp:inline>
            <wp:extent cx="5334000" cy="3242468"/>
            <wp:effectExtent b="0" l="0" r="0" t="0"/>
            <wp:docPr descr="Figure 4: создание html-файла и доступ по http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2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31" w:name="fig:005"/>
      <w:r>
        <w:drawing>
          <wp:inline>
            <wp:extent cx="5334000" cy="3190839"/>
            <wp:effectExtent b="0" l="0" r="0" t="0"/>
            <wp:docPr descr="Figure 5: ошибка доступа после изменения контекста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08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33" w:name="fig:006"/>
      <w:r>
        <w:drawing>
          <wp:inline>
            <wp:extent cx="5334000" cy="3916727"/>
            <wp:effectExtent b="0" l="0" r="0" t="0"/>
            <wp:docPr descr="Figure 6: лог ошибок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67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35" w:name="fig:007"/>
      <w:r>
        <w:drawing>
          <wp:inline>
            <wp:extent cx="5334000" cy="4716502"/>
            <wp:effectExtent b="0" l="0" r="0" t="0"/>
            <wp:docPr descr="Figure 7: переключение порта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165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37" w:name="fig:008"/>
      <w:r>
        <w:drawing>
          <wp:inline>
            <wp:extent cx="5334000" cy="2850558"/>
            <wp:effectExtent b="0" l="0" r="0" t="0"/>
            <wp:docPr descr="Figure 8: доступ по http на 81 порт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0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38"/>
    <w:bookmarkEnd w:id="39"/>
    <w:bookmarkStart w:id="4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40"/>
    <w:bookmarkStart w:id="43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41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42">
        <w:r>
          <w:rPr>
            <w:rStyle w:val="Hyperlink"/>
          </w:rPr>
          <w:t xml:space="preserve">Веб-сервер Apache</w:t>
        </w:r>
      </w:hyperlink>
    </w:p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71315dc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7261bad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b3cbbdee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4fbe019a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91a27d8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615f1ed2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238d8174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41f388d6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Залина Арсоева</dc:creator>
  <dc:language>ru-RU</dc:language>
  <cp:keywords/>
  <dcterms:created xsi:type="dcterms:W3CDTF">2024-09-30T07:37:26Z</dcterms:created>
  <dcterms:modified xsi:type="dcterms:W3CDTF">2024-09-30T07:37:26Z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Scale=MatchLowercase,Scale=0.9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</vt:lpwstr>
  </property>
  <property fmtid="{D5CDD505-2E9C-101B-9397-08002B2CF9AE}" pid="51" name="polyglossia-lang">
    <vt:lpwstr/>
  </property>
  <property fmtid="{D5CDD505-2E9C-101B-9397-08002B2CF9AE}" pid="52" name="polyglossia-otherlangs">
    <vt:lpwstr/>
  </property>
  <property fmtid="{D5CDD505-2E9C-101B-9397-08002B2CF9AE}" pid="53" name="rangeDelim">
    <vt:lpwstr>-</vt:lpwstr>
  </property>
  <property fmtid="{D5CDD505-2E9C-101B-9397-08002B2CF9AE}" pid="54" name="refDelim">
    <vt:lpwstr>, </vt:lpwstr>
  </property>
  <property fmtid="{D5CDD505-2E9C-101B-9397-08002B2CF9AE}" pid="55" name="refIndexTemplate">
    <vt:lpwstr>isuf</vt:lpwstr>
  </property>
  <property fmtid="{D5CDD505-2E9C-101B-9397-08002B2CF9AE}" pid="56" name="romanfont">
    <vt:lpwstr>PT Serif</vt:lpwstr>
  </property>
  <property fmtid="{D5CDD505-2E9C-101B-9397-08002B2CF9AE}" pid="57" name="romanfontoptions">
    <vt:lpwstr>Ligatures=TeX</vt:lpwstr>
  </property>
  <property fmtid="{D5CDD505-2E9C-101B-9397-08002B2CF9AE}" pid="58" name="sansfont">
    <vt:lpwstr>PT Sans</vt:lpwstr>
  </property>
  <property fmtid="{D5CDD505-2E9C-101B-9397-08002B2CF9AE}" pid="59" name="sansfontoptions">
    <vt:lpwstr>Ligatures=TeX,Scale=MatchLowercase</vt:lpwstr>
  </property>
  <property fmtid="{D5CDD505-2E9C-101B-9397-08002B2CF9AE}" pid="60" name="secHeaderDelim">
    <vt:lpwstr> </vt:lpwstr>
  </property>
  <property fmtid="{D5CDD505-2E9C-101B-9397-08002B2CF9AE}" pid="61" name="secHeaderTemplate">
    <vt:lpwstr>isecHeaderDelim[n]t</vt:lpwstr>
  </property>
  <property fmtid="{D5CDD505-2E9C-101B-9397-08002B2CF9AE}" pid="62" name="secLabels">
    <vt:lpwstr>arabic</vt:lpwstr>
  </property>
  <property fmtid="{D5CDD505-2E9C-101B-9397-08002B2CF9AE}" pid="63" name="secPrefix">
    <vt:lpwstr/>
  </property>
  <property fmtid="{D5CDD505-2E9C-101B-9397-08002B2CF9AE}" pid="64" name="secPrefixTemplate">
    <vt:lpwstr>p i</vt:lpwstr>
  </property>
  <property fmtid="{D5CDD505-2E9C-101B-9397-08002B2CF9AE}" pid="65" name="sectionsDepth">
    <vt:lpwstr>0</vt:lpwstr>
  </property>
  <property fmtid="{D5CDD505-2E9C-101B-9397-08002B2CF9AE}" pid="66" name="subfigGrid">
    <vt:lpwstr>False</vt:lpwstr>
  </property>
  <property fmtid="{D5CDD505-2E9C-101B-9397-08002B2CF9AE}" pid="67" name="subfigLabels">
    <vt:lpwstr>alpha a</vt:lpwstr>
  </property>
  <property fmtid="{D5CDD505-2E9C-101B-9397-08002B2CF9AE}" pid="68" name="subfigureChildTemplate">
    <vt:lpwstr>i</vt:lpwstr>
  </property>
  <property fmtid="{D5CDD505-2E9C-101B-9397-08002B2CF9AE}" pid="69" name="subfigureRefIndexTemplate">
    <vt:lpwstr>isuf (s)</vt:lpwstr>
  </property>
  <property fmtid="{D5CDD505-2E9C-101B-9397-08002B2CF9AE}" pid="70" name="subfigureTemplate">
    <vt:lpwstr>figureTitle ititleDelim t. ccs</vt:lpwstr>
  </property>
  <property fmtid="{D5CDD505-2E9C-101B-9397-08002B2CF9AE}" pid="71" name="subtitle">
    <vt:lpwstr>Знакомство с SELinux</vt:lpwstr>
  </property>
  <property fmtid="{D5CDD505-2E9C-101B-9397-08002B2CF9AE}" pid="72" name="tableEqns">
    <vt:lpwstr>False</vt:lpwstr>
  </property>
  <property fmtid="{D5CDD505-2E9C-101B-9397-08002B2CF9AE}" pid="73" name="tableTemplate">
    <vt:lpwstr>tableTitle ititleDelim t</vt:lpwstr>
  </property>
  <property fmtid="{D5CDD505-2E9C-101B-9397-08002B2CF9AE}" pid="74" name="tableTitle">
    <vt:lpwstr>Table</vt:lpwstr>
  </property>
  <property fmtid="{D5CDD505-2E9C-101B-9397-08002B2CF9AE}" pid="75" name="tblLabels">
    <vt:lpwstr>arabic</vt:lpwstr>
  </property>
  <property fmtid="{D5CDD505-2E9C-101B-9397-08002B2CF9AE}" pid="76" name="tblPrefix">
    <vt:lpwstr/>
  </property>
  <property fmtid="{D5CDD505-2E9C-101B-9397-08002B2CF9AE}" pid="77" name="tblPrefixTemplate">
    <vt:lpwstr>p i</vt:lpwstr>
  </property>
  <property fmtid="{D5CDD505-2E9C-101B-9397-08002B2CF9AE}" pid="78" name="titleDelim">
    <vt:lpwstr>:</vt:lpwstr>
  </property>
  <property fmtid="{D5CDD505-2E9C-101B-9397-08002B2CF9AE}" pid="79" name="toc">
    <vt:lpwstr>True</vt:lpwstr>
  </property>
  <property fmtid="{D5CDD505-2E9C-101B-9397-08002B2CF9AE}" pid="80" name="toc-title">
    <vt:lpwstr>Содержание</vt:lpwstr>
  </property>
  <property fmtid="{D5CDD505-2E9C-101B-9397-08002B2CF9AE}" pid="81" name="toc_depth">
    <vt:lpwstr>2</vt:lpwstr>
  </property>
</Properties>
</file>