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67643" w14:textId="2D78303B" w:rsidR="00D5066D" w:rsidRDefault="00FC08D3" w:rsidP="00560CF3">
      <w:pPr>
        <w:pStyle w:val="BodyTextContinued"/>
        <w:spacing w:line="240" w:lineRule="exact"/>
        <w:rPr>
          <w:rFonts w:cs="Arial"/>
        </w:rPr>
      </w:pPr>
      <w:r>
        <w:rPr>
          <w:rFonts w:cs="Arial"/>
        </w:rPr>
        <w:t>Zachary T. Tyson (SBN 211185)</w:t>
      </w:r>
    </w:p>
    <w:p w14:paraId="370B0CFD" w14:textId="1767632A" w:rsidR="00601A7A" w:rsidRDefault="00FC08D3" w:rsidP="00560CF3">
      <w:pPr>
        <w:pStyle w:val="BodyText"/>
        <w:spacing w:line="240" w:lineRule="exact"/>
        <w:ind w:firstLine="0"/>
      </w:pPr>
      <w:r>
        <w:t>Law Office of Zachary T. Tyson</w:t>
      </w:r>
    </w:p>
    <w:p w14:paraId="226E6CAB" w14:textId="531C970D" w:rsidR="00601A7A" w:rsidRDefault="00FC08D3" w:rsidP="00560CF3">
      <w:pPr>
        <w:pStyle w:val="BodyText"/>
        <w:spacing w:line="240" w:lineRule="exact"/>
        <w:ind w:firstLine="0"/>
      </w:pPr>
      <w:r>
        <w:t>2169 First Avenue</w:t>
      </w:r>
    </w:p>
    <w:p w14:paraId="2768D4B5" w14:textId="4110CED1" w:rsidR="00601A7A" w:rsidRDefault="00FC08D3" w:rsidP="00560CF3">
      <w:pPr>
        <w:pStyle w:val="BodyText"/>
        <w:spacing w:line="240" w:lineRule="exact"/>
        <w:ind w:firstLine="0"/>
      </w:pPr>
      <w:r>
        <w:t>San Diego, CA 92101</w:t>
      </w:r>
    </w:p>
    <w:p w14:paraId="71C3F7AA" w14:textId="0405890D" w:rsidR="00601A7A" w:rsidRDefault="00601A7A" w:rsidP="00560CF3">
      <w:pPr>
        <w:pStyle w:val="BodyText"/>
        <w:spacing w:line="240" w:lineRule="exact"/>
        <w:ind w:firstLine="0"/>
      </w:pPr>
      <w:r>
        <w:t xml:space="preserve">Phone: </w:t>
      </w:r>
      <w:r w:rsidR="00FC08D3">
        <w:t>(619)993-9092</w:t>
      </w:r>
    </w:p>
    <w:p w14:paraId="636763C7" w14:textId="77777777" w:rsidR="002E2398" w:rsidRPr="00601A7A" w:rsidRDefault="002E2398" w:rsidP="00560CF3">
      <w:pPr>
        <w:pStyle w:val="BodyText"/>
        <w:spacing w:line="240" w:lineRule="exact"/>
        <w:ind w:firstLine="0"/>
      </w:pPr>
    </w:p>
    <w:p w14:paraId="23DEB2AA" w14:textId="60D1C71A" w:rsidR="002E2398" w:rsidRPr="002E2398" w:rsidRDefault="00601A7A" w:rsidP="002E2398">
      <w:pPr>
        <w:pStyle w:val="BodyTextContinued"/>
        <w:spacing w:line="240" w:lineRule="exact"/>
        <w:rPr>
          <w:rFonts w:cs="Arial"/>
        </w:rPr>
      </w:pPr>
      <w:r>
        <w:rPr>
          <w:rFonts w:cs="Arial"/>
        </w:rPr>
        <w:t>Attorney for</w:t>
      </w:r>
      <w:r w:rsidR="00B14990">
        <w:rPr>
          <w:rFonts w:cs="Arial"/>
        </w:rPr>
        <w:t>&gt;</w:t>
      </w:r>
    </w:p>
    <w:p w14:paraId="3246556E" w14:textId="77777777" w:rsidR="00E729DB" w:rsidRPr="00601A7A" w:rsidRDefault="00E729DB" w:rsidP="002E2398">
      <w:pPr>
        <w:pStyle w:val="BodyText"/>
        <w:ind w:firstLine="0"/>
        <w:rPr>
          <w:rFonts w:cs="Arial"/>
        </w:rPr>
      </w:pPr>
    </w:p>
    <w:p w14:paraId="4F48299D" w14:textId="77777777" w:rsidR="001529DE" w:rsidRPr="00601A7A" w:rsidRDefault="001529DE" w:rsidP="00E729DB">
      <w:pPr>
        <w:pStyle w:val="BodyText"/>
        <w:rPr>
          <w:rFonts w:cs="Arial"/>
        </w:rPr>
      </w:pPr>
    </w:p>
    <w:p w14:paraId="1E713EE9" w14:textId="60DBACD1" w:rsidR="003E106C" w:rsidRPr="00601A7A" w:rsidRDefault="00601A7A" w:rsidP="003E289A">
      <w:pPr>
        <w:pStyle w:val="Court"/>
        <w:spacing w:before="0"/>
        <w:rPr>
          <w:rFonts w:cs="Arial"/>
        </w:rPr>
      </w:pPr>
      <w:r>
        <w:rPr>
          <w:rFonts w:cs="Arial"/>
        </w:rPr>
        <w:t>SUPERIOR COURT OF THE STATE OF CALIFORNIA</w:t>
      </w:r>
      <w:r w:rsidR="003E106C" w:rsidRPr="00601A7A">
        <w:rPr>
          <w:rFonts w:cs="Arial"/>
        </w:rPr>
        <w:br/>
      </w:r>
      <w:r>
        <w:rPr>
          <w:rFonts w:cs="Arial"/>
        </w:rPr>
        <w:t>FOR THE COUNTY OF SAN DIEGO, CENTRAL DIVISION</w:t>
      </w:r>
    </w:p>
    <w:tbl>
      <w:tblPr>
        <w:tblW w:w="0" w:type="auto"/>
        <w:tblBorders>
          <w:insideH w:val="single" w:sz="4" w:space="0" w:color="auto"/>
        </w:tblBorders>
        <w:tblLayout w:type="fixed"/>
        <w:tblLook w:val="0000" w:firstRow="0" w:lastRow="0" w:firstColumn="0" w:lastColumn="0" w:noHBand="0" w:noVBand="0"/>
      </w:tblPr>
      <w:tblGrid>
        <w:gridCol w:w="4428"/>
        <w:gridCol w:w="5244"/>
      </w:tblGrid>
      <w:tr w:rsidR="003E106C" w:rsidRPr="00601A7A" w14:paraId="0EB12AD7" w14:textId="77777777" w:rsidTr="003E106C">
        <w:tc>
          <w:tcPr>
            <w:tcW w:w="4428" w:type="dxa"/>
            <w:tcBorders>
              <w:top w:val="nil"/>
              <w:bottom w:val="single" w:sz="4" w:space="0" w:color="auto"/>
              <w:right w:val="single" w:sz="4" w:space="0" w:color="auto"/>
            </w:tcBorders>
            <w:shd w:val="clear" w:color="auto" w:fill="auto"/>
          </w:tcPr>
          <w:p w14:paraId="79872012" w14:textId="2210FF9E" w:rsidR="003E106C" w:rsidRPr="00601A7A" w:rsidRDefault="00B14990" w:rsidP="00AD2FA5">
            <w:pPr>
              <w:pStyle w:val="Caption"/>
              <w:spacing w:before="40"/>
              <w:rPr>
                <w:rFonts w:cs="Arial"/>
                <w:szCs w:val="28"/>
              </w:rPr>
            </w:pPr>
            <w:bookmarkStart w:id="0" w:name="_zzmpFIXED_CaptionTable"/>
            <w:r>
              <w:rPr>
                <w:rFonts w:cs="Arial"/>
                <w:szCs w:val="28"/>
              </w:rPr>
              <w:t>&gt;</w:t>
            </w:r>
            <w:bookmarkStart w:id="1" w:name="plt_caption"/>
            <w:bookmarkEnd w:id="1"/>
            <w:r w:rsidR="003E106C" w:rsidRPr="00601A7A">
              <w:rPr>
                <w:rFonts w:cs="Arial"/>
                <w:szCs w:val="28"/>
              </w:rPr>
              <w:t>,</w:t>
            </w:r>
          </w:p>
          <w:p w14:paraId="4FE651EB" w14:textId="77777777" w:rsidR="003E106C" w:rsidRPr="00601A7A" w:rsidRDefault="003E106C">
            <w:pPr>
              <w:pStyle w:val="Caption"/>
              <w:spacing w:before="240"/>
              <w:ind w:left="1800"/>
              <w:rPr>
                <w:rFonts w:cs="Arial"/>
                <w:szCs w:val="28"/>
              </w:rPr>
            </w:pPr>
            <w:r w:rsidRPr="00601A7A">
              <w:rPr>
                <w:rFonts w:cs="Arial"/>
                <w:szCs w:val="28"/>
              </w:rPr>
              <w:t>Plaintiff,</w:t>
            </w:r>
          </w:p>
          <w:p w14:paraId="51E1761E" w14:textId="77777777" w:rsidR="003E106C" w:rsidRPr="00601A7A" w:rsidRDefault="003E106C" w:rsidP="00887507">
            <w:pPr>
              <w:pStyle w:val="Caption"/>
              <w:spacing w:before="240" w:after="240"/>
              <w:ind w:left="720"/>
              <w:rPr>
                <w:rFonts w:cs="Arial"/>
                <w:szCs w:val="28"/>
              </w:rPr>
            </w:pPr>
            <w:r w:rsidRPr="00601A7A">
              <w:rPr>
                <w:rFonts w:cs="Arial"/>
                <w:szCs w:val="28"/>
              </w:rPr>
              <w:t>v.</w:t>
            </w:r>
          </w:p>
          <w:p w14:paraId="2A9B1618" w14:textId="6EDDE4E4" w:rsidR="00E66310" w:rsidRPr="00601A7A" w:rsidRDefault="00B14990" w:rsidP="00E66310">
            <w:pPr>
              <w:pStyle w:val="Caption"/>
              <w:rPr>
                <w:rFonts w:cs="Arial"/>
                <w:szCs w:val="28"/>
              </w:rPr>
            </w:pPr>
            <w:r>
              <w:rPr>
                <w:rFonts w:cs="Arial"/>
                <w:szCs w:val="28"/>
              </w:rPr>
              <w:t>&gt;</w:t>
            </w:r>
            <w:bookmarkStart w:id="2" w:name="def_caption"/>
            <w:bookmarkEnd w:id="2"/>
            <w:r w:rsidR="00E66310">
              <w:rPr>
                <w:rFonts w:cs="Arial"/>
                <w:szCs w:val="28"/>
              </w:rPr>
              <w:t xml:space="preserve">, </w:t>
            </w:r>
          </w:p>
          <w:p w14:paraId="517D3D41" w14:textId="13547862" w:rsidR="003E106C" w:rsidRPr="00601A7A" w:rsidRDefault="003E106C">
            <w:pPr>
              <w:pStyle w:val="Caption"/>
              <w:rPr>
                <w:rFonts w:cs="Arial"/>
                <w:szCs w:val="28"/>
              </w:rPr>
            </w:pPr>
          </w:p>
          <w:p w14:paraId="4CA3D715" w14:textId="77777777" w:rsidR="003E106C" w:rsidRPr="00601A7A" w:rsidRDefault="003E106C">
            <w:pPr>
              <w:pStyle w:val="Caption"/>
              <w:spacing w:before="240" w:after="240"/>
              <w:ind w:left="1800"/>
              <w:rPr>
                <w:rFonts w:cs="Arial"/>
              </w:rPr>
            </w:pPr>
            <w:r w:rsidRPr="00601A7A">
              <w:rPr>
                <w:rFonts w:cs="Arial"/>
                <w:szCs w:val="28"/>
              </w:rPr>
              <w:t>Defendant.</w:t>
            </w:r>
          </w:p>
        </w:tc>
        <w:tc>
          <w:tcPr>
            <w:tcW w:w="5244" w:type="dxa"/>
            <w:tcBorders>
              <w:top w:val="nil"/>
              <w:left w:val="single" w:sz="4" w:space="0" w:color="auto"/>
            </w:tcBorders>
            <w:shd w:val="clear" w:color="auto" w:fill="auto"/>
          </w:tcPr>
          <w:p w14:paraId="3EC21C4D" w14:textId="7BE28A96" w:rsidR="00560CF3" w:rsidRDefault="00601A7A" w:rsidP="000A5303">
            <w:pPr>
              <w:pStyle w:val="Caption"/>
              <w:tabs>
                <w:tab w:val="left" w:pos="1238"/>
              </w:tabs>
              <w:spacing w:before="40" w:after="240"/>
              <w:ind w:left="259" w:right="115"/>
            </w:pPr>
            <w:r>
              <w:rPr>
                <w:rFonts w:cs="Arial"/>
                <w:szCs w:val="28"/>
              </w:rPr>
              <w:t xml:space="preserve">Case </w:t>
            </w:r>
            <w:r w:rsidR="00B577ED" w:rsidRPr="00601A7A">
              <w:rPr>
                <w:rFonts w:cs="Arial"/>
                <w:szCs w:val="28"/>
              </w:rPr>
              <w:t xml:space="preserve">No.  </w:t>
            </w:r>
            <w:r w:rsidR="00B14990">
              <w:t>&gt;</w:t>
            </w:r>
            <w:bookmarkStart w:id="3" w:name="case_number"/>
            <w:bookmarkEnd w:id="3"/>
          </w:p>
          <w:p w14:paraId="544FD6F1" w14:textId="2F2B274A" w:rsidR="008C3787" w:rsidRPr="00BC4A04" w:rsidRDefault="008C3787" w:rsidP="008C3787">
            <w:pPr>
              <w:widowControl/>
              <w:spacing w:line="240" w:lineRule="auto"/>
              <w:rPr>
                <w:rFonts w:ascii="Times New Roman" w:hAnsi="Times New Roman"/>
              </w:rPr>
            </w:pPr>
            <w:r>
              <w:t xml:space="preserve">    Reservation Number: </w:t>
            </w:r>
            <w:r w:rsidR="005C62EC">
              <w:rPr>
                <w:rFonts w:ascii="Verdana" w:hAnsi="Verdana"/>
                <w:color w:val="CC0000"/>
                <w:sz w:val="17"/>
                <w:szCs w:val="17"/>
                <w:shd w:val="clear" w:color="auto" w:fill="FFFFFF"/>
              </w:rPr>
              <w:t>3018765</w:t>
            </w:r>
          </w:p>
          <w:p w14:paraId="39952C76" w14:textId="15F5C846" w:rsidR="008C3787" w:rsidRPr="008C3787" w:rsidRDefault="008C3787" w:rsidP="008C3787"/>
          <w:p w14:paraId="21A3E9B3" w14:textId="4A81FD77" w:rsidR="00560CF3" w:rsidRPr="00560CF3" w:rsidRDefault="00560CF3" w:rsidP="00560CF3">
            <w:r>
              <w:t xml:space="preserve">    Judge:</w:t>
            </w:r>
            <w:r w:rsidR="00027049">
              <w:t xml:space="preserve">  </w:t>
            </w:r>
            <w:r w:rsidR="00B14990">
              <w:t>&gt;</w:t>
            </w:r>
            <w:bookmarkStart w:id="4" w:name="judge_name"/>
            <w:bookmarkEnd w:id="4"/>
          </w:p>
          <w:p w14:paraId="591936EE" w14:textId="4402A7A0" w:rsidR="00E729DB" w:rsidRPr="00F2136F" w:rsidRDefault="00560CF3" w:rsidP="00E729DB">
            <w:pPr>
              <w:pStyle w:val="DocumentTitle"/>
              <w:rPr>
                <w:b w:val="0"/>
                <w:bCs/>
              </w:rPr>
            </w:pPr>
            <w:r>
              <w:rPr>
                <w:rFonts w:cs="Arial"/>
                <w:b w:val="0"/>
                <w:bCs/>
              </w:rPr>
              <w:t>Dept.</w:t>
            </w:r>
            <w:r w:rsidRPr="00D74426">
              <w:rPr>
                <w:rFonts w:cs="Arial"/>
                <w:b w:val="0"/>
                <w:bCs/>
              </w:rPr>
              <w:t xml:space="preserve">: </w:t>
            </w:r>
            <w:r w:rsidR="00027049">
              <w:rPr>
                <w:rFonts w:cs="Arial"/>
                <w:b w:val="0"/>
                <w:bCs/>
              </w:rPr>
              <w:t xml:space="preserve">  </w:t>
            </w:r>
            <w:r w:rsidR="00B14990">
              <w:rPr>
                <w:b w:val="0"/>
                <w:bCs/>
              </w:rPr>
              <w:t>&gt;</w:t>
            </w:r>
            <w:bookmarkStart w:id="5" w:name="judge_dept"/>
            <w:bookmarkEnd w:id="5"/>
          </w:p>
          <w:p w14:paraId="564871ED" w14:textId="29B60022" w:rsidR="000A5303" w:rsidRPr="003C6154" w:rsidRDefault="000A5303" w:rsidP="00E729DB">
            <w:pPr>
              <w:pStyle w:val="DocumentTitle"/>
              <w:rPr>
                <w:rFonts w:cs="Arial"/>
                <w:b w:val="0"/>
                <w:bCs/>
              </w:rPr>
            </w:pPr>
            <w:r>
              <w:rPr>
                <w:b w:val="0"/>
                <w:bCs/>
              </w:rPr>
              <w:t xml:space="preserve">BONNIE GAY’S </w:t>
            </w:r>
            <w:r w:rsidR="008D57CD">
              <w:rPr>
                <w:b w:val="0"/>
                <w:bCs/>
              </w:rPr>
              <w:t>SEPARATE STATEMENT IN SUPPORT OF HER</w:t>
            </w:r>
            <w:r w:rsidR="00606704">
              <w:rPr>
                <w:b w:val="0"/>
                <w:bCs/>
              </w:rPr>
              <w:t xml:space="preserve"> MOTION</w:t>
            </w:r>
            <w:r>
              <w:rPr>
                <w:b w:val="0"/>
                <w:bCs/>
              </w:rPr>
              <w:t xml:space="preserve"> FOR ORDERS: (1) COMPELLING </w:t>
            </w:r>
            <w:r w:rsidR="00740C73">
              <w:rPr>
                <w:b w:val="0"/>
                <w:bCs/>
              </w:rPr>
              <w:t>NANCY ABDOU</w:t>
            </w:r>
            <w:r>
              <w:rPr>
                <w:b w:val="0"/>
                <w:bCs/>
              </w:rPr>
              <w:t xml:space="preserve"> TO </w:t>
            </w:r>
            <w:r w:rsidR="00740C73">
              <w:rPr>
                <w:b w:val="0"/>
                <w:bCs/>
              </w:rPr>
              <w:t>PROVIDE FURTHER RESPONSES</w:t>
            </w:r>
            <w:r w:rsidR="008D57CD">
              <w:rPr>
                <w:b w:val="0"/>
                <w:bCs/>
              </w:rPr>
              <w:t>, WITHOUT A PRELIMINARY STATEMENT OR GENERAL OBJECTIONS,</w:t>
            </w:r>
            <w:r w:rsidR="00740C73">
              <w:rPr>
                <w:b w:val="0"/>
                <w:bCs/>
              </w:rPr>
              <w:t xml:space="preserve"> TO</w:t>
            </w:r>
            <w:r w:rsidR="000A647E">
              <w:rPr>
                <w:b w:val="0"/>
                <w:bCs/>
              </w:rPr>
              <w:t xml:space="preserve"> SPECIAL INTERROGATORIES</w:t>
            </w:r>
            <w:r w:rsidR="00740C73">
              <w:rPr>
                <w:b w:val="0"/>
                <w:bCs/>
              </w:rPr>
              <w:t xml:space="preserve"> (SET ONE)</w:t>
            </w:r>
            <w:r>
              <w:rPr>
                <w:b w:val="0"/>
                <w:bCs/>
              </w:rPr>
              <w:t xml:space="preserve">; </w:t>
            </w:r>
            <w:r w:rsidR="003F0567">
              <w:rPr>
                <w:b w:val="0"/>
                <w:bCs/>
              </w:rPr>
              <w:t>and, (2)</w:t>
            </w:r>
            <w:r w:rsidR="00F80235">
              <w:rPr>
                <w:b w:val="0"/>
                <w:bCs/>
              </w:rPr>
              <w:t xml:space="preserve"> MONETARY SANCTIONS AGAINST</w:t>
            </w:r>
            <w:r w:rsidR="000A647E">
              <w:rPr>
                <w:b w:val="0"/>
                <w:bCs/>
              </w:rPr>
              <w:t xml:space="preserve"> </w:t>
            </w:r>
            <w:r w:rsidR="00F80235">
              <w:rPr>
                <w:b w:val="0"/>
                <w:bCs/>
              </w:rPr>
              <w:t>NANCY ABDOU AND/OR ATTORNEY SETH BOBROFF</w:t>
            </w:r>
          </w:p>
          <w:p w14:paraId="0E32BD87" w14:textId="168DB8C0" w:rsidR="000A5303" w:rsidRDefault="000A5303" w:rsidP="000A5303">
            <w:pPr>
              <w:pStyle w:val="DocumentTitle"/>
              <w:spacing w:after="0"/>
              <w:rPr>
                <w:b w:val="0"/>
                <w:bCs/>
              </w:rPr>
            </w:pPr>
            <w:r>
              <w:rPr>
                <w:b w:val="0"/>
                <w:bCs/>
              </w:rPr>
              <w:t xml:space="preserve">Hearing Date: </w:t>
            </w:r>
            <w:r w:rsidR="00E87599">
              <w:rPr>
                <w:b w:val="0"/>
                <w:bCs/>
              </w:rPr>
              <w:t xml:space="preserve">    </w:t>
            </w:r>
            <w:r w:rsidR="004A7FA8">
              <w:rPr>
                <w:b w:val="0"/>
                <w:bCs/>
              </w:rPr>
              <w:t>01/19/2023</w:t>
            </w:r>
          </w:p>
          <w:p w14:paraId="548A3BC7" w14:textId="4066D23D" w:rsidR="000A5303" w:rsidRDefault="000A5303" w:rsidP="000A5303">
            <w:pPr>
              <w:pStyle w:val="DocumentTitle"/>
              <w:spacing w:after="0"/>
              <w:rPr>
                <w:b w:val="0"/>
                <w:bCs/>
              </w:rPr>
            </w:pPr>
            <w:r>
              <w:rPr>
                <w:b w:val="0"/>
                <w:bCs/>
              </w:rPr>
              <w:t>Hearing Time:</w:t>
            </w:r>
            <w:r w:rsidR="00E87599">
              <w:rPr>
                <w:b w:val="0"/>
                <w:bCs/>
              </w:rPr>
              <w:t xml:space="preserve">     </w:t>
            </w:r>
            <w:r w:rsidR="004A7FA8">
              <w:rPr>
                <w:b w:val="0"/>
                <w:bCs/>
              </w:rPr>
              <w:t>1:30 pm</w:t>
            </w:r>
          </w:p>
          <w:p w14:paraId="5CBC5136" w14:textId="77777777" w:rsidR="000A5303" w:rsidRDefault="000A5303" w:rsidP="000A5303">
            <w:pPr>
              <w:pStyle w:val="DocumentTitle"/>
              <w:spacing w:after="0"/>
              <w:rPr>
                <w:rFonts w:cs="Arial"/>
                <w:b w:val="0"/>
                <w:bCs/>
                <w:szCs w:val="24"/>
              </w:rPr>
            </w:pPr>
          </w:p>
          <w:p w14:paraId="3E5C7044" w14:textId="5A3A1D5D" w:rsidR="003E106C" w:rsidRDefault="009D6F58" w:rsidP="000A5303">
            <w:pPr>
              <w:pStyle w:val="DocumentTitle"/>
              <w:spacing w:after="0"/>
              <w:rPr>
                <w:rFonts w:cs="Arial"/>
                <w:b w:val="0"/>
                <w:bCs/>
                <w:szCs w:val="24"/>
              </w:rPr>
            </w:pPr>
            <w:r>
              <w:rPr>
                <w:rFonts w:cs="Arial"/>
                <w:b w:val="0"/>
                <w:bCs/>
                <w:szCs w:val="24"/>
              </w:rPr>
              <w:t xml:space="preserve">Filing Date: </w:t>
            </w:r>
            <w:r w:rsidR="00E55C13">
              <w:rPr>
                <w:rFonts w:cs="Arial"/>
                <w:b w:val="0"/>
                <w:bCs/>
                <w:szCs w:val="24"/>
              </w:rPr>
              <w:t xml:space="preserve">        </w:t>
            </w:r>
            <w:r w:rsidR="006F6C86">
              <w:rPr>
                <w:rFonts w:cs="Arial"/>
                <w:b w:val="0"/>
                <w:bCs/>
                <w:szCs w:val="24"/>
              </w:rPr>
              <w:t>&gt;</w:t>
            </w:r>
            <w:bookmarkStart w:id="6" w:name="date_filed"/>
            <w:bookmarkEnd w:id="6"/>
            <w:r>
              <w:rPr>
                <w:rFonts w:cs="Arial"/>
                <w:b w:val="0"/>
                <w:bCs/>
                <w:szCs w:val="24"/>
              </w:rPr>
              <w:t xml:space="preserve"> </w:t>
            </w:r>
          </w:p>
          <w:p w14:paraId="4519ED22" w14:textId="4BD78D61" w:rsidR="000A5303" w:rsidRDefault="00880C11" w:rsidP="000A5303">
            <w:pPr>
              <w:pStyle w:val="DocumentTitle"/>
              <w:spacing w:after="0"/>
              <w:rPr>
                <w:b w:val="0"/>
                <w:bCs/>
              </w:rPr>
            </w:pPr>
            <w:r>
              <w:rPr>
                <w:rFonts w:cs="Arial"/>
                <w:b w:val="0"/>
                <w:bCs/>
                <w:szCs w:val="24"/>
              </w:rPr>
              <w:t xml:space="preserve">Trial Date:  </w:t>
            </w:r>
            <w:bookmarkStart w:id="7" w:name="trial_date"/>
            <w:r w:rsidR="00E55C13">
              <w:rPr>
                <w:rFonts w:cs="Arial"/>
                <w:b w:val="0"/>
                <w:bCs/>
                <w:szCs w:val="24"/>
              </w:rPr>
              <w:t xml:space="preserve">        </w:t>
            </w:r>
            <w:bookmarkEnd w:id="7"/>
            <w:r w:rsidR="007B3984">
              <w:rPr>
                <w:b w:val="0"/>
                <w:bCs/>
              </w:rPr>
              <w:t>&gt;</w:t>
            </w:r>
          </w:p>
          <w:p w14:paraId="375D3B1A" w14:textId="3D2EBD1E" w:rsidR="002D1800" w:rsidRPr="000A5303" w:rsidRDefault="002D1800" w:rsidP="000A5303">
            <w:pPr>
              <w:pStyle w:val="DocumentTitle"/>
              <w:spacing w:after="0"/>
              <w:rPr>
                <w:b w:val="0"/>
                <w:bCs/>
              </w:rPr>
            </w:pPr>
          </w:p>
        </w:tc>
      </w:tr>
      <w:bookmarkEnd w:id="0"/>
    </w:tbl>
    <w:p w14:paraId="3DC53E24" w14:textId="77777777" w:rsidR="003E106C" w:rsidRPr="00601A7A" w:rsidRDefault="003E106C">
      <w:pPr>
        <w:rPr>
          <w:rFonts w:cs="Arial"/>
        </w:rPr>
      </w:pPr>
    </w:p>
    <w:p w14:paraId="1C4F2533" w14:textId="64C4C080" w:rsidR="002D1800" w:rsidRPr="00E51CF5" w:rsidRDefault="002D1800" w:rsidP="002D1800">
      <w:pPr>
        <w:spacing w:line="480" w:lineRule="exact"/>
        <w:ind w:firstLine="720"/>
      </w:pPr>
      <w:r>
        <w:t>Pursuant to California Rules of Court, Rule 3.1345 and California Code of Civil Procedure (“C.C.P.”) § 2030.3</w:t>
      </w:r>
      <w:r w:rsidRPr="002E5AD9">
        <w:rPr>
          <w:highlight w:val="yellow"/>
        </w:rPr>
        <w:t>00</w:t>
      </w:r>
      <w:r>
        <w:t xml:space="preserve"> </w:t>
      </w:r>
      <w:r>
        <w:rPr>
          <w:i/>
          <w:iCs/>
        </w:rPr>
        <w:t>et seq.</w:t>
      </w:r>
      <w:r>
        <w:t xml:space="preserve">, plaintiff </w:t>
      </w:r>
      <w:r w:rsidR="0011643B">
        <w:t>&gt;</w:t>
      </w:r>
      <w:r>
        <w:t xml:space="preserve"> respectfully submits the following separate statement in support of h</w:t>
      </w:r>
      <w:r w:rsidRPr="002E5AD9">
        <w:rPr>
          <w:highlight w:val="yellow"/>
        </w:rPr>
        <w:t>e</w:t>
      </w:r>
      <w:r>
        <w:t xml:space="preserve">r motion to compel further responses to </w:t>
      </w:r>
      <w:r w:rsidRPr="004C5091">
        <w:rPr>
          <w:u w:val="single"/>
        </w:rPr>
        <w:t xml:space="preserve">Defendant Nancy Abdou’s Response to Plaintiff Bonnie Gay’s </w:t>
      </w:r>
      <w:r w:rsidR="000A647E">
        <w:rPr>
          <w:u w:val="single"/>
        </w:rPr>
        <w:t>Special Interrogatories</w:t>
      </w:r>
      <w:r w:rsidRPr="004C5091">
        <w:rPr>
          <w:u w:val="single"/>
        </w:rPr>
        <w:t xml:space="preserve"> (Set </w:t>
      </w:r>
      <w:proofErr w:type="gramStart"/>
      <w:r w:rsidRPr="004C5091">
        <w:rPr>
          <w:u w:val="single"/>
        </w:rPr>
        <w:t>One)</w:t>
      </w:r>
      <w:r>
        <w:rPr>
          <w:u w:val="single"/>
        </w:rPr>
        <w:t>(</w:t>
      </w:r>
      <w:proofErr w:type="gramEnd"/>
      <w:r>
        <w:rPr>
          <w:u w:val="single"/>
        </w:rPr>
        <w:t>“</w:t>
      </w:r>
      <w:r w:rsidR="005F5633">
        <w:rPr>
          <w:u w:val="single"/>
        </w:rPr>
        <w:t>SROG</w:t>
      </w:r>
      <w:r>
        <w:rPr>
          <w:u w:val="single"/>
        </w:rPr>
        <w:t>1”)</w:t>
      </w:r>
      <w:r w:rsidR="009528EC">
        <w:t xml:space="preserve">.  </w:t>
      </w:r>
      <w:r>
        <w:t xml:space="preserve"> Nos. </w:t>
      </w:r>
      <w:r w:rsidR="000A647E">
        <w:t>4 and 6</w:t>
      </w:r>
      <w:r>
        <w:t>.</w:t>
      </w:r>
    </w:p>
    <w:p w14:paraId="2352C615" w14:textId="77777777" w:rsidR="002D1800" w:rsidRDefault="002D1800" w:rsidP="002D1800"/>
    <w:p w14:paraId="3985E214" w14:textId="77777777" w:rsidR="002D1800" w:rsidRDefault="002D1800" w:rsidP="002D1800"/>
    <w:p w14:paraId="603EF9EC" w14:textId="77777777" w:rsidR="002D1800" w:rsidRDefault="002D1800" w:rsidP="002D1800">
      <w:pPr>
        <w:jc w:val="center"/>
      </w:pPr>
      <w:r>
        <w:t>SEPARATE STATEMENT</w:t>
      </w:r>
    </w:p>
    <w:p w14:paraId="6B06B8B6" w14:textId="77777777" w:rsidR="002D1800" w:rsidRDefault="002D1800" w:rsidP="002D1800">
      <w:pPr>
        <w:jc w:val="center"/>
      </w:pPr>
    </w:p>
    <w:tbl>
      <w:tblPr>
        <w:tblStyle w:val="TableGrid"/>
        <w:tblW w:w="0" w:type="auto"/>
        <w:tblLook w:val="04A0" w:firstRow="1" w:lastRow="0" w:firstColumn="1" w:lastColumn="0" w:noHBand="0" w:noVBand="1"/>
      </w:tblPr>
      <w:tblGrid>
        <w:gridCol w:w="4675"/>
        <w:gridCol w:w="4675"/>
      </w:tblGrid>
      <w:tr w:rsidR="002D1800" w14:paraId="5B953365" w14:textId="77777777" w:rsidTr="00B50BB2">
        <w:tc>
          <w:tcPr>
            <w:tcW w:w="4675" w:type="dxa"/>
            <w:shd w:val="clear" w:color="auto" w:fill="D9D9D9" w:themeFill="background1" w:themeFillShade="D9"/>
          </w:tcPr>
          <w:p w14:paraId="7BE9001F" w14:textId="77777777" w:rsidR="002D1800" w:rsidRDefault="002D1800" w:rsidP="00B50BB2">
            <w:r>
              <w:t>FROG-E1, NO. 201.1</w:t>
            </w:r>
          </w:p>
        </w:tc>
        <w:tc>
          <w:tcPr>
            <w:tcW w:w="4675" w:type="dxa"/>
            <w:shd w:val="clear" w:color="auto" w:fill="D9D9D9" w:themeFill="background1" w:themeFillShade="D9"/>
          </w:tcPr>
          <w:p w14:paraId="34B69595" w14:textId="77777777" w:rsidR="002D1800" w:rsidRDefault="002D1800" w:rsidP="00B50BB2">
            <w:r>
              <w:t>RESPONESE TO FROG-E1, NO. 201.1</w:t>
            </w:r>
          </w:p>
        </w:tc>
      </w:tr>
      <w:tr w:rsidR="002D1800" w14:paraId="3E059C0C" w14:textId="77777777" w:rsidTr="00B50BB2">
        <w:tc>
          <w:tcPr>
            <w:tcW w:w="4675" w:type="dxa"/>
          </w:tcPr>
          <w:p w14:paraId="05E1815D" w14:textId="77777777" w:rsidR="002D1800" w:rsidRDefault="002D1800" w:rsidP="00B50BB2">
            <w:r>
              <w:t>Was the EMPLOYEE involved in a TERMINATION? If so:</w:t>
            </w:r>
          </w:p>
          <w:p w14:paraId="372C6DD4" w14:textId="77777777" w:rsidR="002D1800" w:rsidRDefault="002D1800" w:rsidP="002D1800">
            <w:pPr>
              <w:pStyle w:val="ListParagraph"/>
              <w:numPr>
                <w:ilvl w:val="0"/>
                <w:numId w:val="21"/>
              </w:numPr>
              <w:spacing w:line="240" w:lineRule="auto"/>
            </w:pPr>
            <w:r>
              <w:t>state all reasons for the EMPLOYEE’S TERMINATION;</w:t>
            </w:r>
          </w:p>
          <w:p w14:paraId="3E7E3BD4" w14:textId="77777777" w:rsidR="002D1800" w:rsidRDefault="002D1800" w:rsidP="002D1800">
            <w:pPr>
              <w:pStyle w:val="ListParagraph"/>
              <w:numPr>
                <w:ilvl w:val="0"/>
                <w:numId w:val="21"/>
              </w:numPr>
              <w:spacing w:line="240" w:lineRule="auto"/>
            </w:pPr>
            <w:r>
              <w:t>state the name, ADDRESS, and telephone number of each PERSON who provided any information relied upon in the TERMINATION decision; and</w:t>
            </w:r>
          </w:p>
          <w:p w14:paraId="0BC9F761" w14:textId="77777777" w:rsidR="002D1800" w:rsidRDefault="002D1800" w:rsidP="002D1800">
            <w:pPr>
              <w:pStyle w:val="ListParagraph"/>
              <w:numPr>
                <w:ilvl w:val="0"/>
                <w:numId w:val="21"/>
              </w:numPr>
              <w:spacing w:line="240" w:lineRule="auto"/>
            </w:pPr>
            <w:r>
              <w:t>state the name, ADDRESS, and telephone number of each PERSON who provided any information relied upon in the TERMINATION decision; and</w:t>
            </w:r>
          </w:p>
          <w:p w14:paraId="5E240307" w14:textId="77777777" w:rsidR="002D1800" w:rsidRDefault="002D1800" w:rsidP="002D1800">
            <w:pPr>
              <w:pStyle w:val="ListParagraph"/>
              <w:numPr>
                <w:ilvl w:val="0"/>
                <w:numId w:val="21"/>
              </w:numPr>
              <w:spacing w:line="240" w:lineRule="auto"/>
            </w:pPr>
            <w:r>
              <w:t xml:space="preserve">identify all DOCUMENTS relied upon in the TERMINATION decision. </w:t>
            </w:r>
          </w:p>
        </w:tc>
        <w:tc>
          <w:tcPr>
            <w:tcW w:w="4675" w:type="dxa"/>
          </w:tcPr>
          <w:p w14:paraId="269505A0" w14:textId="77777777" w:rsidR="002D1800" w:rsidRDefault="002D1800" w:rsidP="00B50BB2">
            <w:r>
              <w:t xml:space="preserve">On information and belief, yes.  Discovery and investigation are ongoing.  </w:t>
            </w:r>
          </w:p>
        </w:tc>
      </w:tr>
    </w:tbl>
    <w:p w14:paraId="784058CA" w14:textId="77777777" w:rsidR="002D1800" w:rsidRDefault="002D1800" w:rsidP="002D1800">
      <w:pPr>
        <w:jc w:val="center"/>
      </w:pPr>
    </w:p>
    <w:p w14:paraId="579B34D1" w14:textId="77777777" w:rsidR="002D1800" w:rsidRDefault="002D1800" w:rsidP="002D1800">
      <w:pPr>
        <w:jc w:val="center"/>
      </w:pPr>
      <w:r>
        <w:t>REASONS WHY FURTHER RESPONSES SHOULD BE COMPELLED:</w:t>
      </w:r>
    </w:p>
    <w:p w14:paraId="78462471" w14:textId="77777777" w:rsidR="002D1800" w:rsidRDefault="002D1800" w:rsidP="002D1800">
      <w:pPr>
        <w:jc w:val="center"/>
      </w:pPr>
    </w:p>
    <w:p w14:paraId="35F1002F" w14:textId="77777777" w:rsidR="002D1800" w:rsidRDefault="002D1800" w:rsidP="002D1800">
      <w:pPr>
        <w:jc w:val="center"/>
      </w:pPr>
    </w:p>
    <w:tbl>
      <w:tblPr>
        <w:tblStyle w:val="TableGrid"/>
        <w:tblW w:w="0" w:type="auto"/>
        <w:tblLook w:val="04A0" w:firstRow="1" w:lastRow="0" w:firstColumn="1" w:lastColumn="0" w:noHBand="0" w:noVBand="1"/>
      </w:tblPr>
      <w:tblGrid>
        <w:gridCol w:w="4675"/>
        <w:gridCol w:w="4675"/>
      </w:tblGrid>
      <w:tr w:rsidR="002D1800" w14:paraId="3E540F7D" w14:textId="77777777" w:rsidTr="00B50BB2">
        <w:tc>
          <w:tcPr>
            <w:tcW w:w="4675" w:type="dxa"/>
            <w:shd w:val="clear" w:color="auto" w:fill="D9D9D9" w:themeFill="background1" w:themeFillShade="D9"/>
          </w:tcPr>
          <w:p w14:paraId="79A0CBBC" w14:textId="77777777" w:rsidR="002D1800" w:rsidRDefault="002D1800" w:rsidP="00B50BB2">
            <w:r>
              <w:t>FROG-E1, NO. 201.4</w:t>
            </w:r>
          </w:p>
        </w:tc>
        <w:tc>
          <w:tcPr>
            <w:tcW w:w="4675" w:type="dxa"/>
            <w:shd w:val="clear" w:color="auto" w:fill="D9D9D9" w:themeFill="background1" w:themeFillShade="D9"/>
          </w:tcPr>
          <w:p w14:paraId="28B4E223" w14:textId="77777777" w:rsidR="002D1800" w:rsidRDefault="002D1800" w:rsidP="00B50BB2">
            <w:r>
              <w:t>RESPONESE TO FROG-E1, NO. 201.4</w:t>
            </w:r>
          </w:p>
        </w:tc>
      </w:tr>
      <w:tr w:rsidR="002D1800" w14:paraId="304DEF69" w14:textId="77777777" w:rsidTr="00B50BB2">
        <w:tc>
          <w:tcPr>
            <w:tcW w:w="4675" w:type="dxa"/>
          </w:tcPr>
          <w:p w14:paraId="39E2FFC8" w14:textId="77777777" w:rsidR="002D1800" w:rsidRDefault="002D1800" w:rsidP="00B50BB2">
            <w:r>
              <w:t>Was the TERMINATION or any other ADVERSE EMPLOYMENT ACTION referred to in Interrogatories 201.1 through 201.3 based in whole or in part on the EMPLOYEE’S job performance? If so, for each action:</w:t>
            </w:r>
          </w:p>
          <w:p w14:paraId="547B7F89" w14:textId="77777777" w:rsidR="002D1800" w:rsidRDefault="002D1800" w:rsidP="002D1800">
            <w:pPr>
              <w:pStyle w:val="ListParagraph"/>
              <w:numPr>
                <w:ilvl w:val="0"/>
                <w:numId w:val="22"/>
              </w:numPr>
              <w:spacing w:line="240" w:lineRule="auto"/>
            </w:pPr>
            <w:r>
              <w:t>identify the ADVERSE EMPLOYMENT ACTION;</w:t>
            </w:r>
          </w:p>
          <w:p w14:paraId="20D8897B" w14:textId="77777777" w:rsidR="002D1800" w:rsidRDefault="002D1800" w:rsidP="002D1800">
            <w:pPr>
              <w:pStyle w:val="ListParagraph"/>
              <w:numPr>
                <w:ilvl w:val="0"/>
                <w:numId w:val="22"/>
              </w:numPr>
              <w:spacing w:line="240" w:lineRule="auto"/>
            </w:pPr>
            <w:r>
              <w:t>identify the EMPLOYEE’S specific job performance that played a role in that ADVERSE EMPLOYMENT ACTION;</w:t>
            </w:r>
          </w:p>
          <w:p w14:paraId="2E1EFDF0" w14:textId="77777777" w:rsidR="002D1800" w:rsidRDefault="002D1800" w:rsidP="002D1800">
            <w:pPr>
              <w:pStyle w:val="ListParagraph"/>
              <w:numPr>
                <w:ilvl w:val="0"/>
                <w:numId w:val="22"/>
              </w:numPr>
              <w:spacing w:line="240" w:lineRule="auto"/>
            </w:pPr>
            <w:r>
              <w:t xml:space="preserve">identify any rules, guidelines, policies or procedures that were used to evaluate the EMPLOYEE’S specific job performance; </w:t>
            </w:r>
          </w:p>
          <w:p w14:paraId="7600BA40" w14:textId="77777777" w:rsidR="002D1800" w:rsidRDefault="002D1800" w:rsidP="002D1800">
            <w:pPr>
              <w:pStyle w:val="ListParagraph"/>
              <w:numPr>
                <w:ilvl w:val="0"/>
                <w:numId w:val="22"/>
              </w:numPr>
              <w:spacing w:line="240" w:lineRule="auto"/>
            </w:pPr>
            <w:r>
              <w:t xml:space="preserve">state the name, ADDRESS, and telephone numbers of all PERSONS who had a responsibility for evaluating the specific job performance of the EMPLOYEE; </w:t>
            </w:r>
          </w:p>
          <w:p w14:paraId="14F60FD4" w14:textId="77777777" w:rsidR="002D1800" w:rsidRDefault="002D1800" w:rsidP="002D1800">
            <w:pPr>
              <w:pStyle w:val="ListParagraph"/>
              <w:numPr>
                <w:ilvl w:val="0"/>
                <w:numId w:val="22"/>
              </w:numPr>
              <w:spacing w:line="240" w:lineRule="auto"/>
            </w:pPr>
            <w:r>
              <w:t>state the name, ADDRESS, and telephone numbers of all PERSONS who have knowledge of the EMPLOYEE’S specific job performance that played a role in the ADVERSE EMPLOYMENT ACTION; and</w:t>
            </w:r>
          </w:p>
          <w:p w14:paraId="3ECA051E" w14:textId="77777777" w:rsidR="002D1800" w:rsidRDefault="002D1800" w:rsidP="002D1800">
            <w:pPr>
              <w:pStyle w:val="ListParagraph"/>
              <w:numPr>
                <w:ilvl w:val="0"/>
                <w:numId w:val="22"/>
              </w:numPr>
              <w:spacing w:line="240" w:lineRule="auto"/>
            </w:pPr>
            <w:r>
              <w:lastRenderedPageBreak/>
              <w:t>describe all warnings given with respect to the EMPLOYEE’S specific job performance.</w:t>
            </w:r>
          </w:p>
        </w:tc>
        <w:tc>
          <w:tcPr>
            <w:tcW w:w="4675" w:type="dxa"/>
          </w:tcPr>
          <w:p w14:paraId="67332637" w14:textId="77777777" w:rsidR="002D1800" w:rsidRDefault="002D1800" w:rsidP="00B50BB2">
            <w:r>
              <w:lastRenderedPageBreak/>
              <w:t xml:space="preserve"> On information and belief, yes.  Discovery and investigation are ongoing.  </w:t>
            </w:r>
          </w:p>
        </w:tc>
      </w:tr>
    </w:tbl>
    <w:p w14:paraId="38E66A68" w14:textId="77777777" w:rsidR="002D1800" w:rsidRDefault="002D1800" w:rsidP="002D1800">
      <w:pPr>
        <w:jc w:val="center"/>
      </w:pPr>
    </w:p>
    <w:p w14:paraId="7A8CFAC2" w14:textId="77777777" w:rsidR="002D1800" w:rsidRDefault="002D1800" w:rsidP="002D1800">
      <w:pPr>
        <w:jc w:val="center"/>
      </w:pPr>
      <w:r>
        <w:t>REASONS WHY FURTHER RESPONSES SHOULD BE COMPELLED:</w:t>
      </w:r>
    </w:p>
    <w:p w14:paraId="0D7CE2A9" w14:textId="77777777" w:rsidR="002D1800" w:rsidRDefault="002D1800" w:rsidP="002D1800">
      <w:pPr>
        <w:jc w:val="center"/>
      </w:pPr>
    </w:p>
    <w:p w14:paraId="0B101C61" w14:textId="77777777" w:rsidR="002D1800" w:rsidRDefault="002D1800" w:rsidP="002D1800">
      <w:pPr>
        <w:jc w:val="center"/>
      </w:pPr>
    </w:p>
    <w:p w14:paraId="041D6472" w14:textId="77777777" w:rsidR="002D1800" w:rsidRDefault="002D1800" w:rsidP="002D1800">
      <w:pPr>
        <w:jc w:val="center"/>
      </w:pPr>
    </w:p>
    <w:p w14:paraId="76A32D85" w14:textId="77777777" w:rsidR="002D1800" w:rsidRDefault="002D1800" w:rsidP="002D1800">
      <w:pPr>
        <w:jc w:val="center"/>
      </w:pPr>
    </w:p>
    <w:tbl>
      <w:tblPr>
        <w:tblStyle w:val="TableGrid"/>
        <w:tblW w:w="0" w:type="auto"/>
        <w:tblLook w:val="04A0" w:firstRow="1" w:lastRow="0" w:firstColumn="1" w:lastColumn="0" w:noHBand="0" w:noVBand="1"/>
      </w:tblPr>
      <w:tblGrid>
        <w:gridCol w:w="4675"/>
        <w:gridCol w:w="4675"/>
      </w:tblGrid>
      <w:tr w:rsidR="002D1800" w14:paraId="72087924" w14:textId="77777777" w:rsidTr="00B50BB2">
        <w:tc>
          <w:tcPr>
            <w:tcW w:w="4675" w:type="dxa"/>
            <w:shd w:val="clear" w:color="auto" w:fill="D9D9D9" w:themeFill="background1" w:themeFillShade="D9"/>
          </w:tcPr>
          <w:p w14:paraId="6D164BCA" w14:textId="77777777" w:rsidR="002D1800" w:rsidRDefault="002D1800" w:rsidP="00B50BB2">
            <w:r>
              <w:t>FROG-E1, NO. 201.5</w:t>
            </w:r>
          </w:p>
        </w:tc>
        <w:tc>
          <w:tcPr>
            <w:tcW w:w="4675" w:type="dxa"/>
            <w:shd w:val="clear" w:color="auto" w:fill="D9D9D9" w:themeFill="background1" w:themeFillShade="D9"/>
          </w:tcPr>
          <w:p w14:paraId="0B66639F" w14:textId="77777777" w:rsidR="002D1800" w:rsidRDefault="002D1800" w:rsidP="00B50BB2">
            <w:r>
              <w:t>RESPONESE TO FROG-E1, NO. 201.5</w:t>
            </w:r>
          </w:p>
        </w:tc>
      </w:tr>
      <w:tr w:rsidR="002D1800" w14:paraId="3AFECCBF" w14:textId="77777777" w:rsidTr="00B50BB2">
        <w:tc>
          <w:tcPr>
            <w:tcW w:w="4675" w:type="dxa"/>
          </w:tcPr>
          <w:p w14:paraId="4A1C44A0" w14:textId="77777777" w:rsidR="002D1800" w:rsidRDefault="002D1800" w:rsidP="00B50BB2">
            <w:r>
              <w:t xml:space="preserve">Was any PERSON hired to replace the EMPLOYEE after the EMPLOYEE’S TERMINATION or demotion?  If so, state the PERSON’S name, job title, qualifications, ADDRESS and telephone number, and the date the PERSON was hired. </w:t>
            </w:r>
          </w:p>
        </w:tc>
        <w:tc>
          <w:tcPr>
            <w:tcW w:w="4675" w:type="dxa"/>
          </w:tcPr>
          <w:p w14:paraId="3981935B" w14:textId="77777777" w:rsidR="002D1800" w:rsidRDefault="002D1800" w:rsidP="00B50BB2">
            <w:r>
              <w:t xml:space="preserve"> On information and belief, yes.  Discovery and investigation are ongoing.  </w:t>
            </w:r>
          </w:p>
        </w:tc>
      </w:tr>
    </w:tbl>
    <w:p w14:paraId="5C018830" w14:textId="77777777" w:rsidR="002D1800" w:rsidRDefault="002D1800" w:rsidP="002D1800">
      <w:pPr>
        <w:jc w:val="center"/>
      </w:pPr>
    </w:p>
    <w:p w14:paraId="41D27A3F" w14:textId="77777777" w:rsidR="002D1800" w:rsidRDefault="002D1800" w:rsidP="002D1800">
      <w:pPr>
        <w:jc w:val="center"/>
      </w:pPr>
      <w:r>
        <w:t>REASONS WHY FURTHER RESPONSES SHOULD BE COMPELLED:</w:t>
      </w:r>
    </w:p>
    <w:p w14:paraId="42A89070" w14:textId="77777777" w:rsidR="002D1800" w:rsidRDefault="002D1800" w:rsidP="002D1800">
      <w:pPr>
        <w:jc w:val="center"/>
        <w:rPr>
          <w:b/>
          <w:bCs/>
        </w:rPr>
      </w:pPr>
    </w:p>
    <w:p w14:paraId="57B9F273" w14:textId="77777777" w:rsidR="002D1800" w:rsidRDefault="002D1800" w:rsidP="002D1800">
      <w:pPr>
        <w:jc w:val="center"/>
        <w:rPr>
          <w:b/>
          <w:bCs/>
        </w:rPr>
      </w:pPr>
    </w:p>
    <w:tbl>
      <w:tblPr>
        <w:tblStyle w:val="TableGrid"/>
        <w:tblW w:w="0" w:type="auto"/>
        <w:tblLook w:val="04A0" w:firstRow="1" w:lastRow="0" w:firstColumn="1" w:lastColumn="0" w:noHBand="0" w:noVBand="1"/>
      </w:tblPr>
      <w:tblGrid>
        <w:gridCol w:w="4675"/>
        <w:gridCol w:w="4675"/>
      </w:tblGrid>
      <w:tr w:rsidR="002D1800" w14:paraId="0841200A" w14:textId="77777777" w:rsidTr="00B50BB2">
        <w:tc>
          <w:tcPr>
            <w:tcW w:w="4675" w:type="dxa"/>
            <w:shd w:val="clear" w:color="auto" w:fill="D9D9D9" w:themeFill="background1" w:themeFillShade="D9"/>
          </w:tcPr>
          <w:p w14:paraId="139716D9" w14:textId="77777777" w:rsidR="002D1800" w:rsidRDefault="002D1800" w:rsidP="00B50BB2">
            <w:r>
              <w:t>FROG-E1, NO. 201.6</w:t>
            </w:r>
          </w:p>
        </w:tc>
        <w:tc>
          <w:tcPr>
            <w:tcW w:w="4675" w:type="dxa"/>
            <w:shd w:val="clear" w:color="auto" w:fill="D9D9D9" w:themeFill="background1" w:themeFillShade="D9"/>
          </w:tcPr>
          <w:p w14:paraId="265439FB" w14:textId="77777777" w:rsidR="002D1800" w:rsidRDefault="002D1800" w:rsidP="00B50BB2">
            <w:r>
              <w:t>RESPONESE TO FROG-E1, NO. 201.6</w:t>
            </w:r>
          </w:p>
        </w:tc>
      </w:tr>
      <w:tr w:rsidR="002D1800" w14:paraId="281DFBFE" w14:textId="77777777" w:rsidTr="00B50BB2">
        <w:tc>
          <w:tcPr>
            <w:tcW w:w="4675" w:type="dxa"/>
          </w:tcPr>
          <w:p w14:paraId="4576C88B" w14:textId="77777777" w:rsidR="002D1800" w:rsidRDefault="002D1800" w:rsidP="00B50BB2">
            <w:r>
              <w:t xml:space="preserve">Has any PERSON performed any of the EMPLOYEE’S former job duties after the EMPLOYEE’S TERMINATION or demotion? </w:t>
            </w:r>
          </w:p>
          <w:p w14:paraId="78F85D13" w14:textId="77777777" w:rsidR="002D1800" w:rsidRDefault="002D1800" w:rsidP="002D1800">
            <w:pPr>
              <w:pStyle w:val="ListParagraph"/>
              <w:numPr>
                <w:ilvl w:val="0"/>
                <w:numId w:val="23"/>
              </w:numPr>
              <w:spacing w:line="240" w:lineRule="auto"/>
            </w:pPr>
            <w:r>
              <w:t xml:space="preserve">state the PERSONS name, job title, ADDRESS, and telephone number; </w:t>
            </w:r>
          </w:p>
          <w:p w14:paraId="6B17A746" w14:textId="77777777" w:rsidR="002D1800" w:rsidRDefault="002D1800" w:rsidP="002D1800">
            <w:pPr>
              <w:pStyle w:val="ListParagraph"/>
              <w:numPr>
                <w:ilvl w:val="0"/>
                <w:numId w:val="23"/>
              </w:numPr>
              <w:spacing w:line="240" w:lineRule="auto"/>
            </w:pPr>
            <w:r>
              <w:t>identify the duties; and</w:t>
            </w:r>
          </w:p>
          <w:p w14:paraId="05790E90" w14:textId="77777777" w:rsidR="002D1800" w:rsidRDefault="002D1800" w:rsidP="002D1800">
            <w:pPr>
              <w:pStyle w:val="ListParagraph"/>
              <w:numPr>
                <w:ilvl w:val="0"/>
                <w:numId w:val="23"/>
              </w:numPr>
              <w:spacing w:line="240" w:lineRule="auto"/>
            </w:pPr>
            <w:r>
              <w:t>state the date on which the PERSON started to perform the duties.</w:t>
            </w:r>
          </w:p>
        </w:tc>
        <w:tc>
          <w:tcPr>
            <w:tcW w:w="4675" w:type="dxa"/>
          </w:tcPr>
          <w:p w14:paraId="10304D9B" w14:textId="77777777" w:rsidR="002D1800" w:rsidRDefault="002D1800" w:rsidP="00B50BB2">
            <w:r>
              <w:t xml:space="preserve"> On information and belief, yes.  Discovery and investigation are ongoing.  </w:t>
            </w:r>
          </w:p>
        </w:tc>
      </w:tr>
    </w:tbl>
    <w:p w14:paraId="2158FA18" w14:textId="77777777" w:rsidR="002D1800" w:rsidRDefault="002D1800" w:rsidP="002D1800">
      <w:pPr>
        <w:jc w:val="center"/>
      </w:pPr>
    </w:p>
    <w:p w14:paraId="6D7F34BF" w14:textId="77777777" w:rsidR="002D1800" w:rsidRDefault="002D1800" w:rsidP="002D1800">
      <w:pPr>
        <w:jc w:val="center"/>
      </w:pPr>
      <w:r>
        <w:t>REASONS WHY FURTHER RESPONSES SHOULD BE COMPELLED:</w:t>
      </w:r>
    </w:p>
    <w:p w14:paraId="44176EE9" w14:textId="77777777" w:rsidR="002D1800" w:rsidRDefault="002D1800" w:rsidP="002D1800">
      <w:pPr>
        <w:jc w:val="center"/>
        <w:rPr>
          <w:b/>
          <w:bCs/>
        </w:rPr>
      </w:pPr>
    </w:p>
    <w:p w14:paraId="5206AD4C" w14:textId="77777777" w:rsidR="002D1800" w:rsidRDefault="002D1800" w:rsidP="002D1800">
      <w:pPr>
        <w:jc w:val="center"/>
        <w:rPr>
          <w:b/>
          <w:bCs/>
        </w:rPr>
      </w:pPr>
    </w:p>
    <w:p w14:paraId="65330F7A" w14:textId="77777777" w:rsidR="002D1800" w:rsidRDefault="002D1800" w:rsidP="002D1800">
      <w:pPr>
        <w:jc w:val="center"/>
        <w:rPr>
          <w:b/>
          <w:bCs/>
        </w:rPr>
      </w:pPr>
    </w:p>
    <w:tbl>
      <w:tblPr>
        <w:tblStyle w:val="TableGrid"/>
        <w:tblW w:w="0" w:type="auto"/>
        <w:tblLook w:val="04A0" w:firstRow="1" w:lastRow="0" w:firstColumn="1" w:lastColumn="0" w:noHBand="0" w:noVBand="1"/>
      </w:tblPr>
      <w:tblGrid>
        <w:gridCol w:w="4675"/>
        <w:gridCol w:w="4675"/>
      </w:tblGrid>
      <w:tr w:rsidR="002D1800" w14:paraId="6BC660FD" w14:textId="77777777" w:rsidTr="00B50BB2">
        <w:tc>
          <w:tcPr>
            <w:tcW w:w="4675" w:type="dxa"/>
            <w:shd w:val="clear" w:color="auto" w:fill="D9D9D9" w:themeFill="background1" w:themeFillShade="D9"/>
          </w:tcPr>
          <w:p w14:paraId="72E5B779" w14:textId="77777777" w:rsidR="002D1800" w:rsidRDefault="002D1800" w:rsidP="00B50BB2">
            <w:r>
              <w:t>FROG-E1, NO. 216.1</w:t>
            </w:r>
          </w:p>
        </w:tc>
        <w:tc>
          <w:tcPr>
            <w:tcW w:w="4675" w:type="dxa"/>
            <w:shd w:val="clear" w:color="auto" w:fill="D9D9D9" w:themeFill="background1" w:themeFillShade="D9"/>
          </w:tcPr>
          <w:p w14:paraId="71BC9C55" w14:textId="77777777" w:rsidR="002D1800" w:rsidRDefault="002D1800" w:rsidP="00B50BB2">
            <w:r>
              <w:t>RESPONESE TO FROG-E1, NO. 216.1</w:t>
            </w:r>
          </w:p>
        </w:tc>
      </w:tr>
      <w:tr w:rsidR="002D1800" w14:paraId="1DC364E5" w14:textId="77777777" w:rsidTr="00B50BB2">
        <w:tc>
          <w:tcPr>
            <w:tcW w:w="4675" w:type="dxa"/>
          </w:tcPr>
          <w:p w14:paraId="3483AA58" w14:textId="77777777" w:rsidR="002D1800" w:rsidRDefault="002D1800" w:rsidP="00B50BB2">
            <w:r>
              <w:t>Identify each denial of a material allegation and each special or affirmative defense in your PLEADINGS and for each:</w:t>
            </w:r>
          </w:p>
          <w:p w14:paraId="3A2AC31E" w14:textId="77777777" w:rsidR="002D1800" w:rsidRDefault="002D1800" w:rsidP="002D1800">
            <w:pPr>
              <w:pStyle w:val="ListParagraph"/>
              <w:numPr>
                <w:ilvl w:val="0"/>
                <w:numId w:val="24"/>
              </w:numPr>
              <w:spacing w:line="240" w:lineRule="auto"/>
            </w:pPr>
            <w:r>
              <w:t xml:space="preserve">state all facts upon which you base your denial or special affirmative defense; </w:t>
            </w:r>
          </w:p>
          <w:p w14:paraId="158C24E0" w14:textId="77777777" w:rsidR="002D1800" w:rsidRDefault="002D1800" w:rsidP="002D1800">
            <w:pPr>
              <w:pStyle w:val="ListParagraph"/>
              <w:numPr>
                <w:ilvl w:val="0"/>
                <w:numId w:val="24"/>
              </w:numPr>
              <w:spacing w:line="240" w:lineRule="auto"/>
            </w:pPr>
            <w:r>
              <w:t>state the names, ADDRESSES, and telephone numbers of all PERSONS who have knowledge of those facts; and</w:t>
            </w:r>
          </w:p>
          <w:p w14:paraId="3C6F6A16" w14:textId="77777777" w:rsidR="002D1800" w:rsidRDefault="002D1800" w:rsidP="002D1800">
            <w:pPr>
              <w:pStyle w:val="ListParagraph"/>
              <w:numPr>
                <w:ilvl w:val="0"/>
                <w:numId w:val="24"/>
              </w:numPr>
              <w:spacing w:line="240" w:lineRule="auto"/>
            </w:pPr>
            <w:r>
              <w:t xml:space="preserve">identify all DOCUMENTS and all other tangible things, that support your denial or special or affirmative defense, and state the name, ADDRESS, and </w:t>
            </w:r>
            <w:r>
              <w:lastRenderedPageBreak/>
              <w:t>telephone number of the PERSON who has each DOCUMENT.</w:t>
            </w:r>
          </w:p>
        </w:tc>
        <w:tc>
          <w:tcPr>
            <w:tcW w:w="4675" w:type="dxa"/>
          </w:tcPr>
          <w:p w14:paraId="19459720" w14:textId="77777777" w:rsidR="002D1800" w:rsidRDefault="002D1800" w:rsidP="00B50BB2">
            <w:r>
              <w:lastRenderedPageBreak/>
              <w:t xml:space="preserve"> Responding Party has generally denied each and every allegation set forth in the Complaint and set forth various affirmative defenses to properly reserve its rights to do so. Further, all of Responding Party’s denials and affirmative defenses are pled so that they would not be waived, and with the belief that facts, evidence, and expert findings, opinions and documentation may come to light during discovery in this case to support such affirmative defenses.  At this time, Responding Party does not have sufficient knowledge or information to fully respond to this interrogatory, as discovery has only just begun, and has not yet been completed.  Responding Party reserves </w:t>
            </w:r>
            <w:r>
              <w:lastRenderedPageBreak/>
              <w:t xml:space="preserve">the right, without undertaking an affirmative duty to do so, to revise this response at a later date. </w:t>
            </w:r>
          </w:p>
        </w:tc>
      </w:tr>
    </w:tbl>
    <w:p w14:paraId="6C02567E" w14:textId="77777777" w:rsidR="002D1800" w:rsidRDefault="002D1800" w:rsidP="002D1800">
      <w:pPr>
        <w:jc w:val="center"/>
      </w:pPr>
    </w:p>
    <w:p w14:paraId="30BD0D8B" w14:textId="77777777" w:rsidR="002D1800" w:rsidRDefault="002D1800" w:rsidP="002D1800">
      <w:pPr>
        <w:jc w:val="center"/>
      </w:pPr>
      <w:r>
        <w:t>REASONS WHY FURTHER RESPONSES SHOULD BE COMPELLED:</w:t>
      </w:r>
    </w:p>
    <w:p w14:paraId="5FBD6B61" w14:textId="77777777" w:rsidR="002D1800" w:rsidRDefault="002D1800" w:rsidP="002D1800">
      <w:pPr>
        <w:jc w:val="center"/>
        <w:rPr>
          <w:b/>
          <w:bCs/>
        </w:rPr>
      </w:pPr>
    </w:p>
    <w:p w14:paraId="00CD58EF" w14:textId="77777777" w:rsidR="002D1800" w:rsidRDefault="002D1800" w:rsidP="002D1800">
      <w:pPr>
        <w:jc w:val="center"/>
        <w:rPr>
          <w:b/>
          <w:bCs/>
        </w:rPr>
      </w:pPr>
    </w:p>
    <w:p w14:paraId="60D9837E" w14:textId="77777777" w:rsidR="002D1800" w:rsidRDefault="002D1800" w:rsidP="002D1800">
      <w:pPr>
        <w:jc w:val="center"/>
        <w:rPr>
          <w:b/>
          <w:bCs/>
        </w:rPr>
      </w:pPr>
    </w:p>
    <w:tbl>
      <w:tblPr>
        <w:tblStyle w:val="TableGrid"/>
        <w:tblW w:w="0" w:type="auto"/>
        <w:tblLook w:val="04A0" w:firstRow="1" w:lastRow="0" w:firstColumn="1" w:lastColumn="0" w:noHBand="0" w:noVBand="1"/>
      </w:tblPr>
      <w:tblGrid>
        <w:gridCol w:w="4675"/>
        <w:gridCol w:w="4675"/>
      </w:tblGrid>
      <w:tr w:rsidR="002D1800" w14:paraId="7155B0C8" w14:textId="77777777" w:rsidTr="00B50BB2">
        <w:tc>
          <w:tcPr>
            <w:tcW w:w="4675" w:type="dxa"/>
            <w:shd w:val="clear" w:color="auto" w:fill="D9D9D9" w:themeFill="background1" w:themeFillShade="D9"/>
          </w:tcPr>
          <w:p w14:paraId="13965B3C" w14:textId="77777777" w:rsidR="002D1800" w:rsidRDefault="002D1800" w:rsidP="00B50BB2">
            <w:r>
              <w:t>FROG-E1, NO. 217.1</w:t>
            </w:r>
          </w:p>
        </w:tc>
        <w:tc>
          <w:tcPr>
            <w:tcW w:w="4675" w:type="dxa"/>
            <w:shd w:val="clear" w:color="auto" w:fill="D9D9D9" w:themeFill="background1" w:themeFillShade="D9"/>
          </w:tcPr>
          <w:p w14:paraId="0A36BF4D" w14:textId="77777777" w:rsidR="002D1800" w:rsidRDefault="002D1800" w:rsidP="00B50BB2">
            <w:r>
              <w:t>RESPONESE TO FROG-E1, NO. 217.1</w:t>
            </w:r>
          </w:p>
        </w:tc>
      </w:tr>
      <w:tr w:rsidR="002D1800" w14:paraId="63F8821F" w14:textId="77777777" w:rsidTr="00B50BB2">
        <w:tc>
          <w:tcPr>
            <w:tcW w:w="4675" w:type="dxa"/>
          </w:tcPr>
          <w:p w14:paraId="7F6BD141" w14:textId="77777777" w:rsidR="002D1800" w:rsidRDefault="002D1800" w:rsidP="00B50BB2"/>
        </w:tc>
        <w:tc>
          <w:tcPr>
            <w:tcW w:w="4675" w:type="dxa"/>
          </w:tcPr>
          <w:p w14:paraId="66479A54" w14:textId="77777777" w:rsidR="002D1800" w:rsidRDefault="002D1800" w:rsidP="00B50BB2">
            <w:r>
              <w:t xml:space="preserve"> </w:t>
            </w:r>
          </w:p>
        </w:tc>
      </w:tr>
    </w:tbl>
    <w:p w14:paraId="4FA4D7E5" w14:textId="77777777" w:rsidR="002D1800" w:rsidRDefault="002D1800" w:rsidP="002D1800">
      <w:pPr>
        <w:jc w:val="center"/>
      </w:pPr>
    </w:p>
    <w:p w14:paraId="01FB56F8" w14:textId="77777777" w:rsidR="002D1800" w:rsidRDefault="002D1800" w:rsidP="002D1800">
      <w:pPr>
        <w:jc w:val="center"/>
      </w:pPr>
      <w:r>
        <w:t>REASONS WHY FURTHER RESPONSES SHOULD BE COMPELLED:</w:t>
      </w:r>
    </w:p>
    <w:p w14:paraId="28489DDE" w14:textId="48F28E6F" w:rsidR="00EA0045" w:rsidRDefault="00EA0045" w:rsidP="002D1800">
      <w:pPr>
        <w:pStyle w:val="BodyText"/>
        <w:rPr>
          <w:rFonts w:cs="Arial"/>
        </w:rPr>
      </w:pPr>
    </w:p>
    <w:p w14:paraId="2E55B0BA" w14:textId="77777777" w:rsidR="00EA0045" w:rsidRDefault="00EA0045" w:rsidP="004C5659">
      <w:pPr>
        <w:pStyle w:val="BodyText"/>
        <w:rPr>
          <w:rFonts w:cs="Arial"/>
        </w:rPr>
      </w:pPr>
    </w:p>
    <w:p w14:paraId="7D8B9461" w14:textId="36C83CA6" w:rsidR="00D52E35" w:rsidRDefault="00BA5ECA" w:rsidP="004C5659">
      <w:pPr>
        <w:pStyle w:val="BodyText"/>
        <w:rPr>
          <w:rFonts w:cs="Arial"/>
        </w:rPr>
      </w:pPr>
      <w:r>
        <w:rPr>
          <w:rFonts w:cs="Arial"/>
        </w:rPr>
        <w:tab/>
      </w:r>
      <w:r>
        <w:rPr>
          <w:rFonts w:cs="Arial"/>
        </w:rPr>
        <w:tab/>
      </w:r>
      <w:r>
        <w:rPr>
          <w:rFonts w:cs="Arial"/>
        </w:rPr>
        <w:tab/>
      </w:r>
      <w:r>
        <w:rPr>
          <w:rFonts w:cs="Arial"/>
        </w:rPr>
        <w:tab/>
      </w:r>
      <w:r w:rsidRPr="004E244E">
        <w:rPr>
          <w:rFonts w:ascii="Book Antiqua" w:hAnsi="Book Antiqua"/>
          <w:szCs w:val="24"/>
        </w:rPr>
        <w:t>LAW OFFICE OF ZACHARY T. TYSON</w:t>
      </w:r>
    </w:p>
    <w:p w14:paraId="07A4688C" w14:textId="2194DA56" w:rsidR="002603C3" w:rsidRPr="004E244E" w:rsidRDefault="002603C3" w:rsidP="002603C3">
      <w:pPr>
        <w:pStyle w:val="BodyText"/>
        <w:spacing w:line="240" w:lineRule="auto"/>
        <w:ind w:firstLine="0"/>
        <w:rPr>
          <w:rFonts w:ascii="Book Antiqua" w:hAnsi="Book Antiqua"/>
          <w:szCs w:val="24"/>
        </w:rPr>
      </w:pPr>
      <w:r>
        <w:rPr>
          <w:rFonts w:ascii="Book Antiqua" w:hAnsi="Book Antiqua"/>
        </w:rPr>
        <w:t xml:space="preserve">Dated: </w:t>
      </w:r>
      <w:r w:rsidR="002335C8">
        <w:rPr>
          <w:rFonts w:ascii="Book Antiqua" w:hAnsi="Book Antiqua"/>
        </w:rPr>
        <w:t>September 7</w:t>
      </w:r>
      <w:r w:rsidR="00BD4024">
        <w:rPr>
          <w:rFonts w:ascii="Book Antiqua" w:hAnsi="Book Antiqua"/>
        </w:rPr>
        <w:t>, 20</w:t>
      </w:r>
      <w:r w:rsidR="00BD4024" w:rsidRPr="002E5AD9">
        <w:rPr>
          <w:rFonts w:ascii="Book Antiqua" w:hAnsi="Book Antiqua"/>
          <w:highlight w:val="yellow"/>
        </w:rPr>
        <w:t>23</w:t>
      </w:r>
      <w:r>
        <w:rPr>
          <w:rFonts w:ascii="Book Antiqua" w:hAnsi="Book Antiqua"/>
        </w:rPr>
        <w:tab/>
      </w:r>
      <w:r>
        <w:rPr>
          <w:rFonts w:ascii="Book Antiqua" w:hAnsi="Book Antiqua"/>
        </w:rPr>
        <w:tab/>
      </w:r>
    </w:p>
    <w:p w14:paraId="6E4CBB51" w14:textId="77777777" w:rsidR="002603C3" w:rsidRDefault="002603C3" w:rsidP="00BA5ECA">
      <w:pPr>
        <w:pStyle w:val="BodyText"/>
        <w:ind w:firstLine="0"/>
      </w:pPr>
    </w:p>
    <w:p w14:paraId="10BB1182" w14:textId="77777777" w:rsidR="002603C3" w:rsidRDefault="002603C3" w:rsidP="002603C3">
      <w:pPr>
        <w:pStyle w:val="123header"/>
        <w:ind w:left="2880" w:firstLine="720"/>
        <w:rPr>
          <w:rFonts w:ascii="Book Antiqua" w:hAnsi="Book Antiqua"/>
        </w:rPr>
      </w:pPr>
      <w:r>
        <w:rPr>
          <w:rFonts w:ascii="Book Antiqua" w:hAnsi="Book Antiqua"/>
        </w:rPr>
        <w:t>By: ____________________________________________</w:t>
      </w:r>
    </w:p>
    <w:p w14:paraId="739B5E19" w14:textId="77777777" w:rsidR="002603C3" w:rsidRDefault="002603C3" w:rsidP="002603C3">
      <w:pPr>
        <w:pStyle w:val="123header"/>
        <w:ind w:left="3600" w:firstLine="720"/>
        <w:rPr>
          <w:rFonts w:ascii="Book Antiqua" w:hAnsi="Book Antiqua"/>
        </w:rPr>
      </w:pPr>
      <w:r>
        <w:rPr>
          <w:rFonts w:ascii="Book Antiqua" w:hAnsi="Book Antiqua"/>
        </w:rPr>
        <w:t>Zachary T. Tyson</w:t>
      </w:r>
    </w:p>
    <w:p w14:paraId="2A75D5ED" w14:textId="58A7DAF0" w:rsidR="002603C3" w:rsidRPr="0059716B" w:rsidRDefault="002E5AD9" w:rsidP="002603C3">
      <w:pPr>
        <w:pStyle w:val="123header"/>
        <w:ind w:left="3600" w:firstLine="720"/>
        <w:rPr>
          <w:rFonts w:ascii="Book Antiqua" w:hAnsi="Book Antiqua"/>
        </w:rPr>
      </w:pPr>
      <w:r>
        <w:rPr>
          <w:rFonts w:ascii="Book Antiqua" w:hAnsi="Book Antiqua"/>
        </w:rPr>
        <w:t>&gt;</w:t>
      </w:r>
      <w:bookmarkStart w:id="8" w:name="atty_for"/>
      <w:bookmarkEnd w:id="8"/>
    </w:p>
    <w:p w14:paraId="16A65F58" w14:textId="77777777" w:rsidR="002603C3" w:rsidRDefault="002603C3" w:rsidP="004C5659">
      <w:pPr>
        <w:pStyle w:val="BodyText"/>
        <w:rPr>
          <w:rFonts w:cs="Arial"/>
        </w:rPr>
      </w:pPr>
    </w:p>
    <w:p w14:paraId="39D0F4AB" w14:textId="20471160" w:rsidR="002603C3" w:rsidRDefault="002603C3" w:rsidP="004C5659">
      <w:pPr>
        <w:pStyle w:val="BodyText"/>
        <w:rPr>
          <w:rFonts w:cs="Arial"/>
        </w:rPr>
      </w:pPr>
    </w:p>
    <w:p w14:paraId="444E141B" w14:textId="7A401402" w:rsidR="00FC284B" w:rsidRPr="00FC284B" w:rsidRDefault="00FC284B" w:rsidP="00003A85">
      <w:pPr>
        <w:pStyle w:val="BodyText"/>
        <w:ind w:firstLine="0"/>
        <w:rPr>
          <w:rFonts w:cs="Arial"/>
        </w:rPr>
      </w:pPr>
    </w:p>
    <w:sectPr w:rsidR="00FC284B" w:rsidRPr="00FC284B" w:rsidSect="003E106C">
      <w:headerReference w:type="even" r:id="rId8"/>
      <w:headerReference w:type="default" r:id="rId9"/>
      <w:footerReference w:type="even" r:id="rId10"/>
      <w:footerReference w:type="default" r:id="rId11"/>
      <w:headerReference w:type="first" r:id="rId12"/>
      <w:footerReference w:type="first" r:id="rId13"/>
      <w:pgSz w:w="12240" w:h="15840" w:code="1"/>
      <w:pgMar w:top="-1325" w:right="720" w:bottom="-1267" w:left="2088" w:header="432" w:footer="36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4BD48" w14:textId="77777777" w:rsidR="000B2330" w:rsidRDefault="000B2330">
      <w:r>
        <w:separator/>
      </w:r>
    </w:p>
  </w:endnote>
  <w:endnote w:type="continuationSeparator" w:id="0">
    <w:p w14:paraId="7DA922B2" w14:textId="77777777" w:rsidR="000B2330" w:rsidRDefault="000B2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731C3" w14:textId="77777777" w:rsidR="00806D1E" w:rsidRDefault="00806D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4032"/>
      <w:gridCol w:w="1555"/>
      <w:gridCol w:w="4032"/>
    </w:tblGrid>
    <w:tr w:rsidR="003E106C" w14:paraId="1BEDF7D3" w14:textId="77777777" w:rsidTr="00E729DB">
      <w:trPr>
        <w:cantSplit/>
        <w:trHeight w:val="320"/>
      </w:trPr>
      <w:tc>
        <w:tcPr>
          <w:tcW w:w="4032" w:type="dxa"/>
        </w:tcPr>
        <w:p w14:paraId="25315070" w14:textId="77777777" w:rsidR="003E106C" w:rsidRDefault="003E106C">
          <w:pPr>
            <w:pStyle w:val="Footer"/>
            <w:spacing w:line="160" w:lineRule="exact"/>
            <w:ind w:left="-86"/>
            <w:rPr>
              <w:sz w:val="16"/>
            </w:rPr>
          </w:pPr>
        </w:p>
      </w:tc>
      <w:tc>
        <w:tcPr>
          <w:tcW w:w="1555" w:type="dxa"/>
        </w:tcPr>
        <w:p w14:paraId="6FE795D4" w14:textId="77777777" w:rsidR="003E106C" w:rsidRDefault="003E106C" w:rsidP="003E106C">
          <w:pPr>
            <w:jc w:val="center"/>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4C5659">
            <w:rPr>
              <w:rStyle w:val="PageNumber"/>
              <w:noProof/>
            </w:rPr>
            <w:t>2</w:t>
          </w:r>
          <w:r>
            <w:rPr>
              <w:rStyle w:val="PageNumber"/>
            </w:rPr>
            <w:fldChar w:fldCharType="end"/>
          </w:r>
        </w:p>
      </w:tc>
      <w:tc>
        <w:tcPr>
          <w:tcW w:w="4032" w:type="dxa"/>
        </w:tcPr>
        <w:p w14:paraId="226BC840" w14:textId="77777777" w:rsidR="003E106C" w:rsidRDefault="003E106C">
          <w:pPr>
            <w:pStyle w:val="Footer"/>
            <w:tabs>
              <w:tab w:val="right" w:pos="5014"/>
            </w:tabs>
            <w:ind w:right="72"/>
            <w:jc w:val="right"/>
          </w:pPr>
        </w:p>
      </w:tc>
    </w:tr>
    <w:tr w:rsidR="003E106C" w14:paraId="7555937A" w14:textId="77777777" w:rsidTr="00E729DB">
      <w:trPr>
        <w:cantSplit/>
        <w:trHeight w:hRule="exact" w:val="300"/>
      </w:trPr>
      <w:tc>
        <w:tcPr>
          <w:tcW w:w="9619" w:type="dxa"/>
          <w:gridSpan w:val="3"/>
          <w:vAlign w:val="center"/>
        </w:tcPr>
        <w:p w14:paraId="13491273" w14:textId="77777777" w:rsidR="003E106C" w:rsidRDefault="003E106C">
          <w:pPr>
            <w:pStyle w:val="FooterDocumentTitle"/>
          </w:pPr>
        </w:p>
      </w:tc>
    </w:tr>
  </w:tbl>
  <w:p w14:paraId="6F079705" w14:textId="77777777" w:rsidR="006B2A7A" w:rsidRPr="003E106C" w:rsidRDefault="00000000" w:rsidP="003E10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4032"/>
      <w:gridCol w:w="1555"/>
      <w:gridCol w:w="4032"/>
    </w:tblGrid>
    <w:tr w:rsidR="003E106C" w14:paraId="39BF8F75" w14:textId="77777777" w:rsidTr="006B3A69">
      <w:trPr>
        <w:cantSplit/>
        <w:trHeight w:val="320"/>
      </w:trPr>
      <w:tc>
        <w:tcPr>
          <w:tcW w:w="4032" w:type="dxa"/>
          <w:tcBorders>
            <w:bottom w:val="single" w:sz="4" w:space="0" w:color="auto"/>
          </w:tcBorders>
        </w:tcPr>
        <w:p w14:paraId="751C4E72" w14:textId="77777777" w:rsidR="003E106C" w:rsidRDefault="003E106C">
          <w:pPr>
            <w:pStyle w:val="Footer"/>
            <w:spacing w:line="160" w:lineRule="exact"/>
            <w:ind w:left="-86"/>
            <w:rPr>
              <w:sz w:val="16"/>
            </w:rPr>
          </w:pPr>
        </w:p>
      </w:tc>
      <w:tc>
        <w:tcPr>
          <w:tcW w:w="1555" w:type="dxa"/>
          <w:tcBorders>
            <w:bottom w:val="single" w:sz="4" w:space="0" w:color="auto"/>
          </w:tcBorders>
        </w:tcPr>
        <w:p w14:paraId="59FA6FF6" w14:textId="77777777" w:rsidR="003E106C" w:rsidRDefault="003E106C" w:rsidP="003E106C">
          <w:pPr>
            <w:jc w:val="center"/>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FE04A2">
            <w:rPr>
              <w:rStyle w:val="PageNumber"/>
              <w:noProof/>
            </w:rPr>
            <w:t>1</w:t>
          </w:r>
          <w:r>
            <w:rPr>
              <w:rStyle w:val="PageNumber"/>
            </w:rPr>
            <w:fldChar w:fldCharType="end"/>
          </w:r>
        </w:p>
      </w:tc>
      <w:tc>
        <w:tcPr>
          <w:tcW w:w="4032" w:type="dxa"/>
          <w:tcBorders>
            <w:bottom w:val="single" w:sz="4" w:space="0" w:color="auto"/>
          </w:tcBorders>
        </w:tcPr>
        <w:p w14:paraId="77A616A4" w14:textId="77777777" w:rsidR="003E106C" w:rsidRDefault="003E106C">
          <w:pPr>
            <w:pStyle w:val="Footer"/>
            <w:tabs>
              <w:tab w:val="right" w:pos="5014"/>
            </w:tabs>
            <w:ind w:right="72"/>
            <w:jc w:val="right"/>
          </w:pPr>
        </w:p>
      </w:tc>
    </w:tr>
    <w:tr w:rsidR="003E106C" w14:paraId="6D8FD84B" w14:textId="77777777" w:rsidTr="006B3A69">
      <w:trPr>
        <w:cantSplit/>
        <w:trHeight w:hRule="exact" w:val="300"/>
      </w:trPr>
      <w:tc>
        <w:tcPr>
          <w:tcW w:w="9619" w:type="dxa"/>
          <w:gridSpan w:val="3"/>
          <w:tcBorders>
            <w:top w:val="single" w:sz="4" w:space="0" w:color="auto"/>
          </w:tcBorders>
          <w:vAlign w:val="center"/>
        </w:tcPr>
        <w:p w14:paraId="04EF5B57" w14:textId="05705129" w:rsidR="003E106C" w:rsidRDefault="00AD773C" w:rsidP="003E106C">
          <w:pPr>
            <w:pStyle w:val="FooterDocumentTitle"/>
            <w:jc w:val="center"/>
          </w:pPr>
          <w:r>
            <w:t>SEPARATE STATEMENT</w:t>
          </w:r>
        </w:p>
      </w:tc>
    </w:tr>
  </w:tbl>
  <w:p w14:paraId="42699E39" w14:textId="77777777" w:rsidR="006B2A7A" w:rsidRPr="003E106C" w:rsidRDefault="00000000" w:rsidP="003E1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635DD" w14:textId="77777777" w:rsidR="000B2330" w:rsidRDefault="000B2330">
      <w:r>
        <w:separator/>
      </w:r>
    </w:p>
  </w:footnote>
  <w:footnote w:type="continuationSeparator" w:id="0">
    <w:p w14:paraId="08EA8C36" w14:textId="77777777" w:rsidR="000B2330" w:rsidRDefault="000B23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3424F" w14:textId="77777777" w:rsidR="00806D1E" w:rsidRDefault="00806D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827" w:type="dxa"/>
      <w:tblLayout w:type="fixed"/>
      <w:tblCellMar>
        <w:left w:w="0" w:type="dxa"/>
        <w:right w:w="0" w:type="dxa"/>
      </w:tblCellMar>
      <w:tblLook w:val="0000" w:firstRow="0" w:lastRow="0" w:firstColumn="0" w:lastColumn="0" w:noHBand="0" w:noVBand="0"/>
    </w:tblPr>
    <w:tblGrid>
      <w:gridCol w:w="630"/>
      <w:gridCol w:w="9720"/>
    </w:tblGrid>
    <w:tr w:rsidR="003E106C" w14:paraId="104498F6" w14:textId="77777777" w:rsidTr="003E106C">
      <w:trPr>
        <w:trHeight w:hRule="exact" w:val="14880"/>
      </w:trPr>
      <w:tc>
        <w:tcPr>
          <w:tcW w:w="630" w:type="dxa"/>
          <w:tcBorders>
            <w:right w:val="double" w:sz="6" w:space="0" w:color="auto"/>
          </w:tcBorders>
        </w:tcPr>
        <w:p w14:paraId="43649AE5" w14:textId="77777777" w:rsidR="003E106C" w:rsidRDefault="003E106C">
          <w:pPr>
            <w:pStyle w:val="HeaderNumbers"/>
            <w:spacing w:before="700"/>
          </w:pPr>
          <w:r>
            <w:t>1</w:t>
          </w:r>
          <w:r>
            <w:br/>
            <w:t>2</w:t>
          </w:r>
          <w:r>
            <w:br/>
            <w:t>3</w:t>
          </w:r>
          <w:r>
            <w:br/>
            <w:t>4</w:t>
          </w:r>
          <w:r>
            <w:br/>
            <w:t>5</w:t>
          </w:r>
          <w:r>
            <w:br/>
            <w:t>6</w:t>
          </w:r>
          <w:r>
            <w:br/>
            <w:t>7</w:t>
          </w:r>
          <w:r>
            <w:br/>
            <w:t>8</w:t>
          </w:r>
          <w:r>
            <w:br/>
            <w:t>9</w:t>
          </w:r>
          <w:r>
            <w:br/>
            <w:t>10</w:t>
          </w:r>
          <w:r>
            <w:br/>
            <w:t>11</w:t>
          </w:r>
          <w:r>
            <w:br/>
            <w:t>12</w:t>
          </w:r>
          <w:r>
            <w:br/>
            <w:t>13</w:t>
          </w:r>
          <w:r>
            <w:br/>
            <w:t>14</w:t>
          </w:r>
          <w:r>
            <w:br/>
            <w:t>15</w:t>
          </w:r>
          <w:r>
            <w:br/>
            <w:t>16</w:t>
          </w:r>
          <w:r>
            <w:br/>
            <w:t>17</w:t>
          </w:r>
          <w:r>
            <w:br/>
            <w:t>18</w:t>
          </w:r>
          <w:r>
            <w:br/>
            <w:t>19</w:t>
          </w:r>
          <w:r>
            <w:br/>
            <w:t>20</w:t>
          </w:r>
          <w:r>
            <w:br/>
            <w:t>21</w:t>
          </w:r>
          <w:r>
            <w:br/>
            <w:t>22</w:t>
          </w:r>
          <w:r>
            <w:br/>
            <w:t>23</w:t>
          </w:r>
          <w:r>
            <w:br/>
            <w:t>24</w:t>
          </w:r>
          <w:r>
            <w:br/>
            <w:t>25</w:t>
          </w:r>
          <w:r>
            <w:br/>
            <w:t>26</w:t>
          </w:r>
          <w:r>
            <w:br/>
            <w:t>27</w:t>
          </w:r>
          <w:r>
            <w:br/>
            <w:t>28</w:t>
          </w:r>
        </w:p>
      </w:tc>
      <w:tc>
        <w:tcPr>
          <w:tcW w:w="9720" w:type="dxa"/>
          <w:tcBorders>
            <w:right w:val="single" w:sz="6" w:space="0" w:color="auto"/>
          </w:tcBorders>
        </w:tcPr>
        <w:p w14:paraId="05971671" w14:textId="77777777" w:rsidR="003E106C" w:rsidRDefault="003E106C">
          <w:pPr>
            <w:tabs>
              <w:tab w:val="center" w:pos="4853"/>
              <w:tab w:val="right" w:pos="9547"/>
            </w:tabs>
            <w:ind w:left="113" w:right="113"/>
          </w:pPr>
        </w:p>
      </w:tc>
    </w:tr>
  </w:tbl>
  <w:p w14:paraId="32ACD9C7" w14:textId="77777777" w:rsidR="006B2A7A" w:rsidRPr="003E106C" w:rsidRDefault="00000000" w:rsidP="003E10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827" w:type="dxa"/>
      <w:tblLayout w:type="fixed"/>
      <w:tblCellMar>
        <w:left w:w="0" w:type="dxa"/>
        <w:right w:w="0" w:type="dxa"/>
      </w:tblCellMar>
      <w:tblLook w:val="0000" w:firstRow="0" w:lastRow="0" w:firstColumn="0" w:lastColumn="0" w:noHBand="0" w:noVBand="0"/>
    </w:tblPr>
    <w:tblGrid>
      <w:gridCol w:w="630"/>
      <w:gridCol w:w="9720"/>
    </w:tblGrid>
    <w:tr w:rsidR="003E106C" w14:paraId="17CCD554" w14:textId="77777777" w:rsidTr="003E106C">
      <w:trPr>
        <w:trHeight w:hRule="exact" w:val="14880"/>
      </w:trPr>
      <w:tc>
        <w:tcPr>
          <w:tcW w:w="630" w:type="dxa"/>
          <w:tcBorders>
            <w:right w:val="double" w:sz="6" w:space="0" w:color="auto"/>
          </w:tcBorders>
        </w:tcPr>
        <w:p w14:paraId="667C08E9" w14:textId="77777777" w:rsidR="003E106C" w:rsidRDefault="003E106C">
          <w:pPr>
            <w:pStyle w:val="HeaderNumbers"/>
            <w:spacing w:before="700"/>
          </w:pPr>
          <w:r>
            <w:t>1</w:t>
          </w:r>
          <w:r>
            <w:br/>
            <w:t>2</w:t>
          </w:r>
          <w:r>
            <w:br/>
            <w:t>3</w:t>
          </w:r>
          <w:r>
            <w:br/>
            <w:t>4</w:t>
          </w:r>
          <w:r>
            <w:br/>
            <w:t>5</w:t>
          </w:r>
          <w:r>
            <w:br/>
            <w:t>6</w:t>
          </w:r>
          <w:r>
            <w:br/>
            <w:t>7</w:t>
          </w:r>
          <w:r>
            <w:br/>
            <w:t>8</w:t>
          </w:r>
          <w:r>
            <w:br/>
            <w:t>9</w:t>
          </w:r>
          <w:r>
            <w:br/>
            <w:t>10</w:t>
          </w:r>
          <w:r>
            <w:br/>
            <w:t>11</w:t>
          </w:r>
          <w:r>
            <w:br/>
            <w:t>12</w:t>
          </w:r>
          <w:r>
            <w:br/>
            <w:t>13</w:t>
          </w:r>
          <w:r>
            <w:br/>
            <w:t>14</w:t>
          </w:r>
          <w:r>
            <w:br/>
            <w:t>15</w:t>
          </w:r>
          <w:r>
            <w:br/>
            <w:t>16</w:t>
          </w:r>
          <w:r>
            <w:br/>
            <w:t>17</w:t>
          </w:r>
          <w:r>
            <w:br/>
            <w:t>18</w:t>
          </w:r>
          <w:r>
            <w:br/>
            <w:t>19</w:t>
          </w:r>
          <w:r>
            <w:br/>
            <w:t>20</w:t>
          </w:r>
          <w:r>
            <w:br/>
            <w:t>21</w:t>
          </w:r>
          <w:r>
            <w:br/>
            <w:t>22</w:t>
          </w:r>
          <w:r>
            <w:br/>
            <w:t>23</w:t>
          </w:r>
          <w:r>
            <w:br/>
            <w:t>24</w:t>
          </w:r>
          <w:r>
            <w:br/>
            <w:t>25</w:t>
          </w:r>
          <w:r>
            <w:br/>
            <w:t>26</w:t>
          </w:r>
          <w:r>
            <w:br/>
            <w:t>27</w:t>
          </w:r>
          <w:r>
            <w:br/>
            <w:t>28</w:t>
          </w:r>
        </w:p>
      </w:tc>
      <w:tc>
        <w:tcPr>
          <w:tcW w:w="9720" w:type="dxa"/>
          <w:tcBorders>
            <w:right w:val="single" w:sz="6" w:space="0" w:color="auto"/>
          </w:tcBorders>
        </w:tcPr>
        <w:p w14:paraId="3F6EC6C9" w14:textId="77777777" w:rsidR="003E106C" w:rsidRDefault="003E106C">
          <w:pPr>
            <w:tabs>
              <w:tab w:val="center" w:pos="4853"/>
              <w:tab w:val="right" w:pos="9547"/>
            </w:tabs>
            <w:ind w:left="113" w:right="113"/>
          </w:pPr>
        </w:p>
      </w:tc>
    </w:tr>
  </w:tbl>
  <w:p w14:paraId="2820B5DC" w14:textId="77777777" w:rsidR="006B2A7A" w:rsidRPr="003E106C" w:rsidRDefault="00000000" w:rsidP="003E10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92D69CAE"/>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EC88A4F6"/>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39B084C8"/>
    <w:lvl w:ilvl="0">
      <w:start w:val="1"/>
      <w:numFmt w:val="decimal"/>
      <w:pStyle w:val="ListNumber2"/>
      <w:lvlText w:val="%1."/>
      <w:lvlJc w:val="left"/>
      <w:pPr>
        <w:tabs>
          <w:tab w:val="num" w:pos="720"/>
        </w:tabs>
        <w:ind w:left="720" w:hanging="360"/>
      </w:pPr>
    </w:lvl>
  </w:abstractNum>
  <w:abstractNum w:abstractNumId="3" w15:restartNumberingAfterBreak="0">
    <w:nsid w:val="FFFFFF82"/>
    <w:multiLevelType w:val="singleLevel"/>
    <w:tmpl w:val="EA7299E4"/>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C930B606"/>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9BF6A0B4"/>
    <w:lvl w:ilvl="0">
      <w:start w:val="1"/>
      <w:numFmt w:val="decimal"/>
      <w:pStyle w:val="ListNumber"/>
      <w:lvlText w:val="%1."/>
      <w:lvlJc w:val="left"/>
      <w:pPr>
        <w:tabs>
          <w:tab w:val="num" w:pos="360"/>
        </w:tabs>
        <w:ind w:left="360" w:hanging="360"/>
      </w:pPr>
    </w:lvl>
  </w:abstractNum>
  <w:abstractNum w:abstractNumId="6" w15:restartNumberingAfterBreak="0">
    <w:nsid w:val="FFFFFF89"/>
    <w:multiLevelType w:val="singleLevel"/>
    <w:tmpl w:val="94C4ADC4"/>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3C135E96"/>
    <w:multiLevelType w:val="hybridMultilevel"/>
    <w:tmpl w:val="23F49768"/>
    <w:lvl w:ilvl="0" w:tplc="37263A32">
      <w:start w:val="1"/>
      <w:numFmt w:val="low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8" w15:restartNumberingAfterBreak="0">
    <w:nsid w:val="3E3A77E5"/>
    <w:multiLevelType w:val="hybridMultilevel"/>
    <w:tmpl w:val="1E4A3DA2"/>
    <w:lvl w:ilvl="0" w:tplc="B47A33BC">
      <w:start w:val="1"/>
      <w:numFmt w:val="low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9" w15:restartNumberingAfterBreak="0">
    <w:nsid w:val="56042C05"/>
    <w:multiLevelType w:val="hybridMultilevel"/>
    <w:tmpl w:val="7B609DD8"/>
    <w:lvl w:ilvl="0" w:tplc="52107F84">
      <w:start w:val="1"/>
      <w:numFmt w:val="low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0" w15:restartNumberingAfterBreak="0">
    <w:nsid w:val="6FDE687B"/>
    <w:multiLevelType w:val="hybridMultilevel"/>
    <w:tmpl w:val="3C70DD80"/>
    <w:lvl w:ilvl="0" w:tplc="5D005A6C">
      <w:start w:val="1"/>
      <w:numFmt w:val="low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num w:numId="1" w16cid:durableId="1750033456">
    <w:abstractNumId w:val="6"/>
  </w:num>
  <w:num w:numId="2" w16cid:durableId="146749344">
    <w:abstractNumId w:val="6"/>
  </w:num>
  <w:num w:numId="3" w16cid:durableId="459342285">
    <w:abstractNumId w:val="4"/>
  </w:num>
  <w:num w:numId="4" w16cid:durableId="776563638">
    <w:abstractNumId w:val="4"/>
  </w:num>
  <w:num w:numId="5" w16cid:durableId="168183718">
    <w:abstractNumId w:val="3"/>
  </w:num>
  <w:num w:numId="6" w16cid:durableId="1143352461">
    <w:abstractNumId w:val="3"/>
  </w:num>
  <w:num w:numId="7" w16cid:durableId="1715303580">
    <w:abstractNumId w:val="5"/>
  </w:num>
  <w:num w:numId="8" w16cid:durableId="1204249833">
    <w:abstractNumId w:val="5"/>
  </w:num>
  <w:num w:numId="9" w16cid:durableId="208148227">
    <w:abstractNumId w:val="2"/>
  </w:num>
  <w:num w:numId="10" w16cid:durableId="1119955560">
    <w:abstractNumId w:val="2"/>
  </w:num>
  <w:num w:numId="11" w16cid:durableId="219365610">
    <w:abstractNumId w:val="1"/>
  </w:num>
  <w:num w:numId="12" w16cid:durableId="868108680">
    <w:abstractNumId w:val="1"/>
  </w:num>
  <w:num w:numId="13" w16cid:durableId="1799184356">
    <w:abstractNumId w:val="0"/>
  </w:num>
  <w:num w:numId="14" w16cid:durableId="970214129">
    <w:abstractNumId w:val="0"/>
  </w:num>
  <w:num w:numId="15" w16cid:durableId="2114126917">
    <w:abstractNumId w:val="6"/>
  </w:num>
  <w:num w:numId="16" w16cid:durableId="1236167311">
    <w:abstractNumId w:val="4"/>
  </w:num>
  <w:num w:numId="17" w16cid:durableId="1771928341">
    <w:abstractNumId w:val="3"/>
  </w:num>
  <w:num w:numId="18" w16cid:durableId="840242191">
    <w:abstractNumId w:val="5"/>
  </w:num>
  <w:num w:numId="19" w16cid:durableId="2032023475">
    <w:abstractNumId w:val="2"/>
  </w:num>
  <w:num w:numId="20" w16cid:durableId="1848329102">
    <w:abstractNumId w:val="1"/>
  </w:num>
  <w:num w:numId="21" w16cid:durableId="1177695527">
    <w:abstractNumId w:val="9"/>
  </w:num>
  <w:num w:numId="22" w16cid:durableId="1424496043">
    <w:abstractNumId w:val="10"/>
  </w:num>
  <w:num w:numId="23" w16cid:durableId="1687487428">
    <w:abstractNumId w:val="7"/>
  </w:num>
  <w:num w:numId="24" w16cid:durableId="5399006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8"/>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66D"/>
    <w:rsid w:val="00003A85"/>
    <w:rsid w:val="00007830"/>
    <w:rsid w:val="000175ED"/>
    <w:rsid w:val="00027049"/>
    <w:rsid w:val="00034B19"/>
    <w:rsid w:val="00035AA8"/>
    <w:rsid w:val="00053D1F"/>
    <w:rsid w:val="00071193"/>
    <w:rsid w:val="00073196"/>
    <w:rsid w:val="00081DDC"/>
    <w:rsid w:val="000962F4"/>
    <w:rsid w:val="000A5303"/>
    <w:rsid w:val="000A647E"/>
    <w:rsid w:val="000B2330"/>
    <w:rsid w:val="000B2939"/>
    <w:rsid w:val="000B4B2A"/>
    <w:rsid w:val="000E1BAD"/>
    <w:rsid w:val="000F556E"/>
    <w:rsid w:val="0011643B"/>
    <w:rsid w:val="00117E29"/>
    <w:rsid w:val="0012074D"/>
    <w:rsid w:val="001218A7"/>
    <w:rsid w:val="001222E4"/>
    <w:rsid w:val="001529DE"/>
    <w:rsid w:val="00155CB1"/>
    <w:rsid w:val="0017255B"/>
    <w:rsid w:val="0017490D"/>
    <w:rsid w:val="001A4D66"/>
    <w:rsid w:val="001A5EF1"/>
    <w:rsid w:val="001A62BB"/>
    <w:rsid w:val="001A69EE"/>
    <w:rsid w:val="001A742F"/>
    <w:rsid w:val="001B5D22"/>
    <w:rsid w:val="001C16D2"/>
    <w:rsid w:val="001E31B6"/>
    <w:rsid w:val="002027AE"/>
    <w:rsid w:val="00230C1C"/>
    <w:rsid w:val="002335C8"/>
    <w:rsid w:val="00235F8B"/>
    <w:rsid w:val="00245B82"/>
    <w:rsid w:val="002603C3"/>
    <w:rsid w:val="00264E4C"/>
    <w:rsid w:val="0027252F"/>
    <w:rsid w:val="002B313B"/>
    <w:rsid w:val="002D1800"/>
    <w:rsid w:val="002D54F6"/>
    <w:rsid w:val="002E2398"/>
    <w:rsid w:val="002E299F"/>
    <w:rsid w:val="002E4936"/>
    <w:rsid w:val="002E5AD9"/>
    <w:rsid w:val="002F3663"/>
    <w:rsid w:val="00341745"/>
    <w:rsid w:val="0035256A"/>
    <w:rsid w:val="003C6154"/>
    <w:rsid w:val="003E106C"/>
    <w:rsid w:val="003E289A"/>
    <w:rsid w:val="003F0567"/>
    <w:rsid w:val="0041274C"/>
    <w:rsid w:val="00420119"/>
    <w:rsid w:val="00425697"/>
    <w:rsid w:val="00437F4D"/>
    <w:rsid w:val="00464154"/>
    <w:rsid w:val="00466DFB"/>
    <w:rsid w:val="00473BD4"/>
    <w:rsid w:val="00481A3B"/>
    <w:rsid w:val="00486637"/>
    <w:rsid w:val="004919A0"/>
    <w:rsid w:val="004949ED"/>
    <w:rsid w:val="004A7FA8"/>
    <w:rsid w:val="004C5659"/>
    <w:rsid w:val="004C5737"/>
    <w:rsid w:val="004D4CE0"/>
    <w:rsid w:val="004F608B"/>
    <w:rsid w:val="00560CF3"/>
    <w:rsid w:val="005B58F2"/>
    <w:rsid w:val="005C62EC"/>
    <w:rsid w:val="005F5633"/>
    <w:rsid w:val="00601A7A"/>
    <w:rsid w:val="00606704"/>
    <w:rsid w:val="00612BB0"/>
    <w:rsid w:val="00615346"/>
    <w:rsid w:val="006562C3"/>
    <w:rsid w:val="00673960"/>
    <w:rsid w:val="00674EA8"/>
    <w:rsid w:val="006831DE"/>
    <w:rsid w:val="006B3A69"/>
    <w:rsid w:val="006C12A7"/>
    <w:rsid w:val="006F6C86"/>
    <w:rsid w:val="006F6EAA"/>
    <w:rsid w:val="006F78BF"/>
    <w:rsid w:val="0070157D"/>
    <w:rsid w:val="00701D0F"/>
    <w:rsid w:val="007072CC"/>
    <w:rsid w:val="00712011"/>
    <w:rsid w:val="00737DA9"/>
    <w:rsid w:val="00740C73"/>
    <w:rsid w:val="007473DD"/>
    <w:rsid w:val="00766EAE"/>
    <w:rsid w:val="0077513C"/>
    <w:rsid w:val="007920DC"/>
    <w:rsid w:val="007B3984"/>
    <w:rsid w:val="007C4564"/>
    <w:rsid w:val="007C4D8D"/>
    <w:rsid w:val="007D3E21"/>
    <w:rsid w:val="007F1195"/>
    <w:rsid w:val="00806D1E"/>
    <w:rsid w:val="00835B3E"/>
    <w:rsid w:val="008363C5"/>
    <w:rsid w:val="00864C11"/>
    <w:rsid w:val="00880C11"/>
    <w:rsid w:val="00894856"/>
    <w:rsid w:val="008B4103"/>
    <w:rsid w:val="008C3787"/>
    <w:rsid w:val="008D01DD"/>
    <w:rsid w:val="008D57CD"/>
    <w:rsid w:val="008D7C05"/>
    <w:rsid w:val="008F20FC"/>
    <w:rsid w:val="008F2D97"/>
    <w:rsid w:val="00902184"/>
    <w:rsid w:val="0093029B"/>
    <w:rsid w:val="009306CA"/>
    <w:rsid w:val="0093221D"/>
    <w:rsid w:val="00942248"/>
    <w:rsid w:val="009528EC"/>
    <w:rsid w:val="00955059"/>
    <w:rsid w:val="009B03C5"/>
    <w:rsid w:val="009B748E"/>
    <w:rsid w:val="009D6F58"/>
    <w:rsid w:val="009F6C57"/>
    <w:rsid w:val="00A33248"/>
    <w:rsid w:val="00A92C0F"/>
    <w:rsid w:val="00AB3E45"/>
    <w:rsid w:val="00AD45B7"/>
    <w:rsid w:val="00AD773C"/>
    <w:rsid w:val="00AE2C69"/>
    <w:rsid w:val="00B06170"/>
    <w:rsid w:val="00B1298E"/>
    <w:rsid w:val="00B135E8"/>
    <w:rsid w:val="00B13F69"/>
    <w:rsid w:val="00B14990"/>
    <w:rsid w:val="00B348AA"/>
    <w:rsid w:val="00B44D13"/>
    <w:rsid w:val="00B577ED"/>
    <w:rsid w:val="00B7228A"/>
    <w:rsid w:val="00B90739"/>
    <w:rsid w:val="00BA5ECA"/>
    <w:rsid w:val="00BD4024"/>
    <w:rsid w:val="00BE38A2"/>
    <w:rsid w:val="00C03268"/>
    <w:rsid w:val="00C0521F"/>
    <w:rsid w:val="00C578E3"/>
    <w:rsid w:val="00C647EA"/>
    <w:rsid w:val="00C85E9E"/>
    <w:rsid w:val="00C862AD"/>
    <w:rsid w:val="00CD289C"/>
    <w:rsid w:val="00CD6DC3"/>
    <w:rsid w:val="00CD7A5C"/>
    <w:rsid w:val="00CF52B7"/>
    <w:rsid w:val="00CF7F60"/>
    <w:rsid w:val="00D06654"/>
    <w:rsid w:val="00D5066D"/>
    <w:rsid w:val="00D52E35"/>
    <w:rsid w:val="00D74426"/>
    <w:rsid w:val="00D76BA6"/>
    <w:rsid w:val="00D925FB"/>
    <w:rsid w:val="00DC5FA0"/>
    <w:rsid w:val="00DD3FD5"/>
    <w:rsid w:val="00DD562D"/>
    <w:rsid w:val="00E0544F"/>
    <w:rsid w:val="00E05B03"/>
    <w:rsid w:val="00E0742C"/>
    <w:rsid w:val="00E37FF7"/>
    <w:rsid w:val="00E55C13"/>
    <w:rsid w:val="00E62839"/>
    <w:rsid w:val="00E66310"/>
    <w:rsid w:val="00E6656C"/>
    <w:rsid w:val="00E729DB"/>
    <w:rsid w:val="00E87599"/>
    <w:rsid w:val="00E9256E"/>
    <w:rsid w:val="00EA0045"/>
    <w:rsid w:val="00EA52F2"/>
    <w:rsid w:val="00EA7908"/>
    <w:rsid w:val="00EB4283"/>
    <w:rsid w:val="00ED6C03"/>
    <w:rsid w:val="00EE5163"/>
    <w:rsid w:val="00EF0801"/>
    <w:rsid w:val="00F00342"/>
    <w:rsid w:val="00F2136F"/>
    <w:rsid w:val="00F318A3"/>
    <w:rsid w:val="00F372D8"/>
    <w:rsid w:val="00F543D0"/>
    <w:rsid w:val="00F80235"/>
    <w:rsid w:val="00F83EA6"/>
    <w:rsid w:val="00FB0463"/>
    <w:rsid w:val="00FB5B72"/>
    <w:rsid w:val="00FC08D3"/>
    <w:rsid w:val="00FC284B"/>
    <w:rsid w:val="00FE04A2"/>
    <w:rsid w:val="00FE6024"/>
    <w:rsid w:val="00FF7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D0A3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1529DE"/>
    <w:pPr>
      <w:widowControl w:val="0"/>
      <w:spacing w:line="240" w:lineRule="exact"/>
    </w:pPr>
    <w:rPr>
      <w:rFonts w:ascii="Arial" w:hAnsi="Arial"/>
      <w:sz w:val="24"/>
    </w:rPr>
  </w:style>
  <w:style w:type="paragraph" w:styleId="Heading1">
    <w:name w:val="heading 1"/>
    <w:basedOn w:val="Normal"/>
    <w:next w:val="Normal"/>
    <w:link w:val="Heading1Char"/>
    <w:rsid w:val="007C4D8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E106C"/>
    <w:pPr>
      <w:spacing w:line="480" w:lineRule="exact"/>
      <w:ind w:firstLine="720"/>
    </w:pPr>
  </w:style>
  <w:style w:type="paragraph" w:customStyle="1" w:styleId="BodyTextContinued">
    <w:name w:val="Body Text Continued"/>
    <w:basedOn w:val="BodyText"/>
    <w:next w:val="BodyText"/>
    <w:qFormat/>
    <w:rsid w:val="003E106C"/>
    <w:pPr>
      <w:ind w:firstLine="0"/>
    </w:pPr>
  </w:style>
  <w:style w:type="paragraph" w:styleId="BodyTextIndent">
    <w:name w:val="Body Text Indent"/>
    <w:basedOn w:val="BodyText"/>
    <w:next w:val="BodyText"/>
    <w:pPr>
      <w:ind w:left="720" w:firstLine="0"/>
    </w:pPr>
  </w:style>
  <w:style w:type="paragraph" w:styleId="Footer">
    <w:name w:val="footer"/>
    <w:basedOn w:val="Normal"/>
    <w:rsid w:val="003E106C"/>
    <w:pPr>
      <w:tabs>
        <w:tab w:val="center" w:pos="4320"/>
        <w:tab w:val="right" w:pos="9360"/>
      </w:tabs>
      <w:spacing w:line="200" w:lineRule="exact"/>
    </w:pPr>
  </w:style>
  <w:style w:type="paragraph" w:styleId="Header">
    <w:name w:val="header"/>
    <w:basedOn w:val="Normal"/>
    <w:rsid w:val="003E106C"/>
    <w:pPr>
      <w:tabs>
        <w:tab w:val="center" w:pos="4320"/>
        <w:tab w:val="right" w:pos="9360"/>
      </w:tabs>
    </w:pPr>
  </w:style>
  <w:style w:type="paragraph" w:customStyle="1" w:styleId="HeaderNumbers">
    <w:name w:val="HeaderNumbers"/>
    <w:basedOn w:val="Normal"/>
    <w:rsid w:val="003E106C"/>
    <w:pPr>
      <w:spacing w:before="720" w:line="480" w:lineRule="exact"/>
      <w:ind w:right="144"/>
      <w:jc w:val="right"/>
    </w:pPr>
  </w:style>
  <w:style w:type="paragraph" w:styleId="NormalIndent">
    <w:name w:val="Normal Indent"/>
    <w:basedOn w:val="Normal"/>
    <w:pPr>
      <w:ind w:left="720" w:right="720"/>
    </w:pPr>
  </w:style>
  <w:style w:type="character" w:styleId="PageNumber">
    <w:name w:val="page number"/>
    <w:basedOn w:val="DefaultParagraphFont"/>
    <w:rsid w:val="003E106C"/>
    <w:rPr>
      <w:sz w:val="24"/>
    </w:rPr>
  </w:style>
  <w:style w:type="character" w:customStyle="1" w:styleId="Heading1Char">
    <w:name w:val="Heading 1 Char"/>
    <w:basedOn w:val="DefaultParagraphFont"/>
    <w:link w:val="Heading1"/>
    <w:rsid w:val="007C4D8D"/>
    <w:rPr>
      <w:rFonts w:asciiTheme="majorHAnsi" w:eastAsiaTheme="majorEastAsia" w:hAnsiTheme="majorHAnsi" w:cstheme="majorBidi"/>
      <w:b/>
      <w:bCs/>
      <w:color w:val="365F91" w:themeColor="accent1" w:themeShade="BF"/>
      <w:sz w:val="28"/>
      <w:szCs w:val="28"/>
    </w:rPr>
  </w:style>
  <w:style w:type="paragraph" w:styleId="Quote">
    <w:name w:val="Quote"/>
    <w:aliases w:val="BlockQuote"/>
    <w:basedOn w:val="Normal"/>
    <w:next w:val="BodyTextContinued"/>
    <w:qFormat/>
    <w:rsid w:val="00F83EA6"/>
    <w:pPr>
      <w:spacing w:before="240"/>
      <w:ind w:left="1440" w:right="1440"/>
      <w:jc w:val="both"/>
    </w:pPr>
  </w:style>
  <w:style w:type="paragraph" w:styleId="TableofAuthorities">
    <w:name w:val="table of authorities"/>
    <w:basedOn w:val="Normal"/>
    <w:next w:val="Normal"/>
    <w:semiHidden/>
    <w:pPr>
      <w:tabs>
        <w:tab w:val="right" w:leader="dot" w:pos="9216"/>
      </w:tabs>
      <w:spacing w:after="120"/>
      <w:ind w:left="360" w:right="1440" w:hanging="360"/>
    </w:pPr>
  </w:style>
  <w:style w:type="paragraph" w:styleId="TOAHeading">
    <w:name w:val="toa heading"/>
    <w:basedOn w:val="Normal"/>
    <w:next w:val="TableofAuthorities"/>
    <w:semiHidden/>
    <w:pPr>
      <w:keepNext/>
      <w:spacing w:before="120" w:after="120"/>
      <w:jc w:val="center"/>
    </w:pPr>
    <w:rPr>
      <w:b/>
      <w:caps/>
    </w:rPr>
  </w:style>
  <w:style w:type="paragraph" w:styleId="ListBullet">
    <w:name w:val="List Bullet"/>
    <w:basedOn w:val="Normal"/>
    <w:pPr>
      <w:numPr>
        <w:numId w:val="15"/>
      </w:numPr>
      <w:tabs>
        <w:tab w:val="clear" w:pos="360"/>
      </w:tabs>
      <w:spacing w:after="240"/>
      <w:ind w:left="720" w:hanging="720"/>
    </w:pPr>
    <w:rPr>
      <w:szCs w:val="24"/>
    </w:rPr>
  </w:style>
  <w:style w:type="paragraph" w:styleId="ListBullet2">
    <w:name w:val="List Bullet 2"/>
    <w:basedOn w:val="ListBullet"/>
    <w:pPr>
      <w:numPr>
        <w:numId w:val="16"/>
      </w:numPr>
      <w:tabs>
        <w:tab w:val="clear" w:pos="720"/>
      </w:tabs>
      <w:ind w:left="1440" w:hanging="720"/>
    </w:pPr>
  </w:style>
  <w:style w:type="paragraph" w:styleId="ListBullet3">
    <w:name w:val="List Bullet 3"/>
    <w:basedOn w:val="ListBullet"/>
    <w:pPr>
      <w:numPr>
        <w:numId w:val="17"/>
      </w:numPr>
      <w:tabs>
        <w:tab w:val="clear" w:pos="1080"/>
      </w:tabs>
      <w:ind w:left="2160" w:hanging="720"/>
    </w:pPr>
  </w:style>
  <w:style w:type="paragraph" w:styleId="ListNumber">
    <w:name w:val="List Number"/>
    <w:basedOn w:val="Normal"/>
    <w:pPr>
      <w:numPr>
        <w:numId w:val="18"/>
      </w:numPr>
      <w:tabs>
        <w:tab w:val="clear" w:pos="360"/>
      </w:tabs>
      <w:spacing w:after="240"/>
      <w:ind w:left="1440" w:hanging="720"/>
    </w:pPr>
    <w:rPr>
      <w:szCs w:val="24"/>
    </w:rPr>
  </w:style>
  <w:style w:type="paragraph" w:styleId="ListNumber2">
    <w:name w:val="List Number 2"/>
    <w:basedOn w:val="Normal"/>
    <w:pPr>
      <w:numPr>
        <w:numId w:val="19"/>
      </w:numPr>
      <w:tabs>
        <w:tab w:val="clear" w:pos="720"/>
        <w:tab w:val="num" w:pos="1440"/>
      </w:tabs>
      <w:spacing w:line="480" w:lineRule="exact"/>
      <w:ind w:left="1440" w:hanging="720"/>
    </w:pPr>
    <w:rPr>
      <w:szCs w:val="24"/>
    </w:rPr>
  </w:style>
  <w:style w:type="paragraph" w:styleId="ListNumber3">
    <w:name w:val="List Number 3"/>
    <w:basedOn w:val="Normal"/>
    <w:pPr>
      <w:numPr>
        <w:numId w:val="20"/>
      </w:numPr>
      <w:tabs>
        <w:tab w:val="clear" w:pos="1080"/>
      </w:tabs>
      <w:spacing w:line="480" w:lineRule="exact"/>
      <w:ind w:left="0" w:firstLine="720"/>
    </w:pPr>
    <w:rPr>
      <w:szCs w:val="24"/>
    </w:rPr>
  </w:style>
  <w:style w:type="paragraph" w:styleId="Title">
    <w:name w:val="Title"/>
    <w:basedOn w:val="Normal"/>
    <w:next w:val="BodyText"/>
    <w:qFormat/>
    <w:rsid w:val="00D5066D"/>
    <w:pPr>
      <w:spacing w:line="480" w:lineRule="exact"/>
      <w:contextualSpacing/>
      <w:jc w:val="center"/>
      <w:outlineLvl w:val="0"/>
    </w:pPr>
    <w:rPr>
      <w:rFonts w:cs="Arial"/>
      <w:b/>
      <w:bCs/>
      <w:caps/>
      <w:szCs w:val="24"/>
    </w:rPr>
  </w:style>
  <w:style w:type="paragraph" w:customStyle="1" w:styleId="Title1">
    <w:name w:val="Title 1"/>
    <w:basedOn w:val="Normal"/>
    <w:next w:val="BodyText"/>
    <w:qFormat/>
    <w:rsid w:val="00D5066D"/>
    <w:pPr>
      <w:spacing w:line="480" w:lineRule="exact"/>
      <w:ind w:left="720"/>
      <w:contextualSpacing/>
      <w:outlineLvl w:val="0"/>
    </w:pPr>
    <w:rPr>
      <w:rFonts w:cs="Arial"/>
      <w:b/>
      <w:bCs/>
      <w:szCs w:val="24"/>
    </w:rPr>
  </w:style>
  <w:style w:type="paragraph" w:customStyle="1" w:styleId="Title2">
    <w:name w:val="Title 2"/>
    <w:basedOn w:val="Normal"/>
    <w:next w:val="BodyText"/>
    <w:qFormat/>
    <w:rsid w:val="00D5066D"/>
    <w:pPr>
      <w:spacing w:line="480" w:lineRule="exact"/>
      <w:ind w:left="2160" w:hanging="720"/>
      <w:contextualSpacing/>
      <w:outlineLvl w:val="0"/>
    </w:pPr>
    <w:rPr>
      <w:rFonts w:cs="Arial"/>
      <w:bCs/>
      <w:szCs w:val="24"/>
    </w:rPr>
  </w:style>
  <w:style w:type="paragraph" w:customStyle="1" w:styleId="Title3">
    <w:name w:val="Title 3"/>
    <w:basedOn w:val="Normal"/>
    <w:next w:val="BodyText"/>
    <w:qFormat/>
    <w:rsid w:val="00D5066D"/>
    <w:pPr>
      <w:spacing w:line="480" w:lineRule="exact"/>
      <w:ind w:left="2880" w:hanging="720"/>
      <w:contextualSpacing/>
      <w:outlineLvl w:val="0"/>
    </w:pPr>
    <w:rPr>
      <w:rFonts w:cs="Arial"/>
      <w:bCs/>
      <w:szCs w:val="24"/>
    </w:rPr>
  </w:style>
  <w:style w:type="paragraph" w:customStyle="1" w:styleId="Title4">
    <w:name w:val="Title 4"/>
    <w:basedOn w:val="Normal"/>
    <w:next w:val="BodyText"/>
    <w:qFormat/>
    <w:rsid w:val="00D5066D"/>
    <w:pPr>
      <w:spacing w:line="480" w:lineRule="exact"/>
      <w:ind w:left="3600" w:hanging="720"/>
      <w:contextualSpacing/>
      <w:outlineLvl w:val="0"/>
    </w:pPr>
    <w:rPr>
      <w:rFonts w:cs="Arial"/>
      <w:bCs/>
      <w:szCs w:val="24"/>
    </w:rPr>
  </w:style>
  <w:style w:type="paragraph" w:customStyle="1" w:styleId="Title6">
    <w:name w:val="Title 6"/>
    <w:basedOn w:val="Title"/>
    <w:qFormat/>
    <w:rsid w:val="00D5066D"/>
    <w:pPr>
      <w:ind w:left="5040" w:hanging="720"/>
      <w:jc w:val="left"/>
    </w:pPr>
    <w:rPr>
      <w:b w:val="0"/>
    </w:rPr>
  </w:style>
  <w:style w:type="character" w:customStyle="1" w:styleId="ListNumber3Char">
    <w:name w:val="List Number 3 Char"/>
    <w:basedOn w:val="DefaultParagraphFont"/>
    <w:rPr>
      <w:sz w:val="24"/>
      <w:szCs w:val="24"/>
      <w:lang w:val="en-US" w:eastAsia="en-US" w:bidi="ar-SA"/>
    </w:rPr>
  </w:style>
  <w:style w:type="paragraph" w:styleId="Caption">
    <w:name w:val="caption"/>
    <w:basedOn w:val="Normal"/>
    <w:next w:val="Normal"/>
    <w:rsid w:val="003E106C"/>
    <w:rPr>
      <w:bCs/>
    </w:rPr>
  </w:style>
  <w:style w:type="paragraph" w:customStyle="1" w:styleId="Court">
    <w:name w:val="Court"/>
    <w:basedOn w:val="Normal"/>
    <w:rsid w:val="003E106C"/>
    <w:pPr>
      <w:spacing w:before="40" w:after="660" w:line="480" w:lineRule="exact"/>
      <w:jc w:val="center"/>
    </w:pPr>
  </w:style>
  <w:style w:type="paragraph" w:customStyle="1" w:styleId="DocumentTitle">
    <w:name w:val="Document Title"/>
    <w:basedOn w:val="Normal"/>
    <w:rsid w:val="003E106C"/>
    <w:pPr>
      <w:tabs>
        <w:tab w:val="left" w:pos="1238"/>
      </w:tabs>
      <w:spacing w:after="240"/>
      <w:ind w:left="259" w:right="115"/>
    </w:pPr>
    <w:rPr>
      <w:b/>
    </w:rPr>
  </w:style>
  <w:style w:type="paragraph" w:customStyle="1" w:styleId="Title5">
    <w:name w:val="Title 5"/>
    <w:basedOn w:val="Title6"/>
    <w:qFormat/>
    <w:rsid w:val="00D5066D"/>
    <w:pPr>
      <w:ind w:left="4320"/>
    </w:pPr>
  </w:style>
  <w:style w:type="paragraph" w:customStyle="1" w:styleId="FooterDocumentTitle">
    <w:name w:val="Footer Document Title"/>
    <w:basedOn w:val="Normal"/>
    <w:rsid w:val="003E106C"/>
    <w:pPr>
      <w:widowControl/>
      <w:spacing w:line="240" w:lineRule="auto"/>
      <w:jc w:val="right"/>
    </w:pPr>
    <w:rPr>
      <w:caps/>
      <w:sz w:val="20"/>
    </w:rPr>
  </w:style>
  <w:style w:type="paragraph" w:styleId="FootnoteText">
    <w:name w:val="footnote text"/>
    <w:basedOn w:val="Normal"/>
    <w:link w:val="FootnoteTextChar"/>
    <w:rsid w:val="00E729DB"/>
    <w:pPr>
      <w:spacing w:line="240" w:lineRule="auto"/>
    </w:pPr>
    <w:rPr>
      <w:sz w:val="20"/>
    </w:rPr>
  </w:style>
  <w:style w:type="character" w:customStyle="1" w:styleId="FootnoteTextChar">
    <w:name w:val="Footnote Text Char"/>
    <w:basedOn w:val="DefaultParagraphFont"/>
    <w:link w:val="FootnoteText"/>
    <w:rsid w:val="00E729DB"/>
  </w:style>
  <w:style w:type="character" w:styleId="FootnoteReference">
    <w:name w:val="footnote reference"/>
    <w:basedOn w:val="DefaultParagraphFont"/>
    <w:rsid w:val="00E729DB"/>
    <w:rPr>
      <w:vertAlign w:val="superscript"/>
    </w:rPr>
  </w:style>
  <w:style w:type="paragraph" w:customStyle="1" w:styleId="SingleSpacedText">
    <w:name w:val="Single Spaced Text"/>
    <w:basedOn w:val="BodyTextContinued"/>
    <w:rsid w:val="00ED6C03"/>
    <w:pPr>
      <w:spacing w:line="240" w:lineRule="exact"/>
    </w:pPr>
    <w:rPr>
      <w:rFonts w:cs="Arial"/>
      <w:szCs w:val="24"/>
      <w:lang w:val="en-CA"/>
    </w:rPr>
  </w:style>
  <w:style w:type="character" w:styleId="PlaceholderText">
    <w:name w:val="Placeholder Text"/>
    <w:basedOn w:val="DefaultParagraphFont"/>
    <w:uiPriority w:val="99"/>
    <w:semiHidden/>
    <w:rsid w:val="00B577ED"/>
    <w:rPr>
      <w:color w:val="808080"/>
    </w:rPr>
  </w:style>
  <w:style w:type="paragraph" w:styleId="BalloonText">
    <w:name w:val="Balloon Text"/>
    <w:basedOn w:val="Normal"/>
    <w:link w:val="BalloonTextChar"/>
    <w:rsid w:val="00B577E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577ED"/>
    <w:rPr>
      <w:rFonts w:ascii="Tahoma" w:hAnsi="Tahoma" w:cs="Tahoma"/>
      <w:sz w:val="16"/>
      <w:szCs w:val="16"/>
    </w:rPr>
  </w:style>
  <w:style w:type="character" w:styleId="CommentReference">
    <w:name w:val="annotation reference"/>
    <w:basedOn w:val="DefaultParagraphFont"/>
    <w:semiHidden/>
    <w:unhideWhenUsed/>
    <w:rsid w:val="009B748E"/>
    <w:rPr>
      <w:sz w:val="16"/>
      <w:szCs w:val="16"/>
    </w:rPr>
  </w:style>
  <w:style w:type="paragraph" w:styleId="CommentText">
    <w:name w:val="annotation text"/>
    <w:basedOn w:val="Normal"/>
    <w:link w:val="CommentTextChar"/>
    <w:semiHidden/>
    <w:unhideWhenUsed/>
    <w:rsid w:val="009B748E"/>
    <w:pPr>
      <w:spacing w:line="240" w:lineRule="auto"/>
    </w:pPr>
    <w:rPr>
      <w:sz w:val="20"/>
    </w:rPr>
  </w:style>
  <w:style w:type="character" w:customStyle="1" w:styleId="CommentTextChar">
    <w:name w:val="Comment Text Char"/>
    <w:basedOn w:val="DefaultParagraphFont"/>
    <w:link w:val="CommentText"/>
    <w:semiHidden/>
    <w:rsid w:val="009B748E"/>
    <w:rPr>
      <w:rFonts w:ascii="Arial" w:hAnsi="Arial"/>
    </w:rPr>
  </w:style>
  <w:style w:type="paragraph" w:styleId="CommentSubject">
    <w:name w:val="annotation subject"/>
    <w:basedOn w:val="CommentText"/>
    <w:next w:val="CommentText"/>
    <w:link w:val="CommentSubjectChar"/>
    <w:semiHidden/>
    <w:unhideWhenUsed/>
    <w:rsid w:val="009B748E"/>
    <w:rPr>
      <w:b/>
      <w:bCs/>
    </w:rPr>
  </w:style>
  <w:style w:type="character" w:customStyle="1" w:styleId="CommentSubjectChar">
    <w:name w:val="Comment Subject Char"/>
    <w:basedOn w:val="CommentTextChar"/>
    <w:link w:val="CommentSubject"/>
    <w:semiHidden/>
    <w:rsid w:val="009B748E"/>
    <w:rPr>
      <w:rFonts w:ascii="Arial" w:hAnsi="Arial"/>
      <w:b/>
      <w:bCs/>
    </w:rPr>
  </w:style>
  <w:style w:type="character" w:styleId="Hyperlink">
    <w:name w:val="Hyperlink"/>
    <w:basedOn w:val="DefaultParagraphFont"/>
    <w:unhideWhenUsed/>
    <w:rsid w:val="00D52E35"/>
    <w:rPr>
      <w:color w:val="0000FF" w:themeColor="hyperlink"/>
      <w:u w:val="single"/>
    </w:rPr>
  </w:style>
  <w:style w:type="character" w:styleId="UnresolvedMention">
    <w:name w:val="Unresolved Mention"/>
    <w:basedOn w:val="DefaultParagraphFont"/>
    <w:uiPriority w:val="99"/>
    <w:semiHidden/>
    <w:unhideWhenUsed/>
    <w:rsid w:val="00D52E35"/>
    <w:rPr>
      <w:color w:val="605E5C"/>
      <w:shd w:val="clear" w:color="auto" w:fill="E1DFDD"/>
    </w:rPr>
  </w:style>
  <w:style w:type="paragraph" w:styleId="NormalWeb">
    <w:name w:val="Normal (Web)"/>
    <w:basedOn w:val="Normal"/>
    <w:uiPriority w:val="99"/>
    <w:semiHidden/>
    <w:unhideWhenUsed/>
    <w:rsid w:val="00737DA9"/>
    <w:pPr>
      <w:widowControl/>
      <w:spacing w:before="100" w:beforeAutospacing="1" w:after="100" w:afterAutospacing="1" w:line="240" w:lineRule="auto"/>
    </w:pPr>
    <w:rPr>
      <w:rFonts w:ascii="Times New Roman" w:hAnsi="Times New Roman"/>
      <w:szCs w:val="24"/>
    </w:rPr>
  </w:style>
  <w:style w:type="paragraph" w:customStyle="1" w:styleId="123header">
    <w:name w:val="123 header"/>
    <w:basedOn w:val="Normal"/>
    <w:rsid w:val="002603C3"/>
    <w:pPr>
      <w:widowControl/>
      <w:spacing w:line="227" w:lineRule="exact"/>
      <w:ind w:left="720" w:hanging="720"/>
    </w:pPr>
    <w:rPr>
      <w:rFonts w:ascii="Times New Roman" w:hAnsi="Times New Roman"/>
    </w:rPr>
  </w:style>
  <w:style w:type="table" w:styleId="TableGrid">
    <w:name w:val="Table Grid"/>
    <w:basedOn w:val="TableNormal"/>
    <w:uiPriority w:val="39"/>
    <w:rsid w:val="002D1800"/>
    <w:rPr>
      <w:rFonts w:ascii="Arial" w:eastAsia="Arial" w:hAnsi="Arial" w:cs="Arial"/>
      <w:sz w:val="22"/>
      <w:szCs w:val="22"/>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1800"/>
    <w:pPr>
      <w:widowControl/>
      <w:spacing w:line="276" w:lineRule="auto"/>
      <w:ind w:left="720"/>
      <w:contextualSpacing/>
    </w:pPr>
    <w:rPr>
      <w:rFonts w:eastAsia="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532388">
      <w:bodyDiv w:val="1"/>
      <w:marLeft w:val="0"/>
      <w:marRight w:val="0"/>
      <w:marTop w:val="0"/>
      <w:marBottom w:val="0"/>
      <w:divBdr>
        <w:top w:val="none" w:sz="0" w:space="0" w:color="auto"/>
        <w:left w:val="none" w:sz="0" w:space="0" w:color="auto"/>
        <w:bottom w:val="none" w:sz="0" w:space="0" w:color="auto"/>
        <w:right w:val="none" w:sz="0" w:space="0" w:color="auto"/>
      </w:divBdr>
    </w:div>
    <w:div w:id="328020374">
      <w:bodyDiv w:val="1"/>
      <w:marLeft w:val="0"/>
      <w:marRight w:val="0"/>
      <w:marTop w:val="0"/>
      <w:marBottom w:val="0"/>
      <w:divBdr>
        <w:top w:val="none" w:sz="0" w:space="0" w:color="auto"/>
        <w:left w:val="none" w:sz="0" w:space="0" w:color="auto"/>
        <w:bottom w:val="none" w:sz="0" w:space="0" w:color="auto"/>
        <w:right w:val="none" w:sz="0" w:space="0" w:color="auto"/>
      </w:divBdr>
    </w:div>
    <w:div w:id="581139996">
      <w:bodyDiv w:val="1"/>
      <w:marLeft w:val="0"/>
      <w:marRight w:val="0"/>
      <w:marTop w:val="0"/>
      <w:marBottom w:val="0"/>
      <w:divBdr>
        <w:top w:val="none" w:sz="0" w:space="0" w:color="auto"/>
        <w:left w:val="none" w:sz="0" w:space="0" w:color="auto"/>
        <w:bottom w:val="none" w:sz="0" w:space="0" w:color="auto"/>
        <w:right w:val="none" w:sz="0" w:space="0" w:color="auto"/>
      </w:divBdr>
    </w:div>
    <w:div w:id="697043187">
      <w:bodyDiv w:val="1"/>
      <w:marLeft w:val="0"/>
      <w:marRight w:val="0"/>
      <w:marTop w:val="0"/>
      <w:marBottom w:val="0"/>
      <w:divBdr>
        <w:top w:val="none" w:sz="0" w:space="0" w:color="auto"/>
        <w:left w:val="none" w:sz="0" w:space="0" w:color="auto"/>
        <w:bottom w:val="none" w:sz="0" w:space="0" w:color="auto"/>
        <w:right w:val="none" w:sz="0" w:space="0" w:color="auto"/>
      </w:divBdr>
    </w:div>
    <w:div w:id="858545909">
      <w:bodyDiv w:val="1"/>
      <w:marLeft w:val="0"/>
      <w:marRight w:val="0"/>
      <w:marTop w:val="0"/>
      <w:marBottom w:val="0"/>
      <w:divBdr>
        <w:top w:val="none" w:sz="0" w:space="0" w:color="auto"/>
        <w:left w:val="none" w:sz="0" w:space="0" w:color="auto"/>
        <w:bottom w:val="none" w:sz="0" w:space="0" w:color="auto"/>
        <w:right w:val="none" w:sz="0" w:space="0" w:color="auto"/>
      </w:divBdr>
    </w:div>
    <w:div w:id="939870201">
      <w:bodyDiv w:val="1"/>
      <w:marLeft w:val="0"/>
      <w:marRight w:val="0"/>
      <w:marTop w:val="0"/>
      <w:marBottom w:val="0"/>
      <w:divBdr>
        <w:top w:val="none" w:sz="0" w:space="0" w:color="auto"/>
        <w:left w:val="none" w:sz="0" w:space="0" w:color="auto"/>
        <w:bottom w:val="none" w:sz="0" w:space="0" w:color="auto"/>
        <w:right w:val="none" w:sz="0" w:space="0" w:color="auto"/>
      </w:divBdr>
    </w:div>
    <w:div w:id="1122580243">
      <w:bodyDiv w:val="1"/>
      <w:marLeft w:val="0"/>
      <w:marRight w:val="0"/>
      <w:marTop w:val="0"/>
      <w:marBottom w:val="0"/>
      <w:divBdr>
        <w:top w:val="none" w:sz="0" w:space="0" w:color="auto"/>
        <w:left w:val="none" w:sz="0" w:space="0" w:color="auto"/>
        <w:bottom w:val="none" w:sz="0" w:space="0" w:color="auto"/>
        <w:right w:val="none" w:sz="0" w:space="0" w:color="auto"/>
      </w:divBdr>
    </w:div>
    <w:div w:id="1427918525">
      <w:bodyDiv w:val="1"/>
      <w:marLeft w:val="0"/>
      <w:marRight w:val="0"/>
      <w:marTop w:val="0"/>
      <w:marBottom w:val="0"/>
      <w:divBdr>
        <w:top w:val="none" w:sz="0" w:space="0" w:color="auto"/>
        <w:left w:val="none" w:sz="0" w:space="0" w:color="auto"/>
        <w:bottom w:val="none" w:sz="0" w:space="0" w:color="auto"/>
        <w:right w:val="none" w:sz="0" w:space="0" w:color="auto"/>
      </w:divBdr>
    </w:div>
    <w:div w:id="1506095297">
      <w:bodyDiv w:val="1"/>
      <w:marLeft w:val="0"/>
      <w:marRight w:val="0"/>
      <w:marTop w:val="0"/>
      <w:marBottom w:val="0"/>
      <w:divBdr>
        <w:top w:val="none" w:sz="0" w:space="0" w:color="auto"/>
        <w:left w:val="none" w:sz="0" w:space="0" w:color="auto"/>
        <w:bottom w:val="none" w:sz="0" w:space="0" w:color="auto"/>
        <w:right w:val="none" w:sz="0" w:space="0" w:color="auto"/>
      </w:divBdr>
    </w:div>
    <w:div w:id="1510371024">
      <w:bodyDiv w:val="1"/>
      <w:marLeft w:val="0"/>
      <w:marRight w:val="0"/>
      <w:marTop w:val="0"/>
      <w:marBottom w:val="0"/>
      <w:divBdr>
        <w:top w:val="none" w:sz="0" w:space="0" w:color="auto"/>
        <w:left w:val="none" w:sz="0" w:space="0" w:color="auto"/>
        <w:bottom w:val="none" w:sz="0" w:space="0" w:color="auto"/>
        <w:right w:val="none" w:sz="0" w:space="0" w:color="auto"/>
      </w:divBdr>
    </w:div>
    <w:div w:id="1552379464">
      <w:bodyDiv w:val="1"/>
      <w:marLeft w:val="0"/>
      <w:marRight w:val="0"/>
      <w:marTop w:val="0"/>
      <w:marBottom w:val="0"/>
      <w:divBdr>
        <w:top w:val="none" w:sz="0" w:space="0" w:color="auto"/>
        <w:left w:val="none" w:sz="0" w:space="0" w:color="auto"/>
        <w:bottom w:val="none" w:sz="0" w:space="0" w:color="auto"/>
        <w:right w:val="none" w:sz="0" w:space="0" w:color="auto"/>
      </w:divBdr>
    </w:div>
    <w:div w:id="1560286337">
      <w:bodyDiv w:val="1"/>
      <w:marLeft w:val="0"/>
      <w:marRight w:val="0"/>
      <w:marTop w:val="0"/>
      <w:marBottom w:val="0"/>
      <w:divBdr>
        <w:top w:val="none" w:sz="0" w:space="0" w:color="auto"/>
        <w:left w:val="none" w:sz="0" w:space="0" w:color="auto"/>
        <w:bottom w:val="none" w:sz="0" w:space="0" w:color="auto"/>
        <w:right w:val="none" w:sz="0" w:space="0" w:color="auto"/>
      </w:divBdr>
    </w:div>
    <w:div w:id="1941135255">
      <w:bodyDiv w:val="1"/>
      <w:marLeft w:val="0"/>
      <w:marRight w:val="0"/>
      <w:marTop w:val="0"/>
      <w:marBottom w:val="0"/>
      <w:divBdr>
        <w:top w:val="none" w:sz="0" w:space="0" w:color="auto"/>
        <w:left w:val="none" w:sz="0" w:space="0" w:color="auto"/>
        <w:bottom w:val="none" w:sz="0" w:space="0" w:color="auto"/>
        <w:right w:val="none" w:sz="0" w:space="0" w:color="auto"/>
      </w:divBdr>
    </w:div>
    <w:div w:id="1979069833">
      <w:bodyDiv w:val="1"/>
      <w:marLeft w:val="0"/>
      <w:marRight w:val="0"/>
      <w:marTop w:val="0"/>
      <w:marBottom w:val="0"/>
      <w:divBdr>
        <w:top w:val="none" w:sz="0" w:space="0" w:color="auto"/>
        <w:left w:val="none" w:sz="0" w:space="0" w:color="auto"/>
        <w:bottom w:val="none" w:sz="0" w:space="0" w:color="auto"/>
        <w:right w:val="none" w:sz="0" w:space="0" w:color="auto"/>
      </w:divBdr>
    </w:div>
    <w:div w:id="212580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A912CC4-0671-A144-B96D-667B6CE05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2023-09-11T16:06:00Z</dcterms:created>
  <dcterms:modified xsi:type="dcterms:W3CDTF">2023-09-11T17:27:00Z</dcterms:modified>
</cp:coreProperties>
</file>