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1E3A5F"/>
          <w:sz w:val="56"/>
          <w:szCs w:val="56"/>
        </w:rPr>
        <w:t xml:space="preserve">Swing Trading Platform</w:t>
      </w:r>
    </w:p>
    <w:p>
      <w:pPr>
        <w:spacing w:before="0" w:after="120"/>
      </w:pPr>
      <w:r>
        <w:rPr>
          <w:rFonts w:ascii="Arial" w:cs="Arial" w:eastAsia="Arial" w:hAnsi="Arial"/>
          <w:color w:val="2E75B6"/>
          <w:sz w:val="32"/>
          <w:szCs w:val="32"/>
        </w:rPr>
        <w:t xml:space="preserve">Product Requirements Document</w:t>
      </w:r>
    </w:p>
    <w:p>
      <w:pPr>
        <w:spacing w:before="0" w:after="600"/>
      </w:pPr>
      <w:r>
        <w:rPr>
          <w:rFonts w:ascii="Arial" w:cs="Arial" w:eastAsia="Arial" w:hAnsi="Arial"/>
          <w:color w:val="888888"/>
          <w:sz w:val="22"/>
          <w:szCs w:val="22"/>
        </w:rPr>
        <w:t xml:space="preserve">v1.0  ·  March 2026</w:t>
      </w:r>
    </w:p>
    <w:p>
      <w:pPr>
        <w:pBdr>
          <w:bottom w:val="single" w:color="2E75B6" w:sz="6" w:space="1"/>
        </w:pBdr>
        <w:spacing w:before="0" w:after="600"/>
      </w:pPr>
      <w:r>
        <w:t xml:space="preserve"/>
      </w:r>
    </w:p>
    <w:p>
      <w:pPr>
        <w:pStyle w:val="Heading1"/>
        <w:pBdr>
          <w:bottom w:val="single" w:color="2E75B6" w:sz="6" w:space="4"/>
        </w:pBdr>
        <w:spacing w:before="400" w:after="200"/>
      </w:pPr>
      <w:r>
        <w:rPr>
          <w:rFonts w:ascii="Arial" w:cs="Arial" w:eastAsia="Arial" w:hAnsi="Arial"/>
          <w:b/>
          <w:bCs/>
          <w:color w:val="1E3A5F"/>
          <w:sz w:val="32"/>
          <w:szCs w:val="32"/>
        </w:rPr>
        <w:t xml:space="preserve">1. Overview</w:t>
      </w:r>
    </w:p>
    <w:p>
      <w:pPr>
        <w:spacing w:before="80" w:after="80"/>
      </w:pPr>
      <w:r>
        <w:rPr>
          <w:rFonts w:ascii="Arial" w:cs="Arial" w:eastAsia="Arial" w:hAnsi="Arial"/>
          <w:color w:val="333333"/>
          <w:sz w:val="20"/>
          <w:szCs w:val="20"/>
        </w:rPr>
        <w:t xml:space="preserve">This document defines the strategy rules, hypothesis list, architecture, and build plan for a personal swing trading platform. The platform's goal is to systematically validate trading strategies across multiple asset classes and market regimes, and ultimately automate signal generation and execution.</w:t>
      </w:r>
    </w:p>
    <w:p>
      <w:pPr>
        <w:spacing w:before="0" w:after="100"/>
      </w:pPr>
      <w:r>
        <w:t xml:space="preserve"/>
      </w:r>
    </w:p>
    <w:p>
      <w:pPr>
        <w:spacing w:before="80" w:after="80"/>
      </w:pPr>
      <w:r>
        <w:rPr>
          <w:rFonts w:ascii="Arial" w:cs="Arial" w:eastAsia="Arial" w:hAnsi="Arial"/>
          <w:color w:val="333333"/>
          <w:sz w:val="20"/>
          <w:szCs w:val="20"/>
        </w:rPr>
        <w:t xml:space="preserve">The platform is organized around two trading buckets with distinct timeframes and risk profiles, unified by a single parameterizable signal framework.</w:t>
      </w:r>
    </w:p>
    <w:p>
      <w:pPr>
        <w:spacing w:before="0" w:after="200"/>
      </w:pPr>
      <w:r>
        <w:t xml:space="preserve"/>
      </w:r>
    </w:p>
    <w:p>
      <w:pPr>
        <w:pStyle w:val="Heading1"/>
        <w:pBdr>
          <w:bottom w:val="single" w:color="2E75B6" w:sz="6" w:space="4"/>
        </w:pBdr>
        <w:spacing w:before="400" w:after="200"/>
      </w:pPr>
      <w:r>
        <w:rPr>
          <w:rFonts w:ascii="Arial" w:cs="Arial" w:eastAsia="Arial" w:hAnsi="Arial"/>
          <w:b/>
          <w:bCs/>
          <w:color w:val="1E3A5F"/>
          <w:sz w:val="32"/>
          <w:szCs w:val="32"/>
        </w:rPr>
        <w:t xml:space="preserve">2. Strategy Rules</w:t>
      </w:r>
    </w:p>
    <w:p>
      <w:pPr>
        <w:pStyle w:val="Heading2"/>
        <w:spacing w:before="300" w:after="120"/>
      </w:pPr>
      <w:r>
        <w:rPr>
          <w:rFonts w:ascii="Arial" w:cs="Arial" w:eastAsia="Arial" w:hAnsi="Arial"/>
          <w:b/>
          <w:bCs/>
          <w:color w:val="2E75B6"/>
          <w:sz w:val="26"/>
          <w:szCs w:val="26"/>
        </w:rPr>
        <w:t xml:space="preserve">2.1 Core Philosophy</w:t>
      </w:r>
    </w:p>
    <w:p>
      <w:pPr>
        <w:spacing w:before="80" w:after="80"/>
      </w:pPr>
      <w:r>
        <w:rPr>
          <w:rFonts w:ascii="Arial" w:cs="Arial" w:eastAsia="Arial" w:hAnsi="Arial"/>
          <w:color w:val="333333"/>
          <w:sz w:val="20"/>
          <w:szCs w:val="20"/>
        </w:rPr>
        <w:t xml:space="preserve">One set of rules, two time horizons. The same entry logic applies to both buckets — only the timeframe, confirmation timeframe, and position sizing differ. All indicator parameters are configurable; no hardcoded values anywhere in the codebase.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00"/>
              <w:left w:type="dxa" w:w="160"/>
              <w:bottom w:type="dxa" w:w="100"/>
              <w:right w:type="dxa" w:w="160"/>
            </w:tcMar>
          </w:tcPr>
          <w:p>
            <w:r>
              <w:rPr>
                <w:rFonts w:ascii="Arial" w:cs="Arial" w:eastAsia="Arial" w:hAnsi="Arial"/>
                <w:b/>
                <w:bCs/>
                <w:color w:val="2E75B6"/>
                <w:sz w:val="20"/>
                <w:szCs w:val="20"/>
              </w:rPr>
              <w:t xml:space="preserve">Key principle: </w:t>
            </w:r>
            <w:r>
              <w:rPr>
                <w:rFonts w:ascii="Arial" w:cs="Arial" w:eastAsia="Arial" w:hAnsi="Arial"/>
                <w:color w:val="333333"/>
                <w:sz w:val="20"/>
                <w:szCs w:val="20"/>
              </w:rPr>
              <w:t xml:space="preserve">Parameters defined in this document are starting hypotheses, not final values. Every numeric parameter will be validated through backtesting before being used in live trading.</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2.2 Entry Conditions (Both Buckets)</w:t>
      </w:r>
    </w:p>
    <w:p>
      <w:pPr>
        <w:spacing w:before="80" w:after="80"/>
      </w:pPr>
      <w:r>
        <w:rPr>
          <w:rFonts w:ascii="Arial" w:cs="Arial" w:eastAsia="Arial" w:hAnsi="Arial"/>
          <w:color w:val="333333"/>
          <w:sz w:val="20"/>
          <w:szCs w:val="20"/>
        </w:rPr>
        <w:t xml:space="preserve">Entry requires at least 2 of 3 conditions to be true on the entry timeframe: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Default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Trend Filter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 above/below key moving average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 period 21 (Bucket A) / SMA, period 50 (Bucket B)</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Structure</w:t>
            </w:r>
          </w:p>
        </w:tc>
        <w:tc>
          <w:tcPr>
            <w:tcW w:type="dxa" w:w="3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Higher low (bull) or lower high (bear) near a key level</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Swing H/L within 3% of key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Momentum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RSI above threshold, or MACD histogram turning positive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RSI(14) &gt; 50, rising</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2.3 Bucket A — Short Swing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Entry timeframe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4H candle</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Confirmation timeframe</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Daily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Trend filter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 &gt; 21 EMA on 4H</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Structure</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4H higher low formed within 3% of a key level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Momentum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RSI(14) &gt; 50 and rising, OR MACD histogram turning positive</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Entry trigger</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Close of 4H candle satisfying 2 of 3 conditions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Stop loss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Below the swing low that defines the structure</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Profit target</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2R minimum; extend to 1.618 Fib extension if momentum is strong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Trail rule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Move to breakeven at 1R; trail below higher lows after 2R</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Max hold</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4 weeks (force re-evaluation, not mandatory exit)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Position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account risk per trade</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2.4 Bucket B — Long Swing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Entry timeframe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Weekly candle</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Confirmation timeframe</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Monthly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Trend filter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 &gt; 50 SMA on Weekly</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Structure</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Weekly pullback to 21 EMA or prior breakout level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Momentum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RSI(14) &gt; 50 on Weekly, not overbought (&lt; 70)</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Entry trigger</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Weekly candle close satisfying 2 of 3 conditions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Stop loss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Below the weekly swing low</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Profit target</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3R minimum; Fibonacci extensions as guide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Trail rule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Breakeven at 1.5R; trail below weekly higher lows</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Max hold</w:t>
            </w:r>
          </w:p>
        </w:tc>
        <w:tc>
          <w:tcPr>
            <w:tcW w:type="dxa" w:w="5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No cap — re-evaluate on monthly structure break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Position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 account risk per trade</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2.5 Regime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Trading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 &gt; 200 SMA on Daily (A) / Monthly (B)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Longs only</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Bear</w:t>
            </w:r>
          </w:p>
        </w:tc>
        <w:tc>
          <w:tcPr>
            <w:tcW w:type="dxa" w:w="4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Price &lt; 200 SMA</w:t>
            </w:r>
          </w:p>
        </w:tc>
        <w:tc>
          <w:tcPr>
            <w:tcW w:type="dxa" w:w="3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Shorts only, or cash if shorting unavailable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Transition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 3 consecutive closes confirming new side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new trades until confirmed</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2.6 Short-Side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Instrument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Short Method</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Stocks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Direct short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Borrow availability check required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ETFs</w:t>
            </w:r>
          </w:p>
        </w:tc>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Inverse ETFs (SQQQ, SH, SOXS, etc.)</w:t>
            </w:r>
          </w:p>
        </w:tc>
        <w:tc>
          <w:tcPr>
            <w:tcW w:type="dxa" w:w="36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Map each long ETF to its inverse in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Puts or debit spreads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Engine flags setup; strike/expiry selection manual in v1</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Crypto</w:t>
            </w:r>
          </w:p>
        </w:tc>
        <w:tc>
          <w:tcPr>
            <w:tcW w:type="dxa" w:w="3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Short via exchange</w:t>
            </w:r>
          </w:p>
        </w:tc>
        <w:tc>
          <w:tcPr>
            <w:tcW w:type="dxa" w:w="36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Separate margin/leverage config per exchange</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2.7 Key Level Detection (Pluggable)</w:t>
      </w:r>
    </w:p>
    <w:p>
      <w:pPr>
        <w:spacing w:before="80" w:after="80"/>
      </w:pPr>
      <w:r>
        <w:rPr>
          <w:rFonts w:ascii="Arial" w:cs="Arial" w:eastAsia="Arial" w:hAnsi="Arial"/>
          <w:color w:val="333333"/>
          <w:sz w:val="20"/>
          <w:szCs w:val="20"/>
        </w:rPr>
        <w:t xml:space="preserve">Key level detection method is configurable per asset class. Multiple methods can be active simultaneously, ranked by reliability.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Best For</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Algorithm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Swing highs/lows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assets — baseline fallback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Pivot points over last N candles (configurable N)</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Prior S/R + round numbers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Stocks, indices</w:t>
            </w:r>
          </w:p>
        </w:tc>
        <w:tc>
          <w:tcPr>
            <w:tcW w:type="dxa" w:w="40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Cluster analysis of historical pivots; snap to round numbers within 0.5%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VWAP / Volume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Crypto, high-volume stocks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Session VWAP; POC and HVN from volume profile</w:t>
            </w:r>
          </w:p>
        </w:tc>
      </w:tr>
    </w:tbl>
    <w:p>
      <w:pPr>
        <w:spacing w:before="0" w:after="100"/>
      </w:pPr>
      <w:r>
        <w:t xml:space="preserve"/>
      </w:r>
    </w:p>
    <w:p>
      <w:pPr>
        <w:spacing w:before="80" w:after="80"/>
      </w:pPr>
      <w:r>
        <w:rPr>
          <w:rFonts w:ascii="Arial" w:cs="Arial" w:eastAsia="Arial" w:hAnsi="Arial"/>
          <w:color w:val="333333"/>
          <w:sz w:val="20"/>
          <w:szCs w:val="20"/>
        </w:rPr>
        <w:t xml:space="preserve">Default mapping (overridable per instrument):</w:t>
      </w:r>
    </w:p>
    <w:p>
      <w:pPr>
        <w:pStyle w:val="ListParagraph"/>
        <w:numPr>
          <w:ilvl w:val="0"/>
          <w:numId w:val="2"/>
        </w:numPr>
        <w:spacing w:before="40" w:after="40"/>
      </w:pPr>
      <w:r>
        <w:rPr>
          <w:rFonts w:ascii="Arial" w:cs="Arial" w:eastAsia="Arial" w:hAnsi="Arial"/>
          <w:color w:val="333333"/>
          <w:sz w:val="20"/>
          <w:szCs w:val="20"/>
        </w:rPr>
        <w:t xml:space="preserve">Stocks → S/R + round numbers, fallback to swing H/L</w:t>
      </w:r>
    </w:p>
    <w:p>
      <w:pPr>
        <w:pStyle w:val="ListParagraph"/>
        <w:numPr>
          <w:ilvl w:val="0"/>
          <w:numId w:val="2"/>
        </w:numPr>
        <w:spacing w:before="40" w:after="40"/>
      </w:pPr>
      <w:r>
        <w:rPr>
          <w:rFonts w:ascii="Arial" w:cs="Arial" w:eastAsia="Arial" w:hAnsi="Arial"/>
          <w:color w:val="333333"/>
          <w:sz w:val="20"/>
          <w:szCs w:val="20"/>
        </w:rPr>
        <w:t xml:space="preserve">Crypto → VWAP + volume profile, fallback to swing H/L</w:t>
      </w:r>
    </w:p>
    <w:p>
      <w:pPr>
        <w:pStyle w:val="ListParagraph"/>
        <w:numPr>
          <w:ilvl w:val="0"/>
          <w:numId w:val="2"/>
        </w:numPr>
        <w:spacing w:before="40" w:after="40"/>
      </w:pPr>
      <w:r>
        <w:rPr>
          <w:rFonts w:ascii="Arial" w:cs="Arial" w:eastAsia="Arial" w:hAnsi="Arial"/>
          <w:color w:val="333333"/>
          <w:sz w:val="20"/>
          <w:szCs w:val="20"/>
        </w:rPr>
        <w:t xml:space="preserve">ETFs / Indices → swing H/L + round numbers</w:t>
      </w:r>
    </w:p>
    <w:p>
      <w:pPr>
        <w:pStyle w:val="ListParagraph"/>
        <w:numPr>
          <w:ilvl w:val="0"/>
          <w:numId w:val="2"/>
        </w:numPr>
        <w:spacing w:before="40" w:after="40"/>
      </w:pPr>
      <w:r>
        <w:rPr>
          <w:rFonts w:ascii="Arial" w:cs="Arial" w:eastAsia="Arial" w:hAnsi="Arial"/>
          <w:color w:val="333333"/>
          <w:sz w:val="20"/>
          <w:szCs w:val="20"/>
        </w:rPr>
        <w:t xml:space="preserve">Metals → swing H/L + round numbers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2.8 Signal Scoring</w:t>
      </w:r>
    </w:p>
    <w:p>
      <w:pPr>
        <w:spacing w:before="80" w:after="80"/>
      </w:pPr>
      <w:r>
        <w:rPr>
          <w:rFonts w:ascii="Arial" w:cs="Arial" w:eastAsia="Arial" w:hAnsi="Arial"/>
          <w:color w:val="333333"/>
          <w:sz w:val="20"/>
          <w:szCs w:val="20"/>
        </w:rPr>
        <w:t xml:space="preserve">Each signal receives a score used to rank concurrent opportunities. Minimum score to be tradeable: 3. Max concurrent positions per bucket: configurable (default 3).</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Points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Trend filter confirmed (MA)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r>
      <w:tr>
        <w:tc>
          <w:tcPr>
            <w:tcW w:type="dxa" w:w="6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Structure at high-quality level (multiple methods agree)</w:t>
            </w:r>
          </w:p>
        </w:tc>
        <w:tc>
          <w:tcPr>
            <w:tcW w:type="dxa" w:w="2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2</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Structure at single-method level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r>
      <w:tr>
        <w:tc>
          <w:tcPr>
            <w:tcW w:type="dxa" w:w="6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Momentum confirmed</w:t>
            </w:r>
          </w:p>
        </w:tc>
        <w:tc>
          <w:tcPr>
            <w:tcW w:type="dxa" w:w="2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1</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Regime strongly aligned (price far from 200 SMA)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r>
      <w:tr>
        <w:tc>
          <w:tcPr>
            <w:tcW w:type="dxa" w:w="6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Volume spike on entry candle</w:t>
            </w:r>
          </w:p>
        </w:tc>
        <w:tc>
          <w:tcPr>
            <w:tcW w:type="dxa" w:w="2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1</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Maximum score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w:t>
            </w:r>
          </w:p>
        </w:tc>
      </w:tr>
    </w:tbl>
    <w:p>
      <w:pPr>
        <w:spacing w:before="0" w:after="200"/>
      </w:pPr>
      <w:r>
        <w:t xml:space="preserve"/>
      </w:r>
    </w:p>
    <w:p>
      <w:pPr>
        <w:pStyle w:val="Heading1"/>
        <w:pBdr>
          <w:bottom w:val="single" w:color="2E75B6" w:sz="6" w:space="4"/>
        </w:pBdr>
        <w:spacing w:before="400" w:after="200"/>
      </w:pPr>
      <w:r>
        <w:rPr>
          <w:rFonts w:ascii="Arial" w:cs="Arial" w:eastAsia="Arial" w:hAnsi="Arial"/>
          <w:b/>
          <w:bCs/>
          <w:color w:val="1E3A5F"/>
          <w:sz w:val="32"/>
          <w:szCs w:val="32"/>
        </w:rPr>
        <w:t xml:space="preserve">3. Hypothesis List</w:t>
      </w:r>
    </w:p>
    <w:p>
      <w:pPr>
        <w:spacing w:before="80" w:after="80"/>
      </w:pPr>
      <w:r>
        <w:rPr>
          <w:rFonts w:ascii="Arial" w:cs="Arial" w:eastAsia="Arial" w:hAnsi="Arial"/>
          <w:color w:val="333333"/>
          <w:sz w:val="20"/>
          <w:szCs w:val="20"/>
        </w:rPr>
        <w:t xml:space="preserve">The backtesting engine is designed to answer these specific questions. All 21 hypotheses are in scope — none are assumed true without data.</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3.1 Trend Filter</w:t>
      </w:r>
    </w:p>
    <w:p>
      <w:pPr>
        <w:pStyle w:val="ListParagraph"/>
        <w:numPr>
          <w:ilvl w:val="0"/>
          <w:numId w:val="2"/>
        </w:numPr>
        <w:spacing w:before="40" w:after="40"/>
      </w:pPr>
      <w:r>
        <w:rPr>
          <w:rFonts w:ascii="Arial" w:cs="Arial" w:eastAsia="Arial" w:hAnsi="Arial"/>
          <w:color w:val="333333"/>
          <w:sz w:val="20"/>
          <w:szCs w:val="20"/>
        </w:rPr>
        <w:t xml:space="preserve">H1: Does applying any trend filter improve results vs. no filter?</w:t>
      </w:r>
    </w:p>
    <w:p>
      <w:pPr>
        <w:pStyle w:val="ListParagraph"/>
        <w:numPr>
          <w:ilvl w:val="0"/>
          <w:numId w:val="2"/>
        </w:numPr>
        <w:spacing w:before="40" w:after="40"/>
      </w:pPr>
      <w:r>
        <w:rPr>
          <w:rFonts w:ascii="Arial" w:cs="Arial" w:eastAsia="Arial" w:hAnsi="Arial"/>
          <w:color w:val="333333"/>
          <w:sz w:val="20"/>
          <w:szCs w:val="20"/>
        </w:rPr>
        <w:t xml:space="preserve">H2: Does EMA vs. SMA type matter, or is the period the dominant variable?</w:t>
      </w:r>
    </w:p>
    <w:p>
      <w:pPr>
        <w:pStyle w:val="ListParagraph"/>
        <w:numPr>
          <w:ilvl w:val="0"/>
          <w:numId w:val="2"/>
        </w:numPr>
        <w:spacing w:before="40" w:after="40"/>
      </w:pPr>
      <w:r>
        <w:rPr>
          <w:rFonts w:ascii="Arial" w:cs="Arial" w:eastAsia="Arial" w:hAnsi="Arial"/>
          <w:color w:val="333333"/>
          <w:sz w:val="20"/>
          <w:szCs w:val="20"/>
        </w:rPr>
        <w:t xml:space="preserve">H3: What period produces the best risk-adjusted returns per asset class?</w:t>
      </w:r>
    </w:p>
    <w:p>
      <w:pPr>
        <w:pStyle w:val="ListParagraph"/>
        <w:numPr>
          <w:ilvl w:val="0"/>
          <w:numId w:val="2"/>
        </w:numPr>
        <w:spacing w:before="40" w:after="40"/>
      </w:pPr>
      <w:r>
        <w:rPr>
          <w:rFonts w:ascii="Arial" w:cs="Arial" w:eastAsia="Arial" w:hAnsi="Arial"/>
          <w:color w:val="333333"/>
          <w:sz w:val="20"/>
          <w:szCs w:val="20"/>
        </w:rPr>
        <w:t xml:space="preserve">H4: Is a single MA better or worse than a fast/slow crossover?</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3.2 Momentum</w:t>
      </w:r>
    </w:p>
    <w:p>
      <w:pPr>
        <w:pStyle w:val="ListParagraph"/>
        <w:numPr>
          <w:ilvl w:val="0"/>
          <w:numId w:val="2"/>
        </w:numPr>
        <w:spacing w:before="40" w:after="40"/>
      </w:pPr>
      <w:r>
        <w:rPr>
          <w:rFonts w:ascii="Arial" w:cs="Arial" w:eastAsia="Arial" w:hAnsi="Arial"/>
          <w:color w:val="333333"/>
          <w:sz w:val="20"/>
          <w:szCs w:val="20"/>
        </w:rPr>
        <w:t xml:space="preserve">H5: Does requiring RSI &gt; 50 improve win rate, or only reduce trade frequency?</w:t>
      </w:r>
    </w:p>
    <w:p>
      <w:pPr>
        <w:pStyle w:val="ListParagraph"/>
        <w:numPr>
          <w:ilvl w:val="0"/>
          <w:numId w:val="2"/>
        </w:numPr>
        <w:spacing w:before="40" w:after="40"/>
      </w:pPr>
      <w:r>
        <w:rPr>
          <w:rFonts w:ascii="Arial" w:cs="Arial" w:eastAsia="Arial" w:hAnsi="Arial"/>
          <w:color w:val="333333"/>
          <w:sz w:val="20"/>
          <w:szCs w:val="20"/>
        </w:rPr>
        <w:t xml:space="preserve">H6: Is there an RSI threshold that meaningfully separates good entries from bad?</w:t>
      </w:r>
    </w:p>
    <w:p>
      <w:pPr>
        <w:pStyle w:val="ListParagraph"/>
        <w:numPr>
          <w:ilvl w:val="0"/>
          <w:numId w:val="2"/>
        </w:numPr>
        <w:spacing w:before="40" w:after="40"/>
      </w:pPr>
      <w:r>
        <w:rPr>
          <w:rFonts w:ascii="Arial" w:cs="Arial" w:eastAsia="Arial" w:hAnsi="Arial"/>
          <w:color w:val="333333"/>
          <w:sz w:val="20"/>
          <w:szCs w:val="20"/>
        </w:rPr>
        <w:t xml:space="preserve">H7: Is MACD histogram direction a better momentum filter than RSI threshold?</w:t>
      </w:r>
    </w:p>
    <w:p>
      <w:pPr>
        <w:pStyle w:val="ListParagraph"/>
        <w:numPr>
          <w:ilvl w:val="0"/>
          <w:numId w:val="2"/>
        </w:numPr>
        <w:spacing w:before="40" w:after="40"/>
      </w:pPr>
      <w:r>
        <w:rPr>
          <w:rFonts w:ascii="Arial" w:cs="Arial" w:eastAsia="Arial" w:hAnsi="Arial"/>
          <w:color w:val="333333"/>
          <w:sz w:val="20"/>
          <w:szCs w:val="20"/>
        </w:rPr>
        <w:t xml:space="preserve">H8: Does momentum confirmation matter more on certain timeframes or asset classes?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3.3 Structure &amp; Key Levels</w:t>
      </w:r>
    </w:p>
    <w:p>
      <w:pPr>
        <w:pStyle w:val="ListParagraph"/>
        <w:numPr>
          <w:ilvl w:val="0"/>
          <w:numId w:val="2"/>
        </w:numPr>
        <w:spacing w:before="40" w:after="40"/>
      </w:pPr>
      <w:r>
        <w:rPr>
          <w:rFonts w:ascii="Arial" w:cs="Arial" w:eastAsia="Arial" w:hAnsi="Arial"/>
          <w:color w:val="333333"/>
          <w:sz w:val="20"/>
          <w:szCs w:val="20"/>
        </w:rPr>
        <w:t xml:space="preserve">H9: Does proximity to a key level improve outcomes vs. entries anywhere in a trend?</w:t>
      </w:r>
    </w:p>
    <w:p>
      <w:pPr>
        <w:pStyle w:val="ListParagraph"/>
        <w:numPr>
          <w:ilvl w:val="0"/>
          <w:numId w:val="2"/>
        </w:numPr>
        <w:spacing w:before="40" w:after="40"/>
      </w:pPr>
      <w:r>
        <w:rPr>
          <w:rFonts w:ascii="Arial" w:cs="Arial" w:eastAsia="Arial" w:hAnsi="Arial"/>
          <w:color w:val="333333"/>
          <w:sz w:val="20"/>
          <w:szCs w:val="20"/>
        </w:rPr>
        <w:t xml:space="preserve">H10: Which level detection method performs best per asset class?</w:t>
      </w:r>
    </w:p>
    <w:p>
      <w:pPr>
        <w:pStyle w:val="ListParagraph"/>
        <w:numPr>
          <w:ilvl w:val="0"/>
          <w:numId w:val="2"/>
        </w:numPr>
        <w:spacing w:before="40" w:after="40"/>
      </w:pPr>
      <w:r>
        <w:rPr>
          <w:rFonts w:ascii="Arial" w:cs="Arial" w:eastAsia="Arial" w:hAnsi="Arial"/>
          <w:color w:val="333333"/>
          <w:sz w:val="20"/>
          <w:szCs w:val="20"/>
        </w:rPr>
        <w:t xml:space="preserve">H11: How tight does 'proximity' need to be to matter (0.5%, 2%, 5%)?</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3.4 Signal Scoring</w:t>
      </w:r>
    </w:p>
    <w:p>
      <w:pPr>
        <w:pStyle w:val="ListParagraph"/>
        <w:numPr>
          <w:ilvl w:val="0"/>
          <w:numId w:val="2"/>
        </w:numPr>
        <w:spacing w:before="40" w:after="40"/>
      </w:pPr>
      <w:r>
        <w:rPr>
          <w:rFonts w:ascii="Arial" w:cs="Arial" w:eastAsia="Arial" w:hAnsi="Arial"/>
          <w:color w:val="333333"/>
          <w:sz w:val="20"/>
          <w:szCs w:val="20"/>
        </w:rPr>
        <w:t xml:space="preserve">H12: Does requiring 2-of-3 confluence outperform 1-of-3 or 3-of-3?</w:t>
      </w:r>
    </w:p>
    <w:p>
      <w:pPr>
        <w:pStyle w:val="ListParagraph"/>
        <w:numPr>
          <w:ilvl w:val="0"/>
          <w:numId w:val="2"/>
        </w:numPr>
        <w:spacing w:before="40" w:after="40"/>
      </w:pPr>
      <w:r>
        <w:rPr>
          <w:rFonts w:ascii="Arial" w:cs="Arial" w:eastAsia="Arial" w:hAnsi="Arial"/>
          <w:color w:val="333333"/>
          <w:sz w:val="20"/>
          <w:szCs w:val="20"/>
        </w:rPr>
        <w:t xml:space="preserve">H13: Does the current scoring model rank high-quality trades above low-quality ones?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3.5 Regime Filter</w:t>
      </w:r>
    </w:p>
    <w:p>
      <w:pPr>
        <w:pStyle w:val="ListParagraph"/>
        <w:numPr>
          <w:ilvl w:val="0"/>
          <w:numId w:val="2"/>
        </w:numPr>
        <w:spacing w:before="40" w:after="40"/>
      </w:pPr>
      <w:r>
        <w:rPr>
          <w:rFonts w:ascii="Arial" w:cs="Arial" w:eastAsia="Arial" w:hAnsi="Arial"/>
          <w:color w:val="333333"/>
          <w:sz w:val="20"/>
          <w:szCs w:val="20"/>
        </w:rPr>
        <w:t xml:space="preserve">H14: Does filtering by 200 SMA regime improve overall portfolio returns?</w:t>
      </w:r>
    </w:p>
    <w:p>
      <w:pPr>
        <w:pStyle w:val="ListParagraph"/>
        <w:numPr>
          <w:ilvl w:val="0"/>
          <w:numId w:val="2"/>
        </w:numPr>
        <w:spacing w:before="40" w:after="40"/>
      </w:pPr>
      <w:r>
        <w:rPr>
          <w:rFonts w:ascii="Arial" w:cs="Arial" w:eastAsia="Arial" w:hAnsi="Arial"/>
          <w:color w:val="333333"/>
          <w:sz w:val="20"/>
          <w:szCs w:val="20"/>
        </w:rPr>
        <w:t xml:space="preserve">H15: Is a 3-consecutive-close regime confirmation better than an immediate switch?</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3.6 Timeframes</w:t>
      </w:r>
    </w:p>
    <w:p>
      <w:pPr>
        <w:pStyle w:val="ListParagraph"/>
        <w:numPr>
          <w:ilvl w:val="0"/>
          <w:numId w:val="2"/>
        </w:numPr>
        <w:spacing w:before="40" w:after="40"/>
      </w:pPr>
      <w:r>
        <w:rPr>
          <w:rFonts w:ascii="Arial" w:cs="Arial" w:eastAsia="Arial" w:hAnsi="Arial"/>
          <w:color w:val="333333"/>
          <w:sz w:val="20"/>
          <w:szCs w:val="20"/>
        </w:rPr>
        <w:t xml:space="preserve">H16: Does the 4H/Daily combo outperform 1H/4H or Daily/Weekly for Bucket A?</w:t>
      </w:r>
    </w:p>
    <w:p>
      <w:pPr>
        <w:pStyle w:val="ListParagraph"/>
        <w:numPr>
          <w:ilvl w:val="0"/>
          <w:numId w:val="2"/>
        </w:numPr>
        <w:spacing w:before="40" w:after="40"/>
      </w:pPr>
      <w:r>
        <w:rPr>
          <w:rFonts w:ascii="Arial" w:cs="Arial" w:eastAsia="Arial" w:hAnsi="Arial"/>
          <w:color w:val="333333"/>
          <w:sz w:val="20"/>
          <w:szCs w:val="20"/>
        </w:rPr>
        <w:t xml:space="preserve">H17: Does the Weekly/Monthly combo hold up across all asset classes for Bucket B?</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3.7 Asset Class Behavior</w:t>
      </w:r>
    </w:p>
    <w:p>
      <w:pPr>
        <w:pStyle w:val="ListParagraph"/>
        <w:numPr>
          <w:ilvl w:val="0"/>
          <w:numId w:val="2"/>
        </w:numPr>
        <w:spacing w:before="40" w:after="40"/>
      </w:pPr>
      <w:r>
        <w:rPr>
          <w:rFonts w:ascii="Arial" w:cs="Arial" w:eastAsia="Arial" w:hAnsi="Arial"/>
          <w:color w:val="333333"/>
          <w:sz w:val="20"/>
          <w:szCs w:val="20"/>
        </w:rPr>
        <w:t xml:space="preserve">H18: Do the same parameters work across tech stocks, metals, crypto, and indices — or does each need its own config?</w:t>
      </w:r>
    </w:p>
    <w:p>
      <w:pPr>
        <w:pStyle w:val="ListParagraph"/>
        <w:numPr>
          <w:ilvl w:val="0"/>
          <w:numId w:val="2"/>
        </w:numPr>
        <w:spacing w:before="40" w:after="40"/>
      </w:pPr>
      <w:r>
        <w:rPr>
          <w:rFonts w:ascii="Arial" w:cs="Arial" w:eastAsia="Arial" w:hAnsi="Arial"/>
          <w:color w:val="333333"/>
          <w:sz w:val="20"/>
          <w:szCs w:val="20"/>
        </w:rPr>
        <w:t xml:space="preserve">H19: Are there asset classes where this strategy framework breaks down entirely?</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3.8 Portfolio &amp; Sizing</w:t>
      </w:r>
    </w:p>
    <w:p>
      <w:pPr>
        <w:pStyle w:val="ListParagraph"/>
        <w:numPr>
          <w:ilvl w:val="0"/>
          <w:numId w:val="2"/>
        </w:numPr>
        <w:spacing w:before="40" w:after="40"/>
      </w:pPr>
      <w:r>
        <w:rPr>
          <w:rFonts w:ascii="Arial" w:cs="Arial" w:eastAsia="Arial" w:hAnsi="Arial"/>
          <w:color w:val="333333"/>
          <w:sz w:val="20"/>
          <w:szCs w:val="20"/>
        </w:rPr>
        <w:t xml:space="preserve">H20: What is the optimal max-N concurrent positions per bucket before diversification benefit flattens?</w:t>
      </w:r>
    </w:p>
    <w:p>
      <w:pPr>
        <w:pStyle w:val="ListParagraph"/>
        <w:numPr>
          <w:ilvl w:val="0"/>
          <w:numId w:val="2"/>
        </w:numPr>
        <w:spacing w:before="40" w:after="40"/>
      </w:pPr>
      <w:r>
        <w:rPr>
          <w:rFonts w:ascii="Arial" w:cs="Arial" w:eastAsia="Arial" w:hAnsi="Arial"/>
          <w:color w:val="333333"/>
          <w:sz w:val="20"/>
          <w:szCs w:val="20"/>
        </w:rPr>
        <w:t xml:space="preserve">H21: Does 1% risk per trade (Bucket A) hold up across different volatility regimes?</w:t>
      </w:r>
    </w:p>
    <w:p>
      <w:pPr>
        <w:spacing w:before="0" w:after="200"/>
      </w:pPr>
      <w:r>
        <w:t xml:space="preserve"/>
      </w:r>
    </w:p>
    <w:p>
      <w:pPr>
        <w:pStyle w:val="Heading1"/>
        <w:pBdr>
          <w:bottom w:val="single" w:color="2E75B6" w:sz="6" w:space="4"/>
        </w:pBdr>
        <w:spacing w:before="400" w:after="200"/>
      </w:pPr>
      <w:r>
        <w:rPr>
          <w:rFonts w:ascii="Arial" w:cs="Arial" w:eastAsia="Arial" w:hAnsi="Arial"/>
          <w:b/>
          <w:bCs/>
          <w:color w:val="1E3A5F"/>
          <w:sz w:val="32"/>
          <w:szCs w:val="32"/>
        </w:rPr>
        <w:t xml:space="preserve">4. Platform Architecture</w:t>
      </w:r>
    </w:p>
    <w:p>
      <w:pPr>
        <w:pStyle w:val="Heading2"/>
        <w:spacing w:before="300" w:after="120"/>
      </w:pPr>
      <w:r>
        <w:rPr>
          <w:rFonts w:ascii="Arial" w:cs="Arial" w:eastAsia="Arial" w:hAnsi="Arial"/>
          <w:b/>
          <w:bCs/>
          <w:color w:val="2E75B6"/>
          <w:sz w:val="26"/>
          <w:szCs w:val="26"/>
        </w:rPr>
        <w:t xml:space="preserve">4.1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Layer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Fetch and normalize OHLCV across asset classes into a common internal format. Local cache to avoid redundant API calls.</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Indicator Library</w:t>
            </w:r>
          </w:p>
        </w:tc>
        <w:tc>
          <w:tcPr>
            <w:tcW w:type="dxa" w:w="6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Pure functions: price data + params → series. No hardcoded values. Built on pandas-ta.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Signal Engine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Assembles indicators into the 3-condition check. Each condition independently toggleable. Outputs a score per candle per symbol.</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Backtester</w:t>
            </w:r>
          </w:p>
        </w:tc>
        <w:tc>
          <w:tcPr>
            <w:tcW w:type="dxa" w:w="6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Candle-by-candle historical replay with no lookahead bias. Outputs trade log with entry, exit, R-multiple, hold duration, regime,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Parameter Grid Runner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Accepts config with value ranges. Runs backtester across all combinations. Returns a results matrix.</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Results Analyzer</w:t>
            </w:r>
          </w:p>
        </w:tc>
        <w:tc>
          <w:tcPr>
            <w:tcW w:type="dxa" w:w="6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Answers the hypothesis list. Surfaces robustness zones, not just peaks. Walk-forward split 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Live Runner (Paper)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Connects TradingView webhook to signal engine. Logs signals without execution.</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Live Runner (Real)</w:t>
            </w:r>
          </w:p>
        </w:tc>
        <w:tc>
          <w:tcPr>
            <w:tcW w:type="dxa" w:w="6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Adds Schwab API execution. Kill switch and position limits required before enabling.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Portfolio Tracker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 positions, R multiples, drawdown, regime at entry.</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Python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Only practical choice for quant work</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Stocks / ETFs / Indices data</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yfinance</w:t>
            </w:r>
          </w:p>
        </w:tc>
        <w:tc>
          <w:tcPr>
            <w:tcW w:type="dxa" w:w="3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Free, decades of history, wide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Crypto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CCXT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Unified interface across exchanges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Indicators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pandas-ta</w:t>
            </w:r>
          </w:p>
        </w:tc>
        <w:tc>
          <w:tcPr>
            <w:tcW w:type="dxa" w:w="3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Pure Python, fully parameterizable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manipulation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pandas + numpy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Standard</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Supabase (PostgreSQL)</w:t>
            </w:r>
          </w:p>
        </w:tc>
        <w:tc>
          <w:tcPr>
            <w:tcW w:type="dxa" w:w="3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Already set up; accessible from anywhere; Streamlit-ready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Visualization /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Streamlit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Separate app from existing deployment</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Config format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YAML</w:t>
            </w:r>
          </w:p>
        </w:tc>
        <w:tc>
          <w:tcPr>
            <w:tcW w:type="dxa" w:w="3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Human-readable, version-controllable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Dev environment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Claude Code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Already in use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Live execution (future)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Schwab Trader API</w:t>
            </w:r>
          </w:p>
        </w:tc>
        <w:tc>
          <w:tcPr>
            <w:tcW w:type="dxa" w:w="3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Official API; migration from free data sources when needed</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4.3 Data Flow</w:t>
      </w:r>
    </w:p>
    <w:p>
      <w:pPr>
        <w:spacing w:before="80" w:after="80"/>
      </w:pPr>
      <w:r>
        <w:rPr>
          <w:rFonts w:ascii="Arial" w:cs="Arial" w:eastAsia="Arial" w:hAnsi="Arial"/>
          <w:color w:val="333333"/>
          <w:sz w:val="20"/>
          <w:szCs w:val="20"/>
        </w:rPr>
        <w:t xml:space="preserve">TradingView (visual analysis) → Webhook alert → Signal Engine → Supabase (log) → Streamlit (dashboard)</w:t>
      </w:r>
    </w:p>
    <w:p>
      <w:pPr>
        <w:spacing w:before="80" w:after="80"/>
      </w:pPr>
      <w:r>
        <w:rPr>
          <w:rFonts w:ascii="Arial" w:cs="Arial" w:eastAsia="Arial" w:hAnsi="Arial"/>
          <w:color w:val="333333"/>
          <w:sz w:val="20"/>
          <w:szCs w:val="20"/>
        </w:rPr>
        <w:t xml:space="preserve">For backtesting: Free API (yfinance / CCXT) → Data Layer → Signal Engine → Backtester → Results Analyzer → Supabase → Streamlit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00"/>
              <w:left w:type="dxa" w:w="160"/>
              <w:bottom w:type="dxa" w:w="100"/>
              <w:right w:type="dxa" w:w="160"/>
            </w:tcMar>
          </w:tcPr>
          <w:p>
            <w:r>
              <w:rPr>
                <w:rFonts w:ascii="Arial" w:cs="Arial" w:eastAsia="Arial" w:hAnsi="Arial"/>
                <w:b/>
                <w:bCs/>
                <w:color w:val="2E75B6"/>
                <w:sz w:val="20"/>
                <w:szCs w:val="20"/>
              </w:rPr>
              <w:t xml:space="preserve">Free API vs. Schwab: </w:t>
            </w:r>
            <w:r>
              <w:rPr>
                <w:rFonts w:ascii="Arial" w:cs="Arial" w:eastAsia="Arial" w:hAnsi="Arial"/>
                <w:color w:val="333333"/>
                <w:sz w:val="20"/>
                <w:szCs w:val="20"/>
              </w:rPr>
              <w:t xml:space="preserve">yfinance covers stocks/ETFs/indices with decades of history. CCXT covers crypto. This is sufficient to validate all strategies. Migrate to Schwab API only when the live runner needs quotes from the same source it executes on.</w:t>
            </w:r>
          </w:p>
        </w:tc>
      </w:tr>
    </w:tbl>
    <w:p>
      <w:pPr>
        <w:spacing w:before="0" w:after="200"/>
      </w:pPr>
      <w:r>
        <w:t xml:space="preserve"/>
      </w:r>
    </w:p>
    <w:p>
      <w:pPr>
        <w:pStyle w:val="Heading1"/>
        <w:pBdr>
          <w:bottom w:val="single" w:color="2E75B6" w:sz="6" w:space="4"/>
        </w:pBdr>
        <w:spacing w:before="400" w:after="200"/>
      </w:pPr>
      <w:r>
        <w:rPr>
          <w:rFonts w:ascii="Arial" w:cs="Arial" w:eastAsia="Arial" w:hAnsi="Arial"/>
          <w:b/>
          <w:bCs/>
          <w:color w:val="1E3A5F"/>
          <w:sz w:val="32"/>
          <w:szCs w:val="32"/>
        </w:rPr>
        <w:t xml:space="preserve">5. Build Plan</w:t>
      </w:r>
    </w:p>
    <w:p>
      <w:pPr>
        <w:pStyle w:val="Heading2"/>
        <w:spacing w:before="300" w:after="120"/>
      </w:pPr>
      <w:r>
        <w:rPr>
          <w:rFonts w:ascii="Arial" w:cs="Arial" w:eastAsia="Arial" w:hAnsi="Arial"/>
          <w:b/>
          <w:bCs/>
          <w:color w:val="2E75B6"/>
          <w:sz w:val="26"/>
          <w:szCs w:val="26"/>
        </w:rPr>
        <w:t xml:space="preserve">5.1 Guiding Principles</w:t>
      </w:r>
    </w:p>
    <w:p>
      <w:pPr>
        <w:pStyle w:val="ListParagraph"/>
        <w:numPr>
          <w:ilvl w:val="0"/>
          <w:numId w:val="2"/>
        </w:numPr>
        <w:spacing w:before="40" w:after="40"/>
      </w:pPr>
      <w:r>
        <w:rPr>
          <w:rFonts w:ascii="Arial" w:cs="Arial" w:eastAsia="Arial" w:hAnsi="Arial"/>
          <w:color w:val="333333"/>
          <w:sz w:val="20"/>
          <w:szCs w:val="20"/>
        </w:rPr>
        <w:t xml:space="preserve">Every indicator parameter is a config value, never a magic number in code</w:t>
      </w:r>
    </w:p>
    <w:p>
      <w:pPr>
        <w:pStyle w:val="ListParagraph"/>
        <w:numPr>
          <w:ilvl w:val="0"/>
          <w:numId w:val="2"/>
        </w:numPr>
        <w:spacing w:before="40" w:after="40"/>
      </w:pPr>
      <w:r>
        <w:rPr>
          <w:rFonts w:ascii="Arial" w:cs="Arial" w:eastAsia="Arial" w:hAnsi="Arial"/>
          <w:color w:val="333333"/>
          <w:sz w:val="20"/>
          <w:szCs w:val="20"/>
        </w:rPr>
        <w:t xml:space="preserve">Walk-forward splits are built in from day one — not retrofitted later</w:t>
      </w:r>
    </w:p>
    <w:p>
      <w:pPr>
        <w:pStyle w:val="ListParagraph"/>
        <w:numPr>
          <w:ilvl w:val="0"/>
          <w:numId w:val="2"/>
        </w:numPr>
        <w:spacing w:before="40" w:after="40"/>
      </w:pPr>
      <w:r>
        <w:rPr>
          <w:rFonts w:ascii="Arial" w:cs="Arial" w:eastAsia="Arial" w:hAnsi="Arial"/>
          <w:color w:val="333333"/>
          <w:sz w:val="20"/>
          <w:szCs w:val="20"/>
        </w:rPr>
        <w:t xml:space="preserve">Look for parameter robustness zones, not just peak performance values</w:t>
      </w:r>
    </w:p>
    <w:p>
      <w:pPr>
        <w:pStyle w:val="ListParagraph"/>
        <w:numPr>
          <w:ilvl w:val="0"/>
          <w:numId w:val="2"/>
        </w:numPr>
        <w:spacing w:before="40" w:after="40"/>
      </w:pPr>
      <w:r>
        <w:rPr>
          <w:rFonts w:ascii="Arial" w:cs="Arial" w:eastAsia="Arial" w:hAnsi="Arial"/>
          <w:color w:val="333333"/>
          <w:sz w:val="20"/>
          <w:szCs w:val="20"/>
        </w:rPr>
        <w:t xml:space="preserve">Validate signal engine visually on known charts before running any backtests</w:t>
      </w:r>
    </w:p>
    <w:p>
      <w:pPr>
        <w:pStyle w:val="ListParagraph"/>
        <w:numPr>
          <w:ilvl w:val="0"/>
          <w:numId w:val="2"/>
        </w:numPr>
        <w:spacing w:before="40" w:after="40"/>
      </w:pPr>
      <w:r>
        <w:rPr>
          <w:rFonts w:ascii="Arial" w:cs="Arial" w:eastAsia="Arial" w:hAnsi="Arial"/>
          <w:color w:val="333333"/>
          <w:sz w:val="20"/>
          <w:szCs w:val="20"/>
        </w:rPr>
        <w:t xml:space="preserve">Options execution remains semi-manual in v1 — engine flags setups, human selects strikes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5.2 Milestone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Exit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M1: Data Layer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Fetch + normalize OHLCV for stocks, ETFs, indices, crypto, metals into common format. Local cache.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Can pull any symbol + timeframe combo and inspect clean OHLCV dataframe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M2: Indicator Library</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Implement MA, RSI, MACD, volume as pure parameterized functions. Unit tested.</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Each function produces correct output vs. known reference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M3: Signal Engine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Assemble 3-condition check. Score output. Config-driven. No hardcoded values.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Signals match manual chart reads on 3+ known setups across different assets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M4: Backtester</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Historical replay, trade log output, walk-forward splits, no lookahead.</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Trade log for a 2-year AAPL backtest matches expected results manually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M5: Grid Runner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Parameter grid search over backtester. Results matrix 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Can sweep RSI period 10–20, MA period 10–50 and return ranked results table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M6: Results Analyzer + Supabase</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Hypothesis-oriented output. Robustness zones. Persist results to Supabase.</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Can answer H1–H5 from the hypothesis list with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M7: Streamlit Dashboard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Results explorer, hypothesis view, parameter heatmaps.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Can visually compare strategy variants and filter by asset class / regime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M8: Live Runner (Paper)</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TradingView webhook → signal engine → Supabase log.</w:t>
            </w:r>
          </w:p>
        </w:tc>
        <w:tc>
          <w:tcPr>
            <w:tcW w:type="dxa" w:w="3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Signals appear in Supabase within seconds of TradingView alert firing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M9: Live Runner (Real)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Schwab API execution. Kill switch. Position limits.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Paper-tested for 30 days before enabling real execution</w:t>
            </w:r>
          </w:p>
        </w:tc>
      </w:tr>
    </w:tbl>
    <w:p>
      <w:pPr>
        <w:spacing w:before="0" w:after="200"/>
      </w:pPr>
      <w:r>
        <w:t xml:space="preserve"/>
      </w:r>
    </w:p>
    <w:p>
      <w:pPr>
        <w:pStyle w:val="Heading1"/>
        <w:pBdr>
          <w:bottom w:val="single" w:color="2E75B6" w:sz="6" w:space="4"/>
        </w:pBdr>
        <w:spacing w:before="400" w:after="200"/>
      </w:pPr>
      <w:r>
        <w:rPr>
          <w:rFonts w:ascii="Arial" w:cs="Arial" w:eastAsia="Arial" w:hAnsi="Arial"/>
          <w:b/>
          <w:bCs/>
          <w:color w:val="1E3A5F"/>
          <w:sz w:val="32"/>
          <w:szCs w:val="32"/>
        </w:rPr>
        <w:t xml:space="preserve">6. Overfitting Safeguards</w:t>
      </w:r>
    </w:p>
    <w:p>
      <w:pPr>
        <w:spacing w:before="80" w:after="80"/>
      </w:pPr>
      <w:r>
        <w:rPr>
          <w:rFonts w:ascii="Arial" w:cs="Arial" w:eastAsia="Arial" w:hAnsi="Arial"/>
          <w:color w:val="333333"/>
          <w:sz w:val="20"/>
          <w:szCs w:val="20"/>
        </w:rPr>
        <w:t xml:space="preserve">Parameter optimization on historical data can produce results that fail in live trading. These safeguards are mandatory, not optional.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Safeguard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Walk-forward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Optimize on years 1–3, validate on year 4 (out-of-sample). Year 5 untouched until live.</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Robustness over peaks</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Flag parameter neighborhoods, not isolated peaks. A value that spikes while its neighbors underperform is a curve-fit artifact.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Cross-asset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 parameter set that only works on one asset class or one regime is not a strategy — it's a regime artifact.</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Minimum trade count</w:t>
            </w:r>
          </w:p>
        </w:tc>
        <w:tc>
          <w:tcPr>
            <w:tcW w:type="dxa" w:w="6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Reject backtests with fewer than 30 trades. Insufficient sample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Out-of-sample holdout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Final validation set never touched during optimization. One use only.</w:t>
            </w:r>
          </w:p>
        </w:tc>
      </w:tr>
    </w:tbl>
    <w:p>
      <w:pPr>
        <w:spacing w:before="0" w:after="200"/>
      </w:pPr>
      <w:r>
        <w:t xml:space="preserve"/>
      </w:r>
    </w:p>
    <w:p>
      <w:pPr>
        <w:pStyle w:val="Heading1"/>
        <w:pBdr>
          <w:bottom w:val="single" w:color="2E75B6" w:sz="6" w:space="4"/>
        </w:pBdr>
        <w:spacing w:before="400" w:after="200"/>
      </w:pPr>
      <w:r>
        <w:rPr>
          <w:rFonts w:ascii="Arial" w:cs="Arial" w:eastAsia="Arial" w:hAnsi="Arial"/>
          <w:b/>
          <w:bCs/>
          <w:color w:val="1E3A5F"/>
          <w:sz w:val="32"/>
          <w:szCs w:val="32"/>
        </w:rPr>
        <w:t xml:space="preserve">7. Open Questions &amp; Deferred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Additional hypotheses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Deferred — revisit after first results from M4–M6</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Options strike/expiry logic</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Deferred to v2 — requires separate module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Crypto exchange selection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Which exchange(s) for live short execution? TBD when M9 is in scope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Schwab API migration trigger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Criteria for switching from yfinance to Schwab for data: define before M8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Alert-to-execution latency SLA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Acceptable delay between TradingView alert and Schwab order? TBD before M9</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Max drawdown kill switch threshold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18"/>
                <w:szCs w:val="18"/>
              </w:rPr>
              <w:t xml:space="preserve">What portfolio drawdown level triggers automatic halt of live runner? TBD before M9</w:t>
            </w:r>
          </w:p>
        </w:tc>
      </w:tr>
    </w:tbl>
    <w:p>
      <w:pPr>
        <w:spacing w:before="0" w:after="200"/>
      </w:pPr>
      <w:r>
        <w:t xml:space="preserve"/>
      </w:r>
    </w:p>
    <w:p>
      <w:pPr>
        <w:pBdr>
          <w:top w:val="single" w:color="CCCCCC" w:sz="4" w:space="8"/>
        </w:pBdr>
        <w:spacing w:before="400" w:after="0"/>
      </w:pPr>
      <w:r>
        <w:rPr>
          <w:rFonts w:ascii="Arial" w:cs="Arial" w:eastAsia="Arial" w:hAnsi="Arial"/>
          <w:color w:val="999999"/>
          <w:sz w:val="16"/>
          <w:szCs w:val="16"/>
        </w:rPr>
        <w:t xml:space="preserve">Swing Trading Platform PRD  ·  v1.0  ·  March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2026-03-06T17:06:50.924Z</dcterms:created>
  <dcterms:modified xsi:type="dcterms:W3CDTF">2026-03-06T17:06:50.924Z</dcterms:modified>
</cp:coreProperties>
</file>

<file path=docProps/custom.xml><?xml version="1.0" encoding="utf-8"?>
<Properties xmlns="http://schemas.openxmlformats.org/officeDocument/2006/custom-properties" xmlns:vt="http://schemas.openxmlformats.org/officeDocument/2006/docPropsVTypes"/>
</file>