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答辩PPT大纲与华丽排版说明</w:t>
      </w:r>
    </w:p>
    <w:p>
      <w:pPr>
        <w:jc w:val="center"/>
      </w:pPr>
      <w:r>
        <w:rPr>
          <w:i/>
          <w:color w:val="0096A0"/>
        </w:rPr>
        <w:t>灵动交通可视化平台｜赛道C（AI应用型）</w:t>
      </w:r>
    </w:p>
    <w:p>
      <w:pPr>
        <w:pStyle w:val="Heading1"/>
      </w:pPr>
      <w:r>
        <w:t>排版总原则</w:t>
      </w:r>
    </w:p>
    <w:p>
      <w:r>
        <w:t>整套PPT采用深蓝、亮蓝、青绿色和警示红组成的科技型视觉系统。每页顶部保留深蓝品牌栏，品牌栏左侧放置“灵动交通”字标，右侧放置“中山大学·数智交通团队”信息，主体区域采用白色或极浅蓝灰色背景，以粗黑标题、蓝色结构块和红色结论强调形成清晰的视觉层级。页面不追求信息堆满，而是让每页只承担一个明确结论，并用大数字、流程图、仿真截图、日志或可编辑图表支撑结论。所有数据表述都必须绑定实验场景、车辆投放量、统计窗口和指标口径，不能把仿真结果泛化为真实道路普遍收益。</w:t>
      </w:r>
    </w:p>
    <w:p>
      <w:pPr>
        <w:pStyle w:val="Heading1"/>
      </w:pPr>
      <w:r>
        <w:t>材料边界</w:t>
      </w:r>
    </w:p>
    <w:p>
      <w:r>
        <w:t>《项目报告书》负责提供项目背景、技术架构、算法原理、实验数据和工程实现事实。《答辩PPT大纲优化建议.docx》负责提供页面重排方向、证据补强要求和数据口径修正要求。本大纲只把两份材料转化为视觉和讲述设计，不把优化建议中的待补证据直接写成已经完成的成果。平台默认运行PyTorch权重，ONNX FP32和INT8属于已经完成转换、一致性验证和CPU推理验证的部署形态，正式PPT应保持这一边界。</w:t>
      </w:r>
    </w:p>
    <w:p>
      <w:pPr>
        <w:pStyle w:val="Heading1"/>
      </w:pPr>
      <w:r>
        <w:t>逐页排版说明</w:t>
      </w:r>
    </w:p>
    <w:p>
      <w:pPr>
        <w:pStyle w:val="Heading2"/>
      </w:pPr>
      <w:r>
        <w:t>第1页｜项目封面</w:t>
      </w:r>
    </w:p>
    <w:p>
      <w:r>
        <w:t>封面采用全屏深蓝背景，并在上方铺设一条带有细亮蓝底线的品牌栏。品牌栏左侧放置浅蓝色“灵动交通”字标，右侧放置学校和团队名称。页面中部偏左放置两行超大白色项目标题，标题下方用浅青色放置完整赛题名称，标题与副标题之间留出充足呼吸空间。页面左下方横向放置一个青绿色圆角标签，标签中写明“赛道C·AI应用型”，其下方依次放置赛题编号、团队名称、学校和负责人信息。页面右半区不放大段文字，而是使用抽象的路网线条、信号节点和数据流光带作为科技感配图，配图采用深蓝底、蓝青色线条和低透明度网格风格。</w:t>
      </w:r>
    </w:p>
    <w:p>
      <w:pPr>
        <w:pStyle w:val="Heading2"/>
      </w:pPr>
      <w:r>
        <w:t>第2页｜雄安问题与赛题需求</w:t>
      </w:r>
    </w:p>
    <w:p>
      <w:r>
        <w:t>标题位于顶部居中偏左的位置，标题下方放置一句黑色加粗结论，直接说明“窄路密网让单点控制难以回答区域级问题”。页面主体采用左侧数据、右侧问题卡片的左右分栏结构。左侧横向排列三个大数字卡片，分别展示路网密度、20路口规模和CPU轻量化部署目标，每张卡片使用白底圆角边框和不同颜色的竖向强调条。右侧纵向排列两张较大的圆角文字卡片，上方卡片描述多路口耦合和拥堵传播，下方卡片概括赛题对仿真、协同AI、部署和评估的要求。页面底部横向放置一条蓝色结论带，配合一个小型路网节点配图，形成从问题到目标的视觉收束。</w:t>
      </w:r>
    </w:p>
    <w:p>
      <w:pPr>
        <w:pStyle w:val="Heading2"/>
      </w:pPr>
      <w:r>
        <w:t>第3页｜项目方案与核心成果</w:t>
      </w:r>
    </w:p>
    <w:p>
      <w:r>
        <w:t>标题位于顶部居中，标题下方使用一条短红色横线作为视觉锚点。主体上半区横向排列三个白色圆角步骤卡片，分别代表高保真场景、预测与控制、部署与验证，三个卡片之间用粗蓝色箭头连接。右上角单独放置一张深蓝色结果卡片，使用大号白色数字突出临界负荷下到达车辆数由8辆提升至13辆，并在数字下方用小字标明约314辆投放和480秒实验窗口。主体下半区横向排列三个大数字卡片，展示99.4%、24.9KB和50%以上三个结果。页面底部用一行浅灰色说明强调这些结果均绑定具体实验条件。配图不采用照片，而采用一条从仿真场景流向控制模型再流向部署验证的蓝青色流程光带。</w:t>
      </w:r>
    </w:p>
    <w:p>
      <w:pPr>
        <w:pStyle w:val="Heading2"/>
      </w:pPr>
      <w:r>
        <w:t>第4页｜车路云架构与控制闭环</w:t>
      </w:r>
    </w:p>
    <w:p>
      <w:r>
        <w:t>标题位于顶部居中，页面主体采用横向五段流程排版。五个等宽圆角模块从左到右依次放置感知、预测、决策、执行和验证，每个模块上方用蓝色或青绿色色带标出模块名称，下方用一到两行短句解释输入、模型或输出，模块之间用简洁的蓝色连接箭头串联。页面下半区放置一条深蓝色横向架构带，将云端、边缘和车端分成三个区域，并分别标明全局态势、路口控制和路径引导的职责。右下角放置一个红色警示小标签，写明“MAPPO→SCOOT→Fixed-Time”，突出降级链路。配图使用扁平化数据流和路口节点图标，避免复杂三维插图。</w:t>
      </w:r>
    </w:p>
    <w:p>
      <w:pPr>
        <w:pStyle w:val="Heading2"/>
      </w:pPr>
      <w:r>
        <w:t>第5页｜20路口仿真环境</w:t>
      </w:r>
    </w:p>
    <w:p>
      <w:r>
        <w:t>标题位于顶部居中，副标题放在标题下方并居中说明“重点不只是有20个路口，而是能解释场景如何构建”。页面中部使用两行三列的六步流程卡片，依次描述地图或规划资料、路网转换清洗、车道与相位配置、需求生成校准、扰动注入和SUMO校验。每个卡片采用浅蓝底、深蓝标题和细灰边框，第二行卡片使用浅青绿色作为区分。页面下方居中放置一张占据较大面积的20路口路网截图，截图外侧使用细蓝框和局部放大标记突出节点、边和信号路口。截图下方横向排列四个小型圆角标签，分别表示事故、施工占道、大型活动和热点区域，形成场景可编程的视觉证据。</w:t>
      </w:r>
    </w:p>
    <w:p>
      <w:pPr>
        <w:pStyle w:val="Heading2"/>
      </w:pPr>
      <w:r>
        <w:t>第6页｜STGCN与MAPPO分工</w:t>
      </w:r>
    </w:p>
    <w:p>
      <w:r>
        <w:t>标题位于顶部居中，主体采用左右两栏的对称卡片结构。左侧放置STGCN预测模块卡片，顶部用青绿色色带标注模块名称，卡片内部从上到下放置输入历史流量窗口、输出下一时步边流量和进入Cloud或Edge的路径。右侧放置MAPPO控制模块卡片，顶部用蓝色色带标注模块名称，卡片内部放置最终观测字段、KEEP与ADVANCE动作、5秒决策周期和安全相位约束。两张卡片中间放置一个横向蓝色连接模块，明确表示预测结果进入观测和策略。页面底部放置一条浅红色证据提醒带，说明还需准备预测指标、控制日志和关闭预测模块后的消融证据。配图采用简洁的路网节点图和时间窗口折线图，风格以蓝青色线条为主。</w:t>
      </w:r>
    </w:p>
    <w:p>
      <w:pPr>
        <w:pStyle w:val="Heading2"/>
      </w:pPr>
      <w:r>
        <w:t>第7页｜数据处理、训练与模型选择</w:t>
      </w:r>
    </w:p>
    <w:p>
      <w:r>
        <w:t>标题位于顶部居中，主体使用横向四段证据链排版。四个大型圆角模块依次写明数据、训练、选择和证据，每个模块内部采用大号编号、短标题和三行以内的说明。模块之间用细蓝线连接，连接线上方放置小型箭头，形成连续的生命周期。页面右下角加设一张深蓝色“接口统一”提示卡，明确最终观测维度、动作输出和权重版本必须以最终推理接口为准。页面左下角放置一张训练曲线配图，曲线采用蓝色主线和红色关键节点，旁边配一张小型数据划分示意图，展示训练集、验证集和测试集的关系。</w:t>
      </w:r>
    </w:p>
    <w:p>
      <w:pPr>
        <w:pStyle w:val="Heading2"/>
      </w:pPr>
      <w:r>
        <w:t>第8页｜模型转换与CPU部署形态</w:t>
      </w:r>
    </w:p>
    <w:p>
      <w:r>
        <w:t>标题位于顶部居中，主体采用左图右文的左右分栏。左侧放置一张高约三分之一页面的蓝色柱状图，横轴展示PyTorch FP32、ONNX FP32和ONNX INT8，柱体上方直接标注84.7KB、82.5KB和24.9KB。右侧纵向排列两张大圆角卡片，上方卡片用青绿色强调一致性，突出100%和99.4%两个动作一致率；下方卡片用橙色强调部署边界，明确默认运行仍加载PyTorch权重，ONNX和INT8是已验证的CPU部署形态。页面底部横向放置一条红色警示语，提醒FP32单次延迟与INT8批量64延迟不能当作同条件速度对比。</w:t>
      </w:r>
    </w:p>
    <w:p>
      <w:pPr>
        <w:pStyle w:val="Heading2"/>
      </w:pPr>
      <w:r>
        <w:t>第9页｜安全控制与异常降级</w:t>
      </w:r>
    </w:p>
    <w:p>
      <w:r>
        <w:t>标题位于顶部居中，主体采用左侧故障列表、右侧三级降级链路的左右分栏。左侧纵向排列四张浅蓝灰色故障卡片，卡片左端用红色或橙色标签标出权重缺失、推理超时、非法动作和通信异常，卡片右端用一句话说明故障含义。每张故障卡片右侧放置一个青绿色箭头，指向右侧的深蓝色降级面板。右侧面板内部纵向排列MAPPO、SCOOT和Fixed-Time三个大号白色或浅青色模块，模块之间用细亮蓝线和向下箭头连接，并在旁边放置日志、状态码和恢复条件的说明。页面右下角可以配一张真实变灯流程截图，采用红黄绿信号灯和时间戳叠加的工程化风格。</w:t>
      </w:r>
    </w:p>
    <w:p>
      <w:pPr>
        <w:pStyle w:val="Heading2"/>
      </w:pPr>
      <w:r>
        <w:t>第10页｜系统实现与现场运行</w:t>
      </w:r>
    </w:p>
    <w:p>
      <w:r>
        <w:t>标题位于顶部居中，主体上半区横向排列前端、后端和运行环境三张等宽圆角卡片，三张卡片分别采用青绿、蓝色和橙色顶边，并用短句展示Vue3、FastAPI、WebSocket、TraCI、SUMO、Docker和一键启动等内容。主体下半区使用横向四步流程，依次写明双击启动脚本、启动前后端、导入20路口场景以及运行对比和报告导出。页面右侧或右下角嵌入一张系统实际运行界面截图，截图外侧用蓝色细框包围，截图中应能看到路网、车辆、信号灯和实时指标。页面底部用一条深蓝色横条强调连续运行、资源释放和报告导出证据。</w:t>
      </w:r>
    </w:p>
    <w:p>
      <w:pPr>
        <w:pStyle w:val="Heading2"/>
      </w:pPr>
      <w:r>
        <w:t>第11页｜实验设计与复现条件</w:t>
      </w:r>
    </w:p>
    <w:p>
      <w:r>
        <w:t>标题位于顶部居中，主体采用左侧复现条件清单卡、右侧Baseline对比面板的左右分栏。左侧使用一张高大的白色圆角卡片，内部用五条横向信息带依次写明代码与模型版本、场景与车辆投放、随机种子与时间、控制周期与采样窗口、指标与原始数据。每条信息带左端使用蓝色小标签，右端使用黑色正文。右侧使用深蓝色大面板纵向放置Fixed-Time、SCOOT和MAPPO三个白色策略名称，并在面板底部用浅青色文字标注同路网、同投放和固定seed。配图可以使用一张实验配置文件截图或Git commit截图，放在左侧卡片下方作为可复现证据。</w:t>
      </w:r>
    </w:p>
    <w:p>
      <w:pPr>
        <w:pStyle w:val="Heading2"/>
      </w:pPr>
      <w:r>
        <w:t>第12页｜标准车流横向对比</w:t>
      </w:r>
    </w:p>
    <w:p>
      <w:r>
        <w:t>标题位于顶部居中，页面主体采用左图右结论的左右分栏。左侧放置一张双系列柱状图，横轴为Fixed-Time、SCOOT和MAPPO，橙色系列表示平均等待，蓝色系列表示平均速度，并在图例中直接标明单位和升降方向。右侧纵向排列两张圆角卡片，上方卡片解释固定配时、SCOOT和MAPPO在不同指标上的差异，下方卡片用橙色强调需要进一步补充完成车辆数、到达车辆数、完成率或单位时间通过量。页面底部横向放置一条浅灰色数据口径说明，明确数据来自routes_clean700并需按实验原始数据复算。</w:t>
      </w:r>
    </w:p>
    <w:p>
      <w:pPr>
        <w:pStyle w:val="Heading2"/>
      </w:pPr>
      <w:r>
        <w:t>第13页｜热点场景与算法边界</w:t>
      </w:r>
    </w:p>
    <w:p>
      <w:r>
        <w:t>标题位于顶部居中，页面主体左侧放置一张到达车辆数对比柱状图，横轴按117、198、314、402、524和774辆投放量分组，Fixed-Time使用蓝色，SCOOT使用红色，图上保留数值标签。右侧纵向排列三张结论卡片，第一张使用青绿色说明314辆投放时到达车辆数由8提升至13，即62.5%；第二张使用橙色说明热点区域后期速度提升约50%以上，并标明统计窗口；第三张使用红色说明超饱和区受网络容量约束，不能继续外推收益。页面下方可配一张中心热点向外围扩散的交通热力图，采用蓝绿渐变和红色拥堵区域，图像风格应接近仿真平台截图而不是装饰插画。</w:t>
      </w:r>
    </w:p>
    <w:p>
      <w:pPr>
        <w:pStyle w:val="Heading2"/>
      </w:pPr>
      <w:r>
        <w:t>第14页｜三项可验证创新与推广价值</w:t>
      </w:r>
    </w:p>
    <w:p>
      <w:r>
        <w:t>标题位于顶部居中，主体采用横向三栏布局，三张大圆角卡片分别写明分层协同、轻量部署和标准化闭环。每张卡片顶部放置浅蓝、浅青或浅绿色的色块标题，卡片中央用一段短句说明创新如何被文件、日志、指标或系统运行证据验证。三张卡片下方横向放置一条深蓝色推广价值带，内部用四个间隔明显的短语展示可替换算法、可复现场景、可审计指标和可扩展接口。页面右上角可以放置一张极简的接口或报告导出截图作为配图，截图采用白底细蓝框风格，以证明标准化不是口号。</w:t>
      </w:r>
    </w:p>
    <w:p>
      <w:pPr>
        <w:pStyle w:val="Heading2"/>
      </w:pPr>
      <w:r>
        <w:t>第15页｜总结与团队分工</w:t>
      </w:r>
    </w:p>
    <w:p>
      <w:r>
        <w:t>总结页采用深蓝色全屏背景，并保留顶部品牌栏和亮蓝底线。标题放在页面上方居中，使用大号白色字体概括“从仿真场景到轻量化部署，形成完整技术链路”。标题下方放置一行浅青色总结句，随后横向排列四张白色大数字卡片，展示20个信号路口、62.5%、99.4%和50%以上四项核心结果，卡片左侧使用不同颜色的竖向强调条。页面下半区放置一条半透明蓝色团队分工横条，横条中用白色文字串联场景与仿真、算法与模型、平台开发、实验评估和演示交付。页面底部左侧放置“谢谢”，右侧放置“欢迎提问”，背景可使用低透明度的路网网格和数据流光带作为配图。</w:t>
      </w:r>
    </w:p>
    <w:p>
      <w:pPr>
        <w:pStyle w:val="Heading1"/>
      </w:pPr>
      <w:r>
        <w:t>备份页排版说明</w:t>
      </w:r>
    </w:p>
    <w:p>
      <w:r>
        <w:t>备份页不进入15页主讲计时，但应延续同一套深蓝品牌栏、白色主体、蓝色结构块和红色警示色。MAPPO状态动作与奖励页采用左右对照布局，左侧放最终观测字段构成，右侧放KEEP与ADVANCE动作约束和奖励函数；训练参数与训练曲线页采用左侧训练曲线、右侧参数卡片的布局；模型转换验证页采用三阶段横向流程和底部一致性日志截图；接口与部署页采用左侧API路径列表、右侧请求响应截图的布局；异常测试页采用故障注入时间轴和三级降级链路；Webster典型路口验证页采用左侧四路口降幅柱状图、右侧公式和适用边界说明。</w:t>
      </w:r>
    </w:p>
    <w:p>
      <w:pPr>
        <w:pStyle w:val="Heading1"/>
      </w:pPr>
      <w:r>
        <w:t>制作时的视觉执行要求</w:t>
      </w:r>
    </w:p>
    <w:p>
      <w:r>
        <w:t>正文标题应使用高对比度的深蓝或黑色，重要数字使用蓝色、青绿色或红色，但同一页不超过两种强调色。卡片应保持较大的内边距和统一圆角，避免把长段落塞入狭窄模块。配图优先使用系统真实截图、路网可视化、实验曲线和日志画面，装饰图只用于增强空间层次，不替代证据。页面之间应保持顶部品牌栏、章节编号、页码、底部细红线和字体体系一致，使整套PPT看起来像一个完整的产品化平台，而不是多个独立页面的拼接。</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b w:val="0"/>
      <w:color w:val="233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80B5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F5B9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80B5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