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560"/>
        <w:jc w:val="center"/>
      </w:pPr>
      <w:r>
        <w:rPr>
          <w:rFonts w:ascii="Microsoft YaHei" w:hAnsi="Microsoft YaHei" w:eastAsia="Microsoft YaHei"/>
          <w:b/>
          <w:color w:val="000000"/>
          <w:sz w:val="48"/>
        </w:rPr>
        <w:t>答辩PPT大纲优化建议</w:t>
      </w:r>
    </w:p>
    <w:p>
      <w:pPr>
        <w:spacing w:after="280"/>
        <w:jc w:val="center"/>
      </w:pPr>
      <w:r>
        <w:rPr>
          <w:rFonts w:ascii="Microsoft YaHei" w:hAnsi="Microsoft YaHei" w:eastAsia="Microsoft YaHei"/>
          <w:color w:val="000000"/>
          <w:sz w:val="24"/>
        </w:rPr>
        <w:t>XH 202613 赛道 C 雄安车路云协同管控平台</w:t>
      </w:r>
    </w:p>
    <w:p>
      <w:pPr>
        <w:spacing w:after="60"/>
        <w:jc w:val="center"/>
      </w:pPr>
      <w:r>
        <w:rPr>
          <w:rFonts w:ascii="Microsoft YaHei" w:hAnsi="Microsoft YaHei" w:eastAsia="Microsoft YaHei"/>
          <w:color w:val="000000"/>
          <w:sz w:val="20"/>
        </w:rPr>
        <w:t>文档版本  逐页内容与排版说明版</w:t>
      </w:r>
    </w:p>
    <w:p>
      <w:pPr>
        <w:spacing w:after="60"/>
        <w:jc w:val="center"/>
      </w:pPr>
      <w:r>
        <w:rPr>
          <w:rFonts w:ascii="Microsoft YaHei" w:hAnsi="Microsoft YaHei" w:eastAsia="Microsoft YaHei"/>
          <w:color w:val="000000"/>
          <w:sz w:val="20"/>
        </w:rPr>
        <w:t>仓库分支  workspace/xiongan-road-network</w:t>
      </w:r>
    </w:p>
    <w:p>
      <w:pPr>
        <w:spacing w:after="60"/>
        <w:jc w:val="center"/>
      </w:pPr>
      <w:r>
        <w:rPr>
          <w:rFonts w:ascii="Microsoft YaHei" w:hAnsi="Microsoft YaHei" w:eastAsia="Microsoft YaHei"/>
          <w:color w:val="000000"/>
          <w:sz w:val="20"/>
        </w:rPr>
        <w:t>原始评审基准  965b635</w:t>
      </w:r>
    </w:p>
    <w:p>
      <w:pPr>
        <w:spacing w:after="60"/>
        <w:jc w:val="center"/>
      </w:pPr>
      <w:r>
        <w:rPr>
          <w:rFonts w:ascii="Microsoft YaHei" w:hAnsi="Microsoft YaHei" w:eastAsia="Microsoft YaHei"/>
          <w:color w:val="000000"/>
          <w:sz w:val="20"/>
        </w:rPr>
        <w:t>更新日期  2026年9月10日</w:t>
      </w:r>
    </w:p>
    <w:p>
      <w:pPr>
        <w:pStyle w:val="Heading1"/>
      </w:pPr>
      <w:r>
        <w:rPr>
          <w:rFonts w:ascii="Microsoft YaHei" w:hAnsi="Microsoft YaHei" w:eastAsia="Microsoft YaHei"/>
          <w:color w:val="000000"/>
        </w:rPr>
        <w:t>一 优化后的排版指令</w:t>
      </w:r>
    </w:p>
    <w:p>
      <w:r>
        <w:rPr>
          <w:rFonts w:ascii="Microsoft YaHei" w:hAnsi="Microsoft YaHei" w:eastAsia="Microsoft YaHei"/>
          <w:color w:val="000000"/>
        </w:rPr>
        <w:t>原排版指令已经明确了标题、卡片和配图位置，能够约束基础版式。为了让15页技术答辩形成统一视觉语言，还需要补充视觉中心、信息密度、图表优先级和技术真实性要求。优化后可直接使用以下指令。</w:t>
      </w:r>
    </w:p>
    <w:p>
      <w:r>
        <w:rPr>
          <w:rFonts w:ascii="Microsoft YaHei" w:hAnsi="Microsoft YaHei" w:eastAsia="Microsoft YaHei"/>
          <w:color w:val="000000"/>
        </w:rPr>
        <w:t>每页都用一段自然语言描述排版。除封面外，标题统一置于页面顶部居中，正文区域只设置一个主要视觉中心，并根据内容选择居中、左右分栏、横向排列或纵向排列。每页通常使用两至四个文字卡片，单个卡片只承载一个结论，避免连续长段文字和超过四个并列模块。需要配图时，应明确配图位于左侧、右侧、中部或底部，并说明画面内容、数据来源和视觉风格。技术流程页优先使用流程图，系统架构页优先使用架构图，实验结果页优先使用柱状图、折线图、热力图或对比数字，不使用与内容无关的装饰图片。所有图表采用统一的深蓝与青绿色科技风格，背景保持浅色或深色渐变但不影响数据辨识。布局说明必须写清标题位置、正文组织方式、卡片数量、是否配图、配图位置和配图内容，并全部使用自然语言陈述句，不使用表格或列表。</w:t>
      </w:r>
    </w:p>
    <w:p>
      <w:r>
        <w:rPr>
          <w:rFonts w:ascii="Microsoft YaHei" w:hAnsi="Microsoft YaHei" w:eastAsia="Microsoft YaHei"/>
          <w:color w:val="000000"/>
        </w:rPr>
        <w:t>排版还应遵循一页一个结论的原则。关键数据使用大号数字或高亮色呈现，说明性文字退居次级层次。地图、系统界面、实验图和运行日志必须来自项目真实材料；暂未验证的数据不制作成完成性成果图。全套PPT建议使用16比9比例，保留统一页边距、页码和项目简称，主讲页控制在15页，详细模型参数、接口字段、Webster验证和完整实验表格放入备份页。</w:t>
      </w:r>
    </w:p>
    <w:p>
      <w:pPr>
        <w:pStyle w:val="Heading1"/>
        <w:pageBreakBefore/>
      </w:pPr>
      <w:r>
        <w:rPr>
          <w:rFonts w:ascii="Microsoft YaHei" w:hAnsi="Microsoft YaHei" w:eastAsia="Microsoft YaHei"/>
          <w:color w:val="000000"/>
        </w:rPr>
        <w:t>二 重新优化后的15页PPT大纲</w:t>
      </w:r>
    </w:p>
    <w:p>
      <w:r>
        <w:rPr>
          <w:rFonts w:ascii="Microsoft YaHei" w:hAnsi="Microsoft YaHei" w:eastAsia="Microsoft YaHei"/>
          <w:color w:val="000000"/>
        </w:rPr>
        <w:t>以下大纲将内容与视觉表达一起规划。每页的排版说明均按照优化后的指令写成完整陈述句，可以直接交给PPT制作者执行。</w:t>
      </w:r>
    </w:p>
    <w:p>
      <w:pPr>
        <w:pStyle w:val="Heading2"/>
        <w:keepNext/>
      </w:pPr>
      <w:r>
        <w:rPr>
          <w:rFonts w:ascii="Microsoft YaHei" w:hAnsi="Microsoft YaHei" w:eastAsia="Microsoft YaHei"/>
          <w:color w:val="000000"/>
        </w:rPr>
        <w:t>第1页 项目封面</w:t>
      </w:r>
    </w:p>
    <w:p>
      <w:pPr>
        <w:keepNext/>
      </w:pPr>
      <w:r>
        <w:rPr>
          <w:rFonts w:ascii="Microsoft YaHei" w:hAnsi="Microsoft YaHei" w:eastAsia="Microsoft YaHei"/>
          <w:b/>
          <w:color w:val="000000"/>
        </w:rPr>
        <w:t>页面目的：</w:t>
      </w:r>
      <w:r>
        <w:rPr>
          <w:rFonts w:ascii="Microsoft YaHei" w:hAnsi="Microsoft YaHei" w:eastAsia="Microsoft YaHei"/>
          <w:color w:val="000000"/>
        </w:rPr>
        <w:t>建立项目、赛题和团队识别，并形成专业的第一印象。</w:t>
      </w:r>
    </w:p>
    <w:p>
      <w:pPr>
        <w:keepNext/>
      </w:pPr>
      <w:r>
        <w:rPr>
          <w:rFonts w:ascii="Microsoft YaHei" w:hAnsi="Microsoft YaHei" w:eastAsia="Microsoft YaHei"/>
          <w:b/>
          <w:color w:val="000000"/>
        </w:rPr>
        <w:t>内容建议：</w:t>
      </w:r>
      <w:r>
        <w:rPr>
          <w:rFonts w:ascii="Microsoft YaHei" w:hAnsi="Microsoft YaHei" w:eastAsia="Microsoft YaHei"/>
          <w:color w:val="000000"/>
        </w:rPr>
        <w:t>页面呈现正式项目名称“面向雄安新区城市大脑的车路云一体化协同管控算法与仿真平台”、平台简称、赛题编号XH 202613、赛道C、学校、团队、成员和答辩日期。封面不放技术细节和实验数据。</w:t>
      </w:r>
    </w:p>
    <w:p>
      <w:r>
        <w:rPr>
          <w:rFonts w:ascii="Microsoft YaHei" w:hAnsi="Microsoft YaHei" w:eastAsia="Microsoft YaHei"/>
          <w:b/>
          <w:color w:val="000000"/>
        </w:rPr>
        <w:t>排版说明：</w:t>
      </w:r>
      <w:r>
        <w:rPr>
          <w:rFonts w:ascii="Microsoft YaHei" w:hAnsi="Microsoft YaHei" w:eastAsia="Microsoft YaHei"/>
          <w:color w:val="000000"/>
        </w:rPr>
        <w:t>标题和项目副标题放在页面中央偏上并整体居中，学校、团队和日期放在中央偏下。页面不使用文字卡片，只配一张全屏淡化背景图，背景图使用真实的20路口SUMO仿真界面或雄安路网图，采用深蓝色半透明蒙版和青绿色道路高亮，整体风格克制、清晰且具有交通科技感。</w:t>
      </w:r>
    </w:p>
    <w:p>
      <w:pPr>
        <w:pStyle w:val="Heading2"/>
        <w:keepNext/>
      </w:pPr>
      <w:r>
        <w:rPr>
          <w:rFonts w:ascii="Microsoft YaHei" w:hAnsi="Microsoft YaHei" w:eastAsia="Microsoft YaHei"/>
          <w:color w:val="000000"/>
        </w:rPr>
        <w:t>第2页 雄安问题与赛题需求</w:t>
      </w:r>
    </w:p>
    <w:p>
      <w:pPr>
        <w:keepNext/>
      </w:pPr>
      <w:r>
        <w:rPr>
          <w:rFonts w:ascii="Microsoft YaHei" w:hAnsi="Microsoft YaHei" w:eastAsia="Microsoft YaHei"/>
          <w:b/>
          <w:color w:val="000000"/>
        </w:rPr>
        <w:t>页面目的：</w:t>
      </w:r>
      <w:r>
        <w:rPr>
          <w:rFonts w:ascii="Microsoft YaHei" w:hAnsi="Microsoft YaHei" w:eastAsia="Microsoft YaHei"/>
          <w:color w:val="000000"/>
        </w:rPr>
        <w:t>说明为什么雄安窄路密网需要区域级协同控制和轻量化AI。</w:t>
      </w:r>
    </w:p>
    <w:p>
      <w:pPr>
        <w:keepNext/>
      </w:pPr>
      <w:r>
        <w:rPr>
          <w:rFonts w:ascii="Microsoft YaHei" w:hAnsi="Microsoft YaHei" w:eastAsia="Microsoft YaHei"/>
          <w:b/>
          <w:color w:val="000000"/>
        </w:rPr>
        <w:t>内容建议：</w:t>
      </w:r>
      <w:r>
        <w:rPr>
          <w:rFonts w:ascii="Microsoft YaHei" w:hAnsi="Microsoft YaHei" w:eastAsia="Microsoft YaHei"/>
          <w:color w:val="000000"/>
        </w:rPr>
        <w:t>页面从路口间距小、交通流相互影响、局部拥堵容易传播以及传统单点定时控制难以实现区域协同四个方面概括问题，并对应赛题提出的高保真仿真、云边端轻量化决策和量化评估三项任务。路网密度等具体数字只有在找到可靠出处后才保留。</w:t>
      </w:r>
    </w:p>
    <w:p>
      <w:r>
        <w:rPr>
          <w:rFonts w:ascii="Microsoft YaHei" w:hAnsi="Microsoft YaHei" w:eastAsia="Microsoft YaHei"/>
          <w:b/>
          <w:color w:val="000000"/>
        </w:rPr>
        <w:t>排版说明：</w:t>
      </w:r>
      <w:r>
        <w:rPr>
          <w:rFonts w:ascii="Microsoft YaHei" w:hAnsi="Microsoft YaHei" w:eastAsia="Microsoft YaHei"/>
          <w:color w:val="000000"/>
        </w:rPr>
        <w:t>标题置于顶部居中，正文采用左右分栏。左侧放一张占页面约55%的雄安目标区域路网示意图，并用红色或橙色标出拥堵传播方向；右侧纵向排列三个文字卡片，分别说明场景特征、传统方法局限和赛题要求。配图采用真实地图轮廓与简洁交通标记，不使用城市宣传照。</w:t>
      </w:r>
    </w:p>
    <w:p>
      <w:pPr>
        <w:pStyle w:val="Heading2"/>
        <w:keepNext/>
      </w:pPr>
      <w:r>
        <w:rPr>
          <w:rFonts w:ascii="Microsoft YaHei" w:hAnsi="Microsoft YaHei" w:eastAsia="Microsoft YaHei"/>
          <w:color w:val="000000"/>
        </w:rPr>
        <w:t>第3页 项目方案与核心成果</w:t>
      </w:r>
    </w:p>
    <w:p>
      <w:pPr>
        <w:keepNext/>
      </w:pPr>
      <w:r>
        <w:rPr>
          <w:rFonts w:ascii="Microsoft YaHei" w:hAnsi="Microsoft YaHei" w:eastAsia="Microsoft YaHei"/>
          <w:b/>
          <w:color w:val="000000"/>
        </w:rPr>
        <w:t>页面目的：</w:t>
      </w:r>
      <w:r>
        <w:rPr>
          <w:rFonts w:ascii="Microsoft YaHei" w:hAnsi="Microsoft YaHei" w:eastAsia="Microsoft YaHei"/>
          <w:color w:val="000000"/>
        </w:rPr>
        <w:t>在答辩前段直接给出项目做了什么以及已经得到什么结果。</w:t>
      </w:r>
    </w:p>
    <w:p>
      <w:pPr>
        <w:keepNext/>
      </w:pPr>
      <w:r>
        <w:rPr>
          <w:rFonts w:ascii="Microsoft YaHei" w:hAnsi="Microsoft YaHei" w:eastAsia="Microsoft YaHei"/>
          <w:b/>
          <w:color w:val="000000"/>
        </w:rPr>
        <w:t>内容建议：</w:t>
      </w:r>
      <w:r>
        <w:rPr>
          <w:rFonts w:ascii="Microsoft YaHei" w:hAnsi="Microsoft YaHei" w:eastAsia="Microsoft YaHei"/>
          <w:color w:val="000000"/>
        </w:rPr>
        <w:t>页面用一句话概括项目闭环，即平台以SUMO为仿真底座，由STGCN识别交通趋势、MAPPO执行多路口控制、Cloud协调区域目标、Vehicle执行动态路径，并通过安全控制器和量化评估形成反馈。页面同时展示20路口仿真、ONNX FP32动作一致率100%和热点场景后期平均速度由2.4至2.6米每秒提高到3.6至4.1米每秒三项核心成果，并注明结果属于报告所述仿真条件。</w:t>
      </w:r>
    </w:p>
    <w:p>
      <w:r>
        <w:rPr>
          <w:rFonts w:ascii="Microsoft YaHei" w:hAnsi="Microsoft YaHei" w:eastAsia="Microsoft YaHei"/>
          <w:b/>
          <w:color w:val="000000"/>
        </w:rPr>
        <w:t>排版说明：</w:t>
      </w:r>
      <w:r>
        <w:rPr>
          <w:rFonts w:ascii="Microsoft YaHei" w:hAnsi="Microsoft YaHei" w:eastAsia="Microsoft YaHei"/>
          <w:color w:val="000000"/>
        </w:rPr>
        <w:t>标题置于顶部居中，正文上半部分居中放置一条简短的闭环结论，下半部分横向排列三个等宽数据卡片。每个卡片只放一个大号数字、一句解释和一个小图标。页面不配大幅照片，背景使用浅色底和细线道路纹理，让三个成果数字成为唯一视觉中心。</w:t>
      </w:r>
    </w:p>
    <w:p>
      <w:pPr>
        <w:pStyle w:val="Heading2"/>
        <w:keepNext/>
        <w:pageBreakBefore/>
      </w:pPr>
      <w:r>
        <w:rPr>
          <w:rFonts w:ascii="Microsoft YaHei" w:hAnsi="Microsoft YaHei" w:eastAsia="Microsoft YaHei"/>
          <w:color w:val="000000"/>
        </w:rPr>
        <w:t>第4页 车路云架构与控制闭环</w:t>
      </w:r>
    </w:p>
    <w:p>
      <w:pPr>
        <w:keepNext/>
      </w:pPr>
      <w:r>
        <w:rPr>
          <w:rFonts w:ascii="Microsoft YaHei" w:hAnsi="Microsoft YaHei" w:eastAsia="Microsoft YaHei"/>
          <w:b/>
          <w:color w:val="000000"/>
        </w:rPr>
        <w:t>页面目的：</w:t>
      </w:r>
      <w:r>
        <w:rPr>
          <w:rFonts w:ascii="Microsoft YaHei" w:hAnsi="Microsoft YaHei" w:eastAsia="Microsoft YaHei"/>
          <w:color w:val="000000"/>
        </w:rPr>
        <w:t>让评委在一页内理解系统分层、数据流和控制反馈。</w:t>
      </w:r>
    </w:p>
    <w:p>
      <w:pPr>
        <w:keepNext/>
      </w:pPr>
      <w:r>
        <w:rPr>
          <w:rFonts w:ascii="Microsoft YaHei" w:hAnsi="Microsoft YaHei" w:eastAsia="Microsoft YaHei"/>
          <w:b/>
          <w:color w:val="000000"/>
        </w:rPr>
        <w:t>内容建议：</w:t>
      </w:r>
      <w:r>
        <w:rPr>
          <w:rFonts w:ascii="Microsoft YaHei" w:hAnsi="Microsoft YaHei" w:eastAsia="Microsoft YaHei"/>
          <w:color w:val="000000"/>
        </w:rPr>
        <w:t>页面说明Cloud负责状态汇聚、STGCN预测、区域协调和报告，Edge负责MAPPO路口控制、安全校验与降级，Vehicle负责动态路径执行和状态反馈，SUMO负责路网、车辆、信号和事件仿真。数据通过REST API和WebSocket传递，并沿感知、预测、协调、执行、反馈的方向循环。</w:t>
      </w:r>
    </w:p>
    <w:p>
      <w:r>
        <w:rPr>
          <w:rFonts w:ascii="Microsoft YaHei" w:hAnsi="Microsoft YaHei" w:eastAsia="Microsoft YaHei"/>
          <w:b/>
          <w:color w:val="000000"/>
        </w:rPr>
        <w:t>排版说明：</w:t>
      </w:r>
      <w:r>
        <w:rPr>
          <w:rFonts w:ascii="Microsoft YaHei" w:hAnsi="Microsoft YaHei" w:eastAsia="Microsoft YaHei"/>
          <w:color w:val="000000"/>
        </w:rPr>
        <w:t>标题置于顶部居中，页面中央放置一张自上而下的四层架构图，四层依次为Cloud、Edge、Vehicle和SUMO，并用闭合箭头表现反馈。架构图占页面约70%，左右两侧各放一个小型文字卡片，左侧说明REST API和WebSocket，右侧说明安全校验和异常降级。配图采用扁平化工程架构风格，不使用三维云朵和车辆素材。</w:t>
      </w:r>
    </w:p>
    <w:p>
      <w:pPr>
        <w:pStyle w:val="Heading2"/>
        <w:keepNext/>
      </w:pPr>
      <w:r>
        <w:rPr>
          <w:rFonts w:ascii="Microsoft YaHei" w:hAnsi="Microsoft YaHei" w:eastAsia="Microsoft YaHei"/>
          <w:color w:val="000000"/>
        </w:rPr>
        <w:t>第5页 20路口仿真环境</w:t>
      </w:r>
    </w:p>
    <w:p>
      <w:pPr>
        <w:keepNext/>
      </w:pPr>
      <w:r>
        <w:rPr>
          <w:rFonts w:ascii="Microsoft YaHei" w:hAnsi="Microsoft YaHei" w:eastAsia="Microsoft YaHei"/>
          <w:b/>
          <w:color w:val="000000"/>
        </w:rPr>
        <w:t>页面目的：</w:t>
      </w:r>
      <w:r>
        <w:rPr>
          <w:rFonts w:ascii="Microsoft YaHei" w:hAnsi="Microsoft YaHei" w:eastAsia="Microsoft YaHei"/>
          <w:color w:val="000000"/>
        </w:rPr>
        <w:t>证明项目满足20路口规模要求，并讲清仿真环境的构建方法。</w:t>
      </w:r>
    </w:p>
    <w:p>
      <w:pPr>
        <w:keepNext/>
      </w:pPr>
      <w:r>
        <w:rPr>
          <w:rFonts w:ascii="Microsoft YaHei" w:hAnsi="Microsoft YaHei" w:eastAsia="Microsoft YaHei"/>
          <w:b/>
          <w:color w:val="000000"/>
        </w:rPr>
        <w:t>内容建议：</w:t>
      </w:r>
      <w:r>
        <w:rPr>
          <w:rFonts w:ascii="Microsoft YaHei" w:hAnsi="Microsoft YaHei" w:eastAsia="Microsoft YaHei"/>
          <w:color w:val="000000"/>
        </w:rPr>
        <w:t>页面呈现地图或规划资料进入路网转换与清洗、路口和车道配置、信号相位配置、交通需求生成、扰动事件注入和SUMO校验的完整过程。页面同时标注20个信号路口、80条有向边以及sparse、normal、peak、extreme和hotspot场景，并区分实际空间结构、校准数据和合成交通流。</w:t>
      </w:r>
    </w:p>
    <w:p>
      <w:r>
        <w:rPr>
          <w:rFonts w:ascii="Microsoft YaHei" w:hAnsi="Microsoft YaHei" w:eastAsia="Microsoft YaHei"/>
          <w:b/>
          <w:color w:val="000000"/>
        </w:rPr>
        <w:t>排版说明：</w:t>
      </w:r>
      <w:r>
        <w:rPr>
          <w:rFonts w:ascii="Microsoft YaHei" w:hAnsi="Microsoft YaHei" w:eastAsia="Microsoft YaHei"/>
          <w:color w:val="000000"/>
        </w:rPr>
        <w:t>标题置于顶部居中，正文采用左右分栏。左侧放一张占页面约60%的20路口真实仿真截图，并清楚标出节点和热点区域；右侧纵向排列四个紧凑文字卡片，分别说明数据来源、构建过程、场景规模和扰动类型。页面底部用一条短句注明真实与合成数据边界，配图保持SUMO原始结构和统一的深蓝青绿标注风格。</w:t>
      </w:r>
    </w:p>
    <w:p>
      <w:pPr>
        <w:pStyle w:val="Heading2"/>
        <w:keepNext/>
      </w:pPr>
      <w:r>
        <w:rPr>
          <w:rFonts w:ascii="Microsoft YaHei" w:hAnsi="Microsoft YaHei" w:eastAsia="Microsoft YaHei"/>
          <w:color w:val="000000"/>
        </w:rPr>
        <w:t>第6页 STGCN预测与MAPPO控制</w:t>
      </w:r>
    </w:p>
    <w:p>
      <w:pPr>
        <w:keepNext/>
      </w:pPr>
      <w:r>
        <w:rPr>
          <w:rFonts w:ascii="Microsoft YaHei" w:hAnsi="Microsoft YaHei" w:eastAsia="Microsoft YaHei"/>
          <w:b/>
          <w:color w:val="000000"/>
        </w:rPr>
        <w:t>页面目的：</w:t>
      </w:r>
      <w:r>
        <w:rPr>
          <w:rFonts w:ascii="Microsoft YaHei" w:hAnsi="Microsoft YaHei" w:eastAsia="Microsoft YaHei"/>
          <w:color w:val="000000"/>
        </w:rPr>
        <w:t>解释两个AI模型各自解决什么问题以及如何协同。</w:t>
      </w:r>
    </w:p>
    <w:p>
      <w:pPr>
        <w:keepNext/>
      </w:pPr>
      <w:r>
        <w:rPr>
          <w:rFonts w:ascii="Microsoft YaHei" w:hAnsi="Microsoft YaHei" w:eastAsia="Microsoft YaHei"/>
          <w:b/>
          <w:color w:val="000000"/>
        </w:rPr>
        <w:t>内容建议：</w:t>
      </w:r>
      <w:r>
        <w:rPr>
          <w:rFonts w:ascii="Microsoft YaHei" w:hAnsi="Microsoft YaHei" w:eastAsia="Microsoft YaHei"/>
          <w:color w:val="000000"/>
        </w:rPr>
        <w:t>页面说明STGCN接收路段或路口历史流量、速度、占有率和邻接关系，用于识别未来交通趋势；MAPPO以路口智能体为执行单元，根据最终模型接口读取观测并输出KEEP或ADVANCE动作。当前实验报告口径为31维观测输入和2个动作logits输出，若18维属于旧模型应只在历史说明中出现。STGCN是否真正进入控制链路应由运行日志或消融结果证明。</w:t>
      </w:r>
    </w:p>
    <w:p>
      <w:r>
        <w:rPr>
          <w:rFonts w:ascii="Microsoft YaHei" w:hAnsi="Microsoft YaHei" w:eastAsia="Microsoft YaHei"/>
          <w:b/>
          <w:color w:val="000000"/>
        </w:rPr>
        <w:t>排版说明：</w:t>
      </w:r>
      <w:r>
        <w:rPr>
          <w:rFonts w:ascii="Microsoft YaHei" w:hAnsi="Microsoft YaHei" w:eastAsia="Microsoft YaHei"/>
          <w:color w:val="000000"/>
        </w:rPr>
        <w:t>标题置于顶部居中，正文采用左右对称分栏。左侧放一个STGCN预测卡片，并配一张小型历史曲线到预测曲线示意图；右侧放一个MAPPO控制卡片，并配一张状态到动作到信号灯的流程示意图。两侧中间使用一条由预测趋势指向区域目标再指向路口动作的连接箭头，页面总共使用两个主卡片，不再罗列其他算法。</w:t>
      </w:r>
    </w:p>
    <w:p>
      <w:pPr>
        <w:pStyle w:val="Heading2"/>
        <w:keepNext/>
        <w:pageBreakBefore/>
      </w:pPr>
      <w:r>
        <w:rPr>
          <w:rFonts w:ascii="Microsoft YaHei" w:hAnsi="Microsoft YaHei" w:eastAsia="Microsoft YaHei"/>
          <w:color w:val="000000"/>
        </w:rPr>
        <w:t>第7页 数据处理训练与模型选择</w:t>
      </w:r>
    </w:p>
    <w:p>
      <w:pPr>
        <w:keepNext/>
      </w:pPr>
      <w:r>
        <w:rPr>
          <w:rFonts w:ascii="Microsoft YaHei" w:hAnsi="Microsoft YaHei" w:eastAsia="Microsoft YaHei"/>
          <w:b/>
          <w:color w:val="000000"/>
        </w:rPr>
        <w:t>页面目的：</w:t>
      </w:r>
      <w:r>
        <w:rPr>
          <w:rFonts w:ascii="Microsoft YaHei" w:hAnsi="Microsoft YaHei" w:eastAsia="Microsoft YaHei"/>
          <w:color w:val="000000"/>
        </w:rPr>
        <w:t>证明赛道C要求的数据处理和模型训练或选择过程真实完整。</w:t>
      </w:r>
    </w:p>
    <w:p>
      <w:pPr>
        <w:keepNext/>
      </w:pPr>
      <w:r>
        <w:rPr>
          <w:rFonts w:ascii="Microsoft YaHei" w:hAnsi="Microsoft YaHei" w:eastAsia="Microsoft YaHei"/>
          <w:b/>
          <w:color w:val="000000"/>
        </w:rPr>
        <w:t>内容建议：</w:t>
      </w:r>
      <w:r>
        <w:rPr>
          <w:rFonts w:ascii="Microsoft YaHei" w:hAnsi="Microsoft YaHei" w:eastAsia="Microsoft YaHei"/>
          <w:color w:val="000000"/>
        </w:rPr>
        <w:t>页面展示数据来源、特征和标签定义、训练集验证集测试集划分、预处理方法、随机种子、主要超参数、训练曲线、最终权重以及选择MAPPO和STGCN的理由。若某项证据尚未形成，应在正式答辩前补齐，不使用概念性文字替代训练结果。</w:t>
      </w:r>
    </w:p>
    <w:p>
      <w:r>
        <w:rPr>
          <w:rFonts w:ascii="Microsoft YaHei" w:hAnsi="Microsoft YaHei" w:eastAsia="Microsoft YaHei"/>
          <w:b/>
          <w:color w:val="000000"/>
        </w:rPr>
        <w:t>排版说明：</w:t>
      </w:r>
      <w:r>
        <w:rPr>
          <w:rFonts w:ascii="Microsoft YaHei" w:hAnsi="Microsoft YaHei" w:eastAsia="Microsoft YaHei"/>
          <w:color w:val="000000"/>
        </w:rPr>
        <w:t>标题置于顶部居中，页面中央横向排列四个阶段卡片，依次呈现数据准备、模型训练、验证选择和最终权重，每个卡片下方只写一项关键证据。页面底部放一张横跨全宽的真实训练曲线或验证指标图，曲线图使用统一坐标和清晰图例。页面不配装饰图片，流程和曲线共同构成视觉中心。</w:t>
      </w:r>
    </w:p>
    <w:p>
      <w:pPr>
        <w:pStyle w:val="Heading2"/>
        <w:keepNext/>
      </w:pPr>
      <w:r>
        <w:rPr>
          <w:rFonts w:ascii="Microsoft YaHei" w:hAnsi="Microsoft YaHei" w:eastAsia="Microsoft YaHei"/>
          <w:color w:val="000000"/>
        </w:rPr>
        <w:t>第8页 模型转换与CPU部署</w:t>
      </w:r>
    </w:p>
    <w:p>
      <w:pPr>
        <w:keepNext/>
      </w:pPr>
      <w:r>
        <w:rPr>
          <w:rFonts w:ascii="Microsoft YaHei" w:hAnsi="Microsoft YaHei" w:eastAsia="Microsoft YaHei"/>
          <w:b/>
          <w:color w:val="000000"/>
        </w:rPr>
        <w:t>页面目的：</w:t>
      </w:r>
      <w:r>
        <w:rPr>
          <w:rFonts w:ascii="Microsoft YaHei" w:hAnsi="Microsoft YaHei" w:eastAsia="Microsoft YaHei"/>
          <w:color w:val="000000"/>
        </w:rPr>
        <w:t>用量化证据证明模型具备轻量化部署形态，并准确说明当前运行边界。</w:t>
      </w:r>
    </w:p>
    <w:p>
      <w:pPr>
        <w:keepNext/>
      </w:pPr>
      <w:r>
        <w:rPr>
          <w:rFonts w:ascii="Microsoft YaHei" w:hAnsi="Microsoft YaHei" w:eastAsia="Microsoft YaHei"/>
          <w:b/>
          <w:color w:val="000000"/>
        </w:rPr>
        <w:t>内容建议：</w:t>
      </w:r>
      <w:r>
        <w:rPr>
          <w:rFonts w:ascii="Microsoft YaHei" w:hAnsi="Microsoft YaHei" w:eastAsia="Microsoft YaHei"/>
          <w:color w:val="000000"/>
        </w:rPr>
        <w:t>页面呈现PyTorch FP32 Actor为84.7 KB，ONNX FP32为82.5 KB且单次决策约0.0074 ms、动作一致率100%，ONNX INT8为24.9 KB且批量64推理约0.028 ms、动作一致率约99.4%。页面明确指出平台当前默认加载PyTorch权重，ONNX FP32和INT8是完成转换、一致性和CPU推理验证的可替换部署形态；FP32单次延迟与INT8批量延迟不作为同条件速度比较。</w:t>
      </w:r>
    </w:p>
    <w:p>
      <w:r>
        <w:rPr>
          <w:rFonts w:ascii="Microsoft YaHei" w:hAnsi="Microsoft YaHei" w:eastAsia="Microsoft YaHei"/>
          <w:b/>
          <w:color w:val="000000"/>
        </w:rPr>
        <w:t>排版说明：</w:t>
      </w:r>
      <w:r>
        <w:rPr>
          <w:rFonts w:ascii="Microsoft YaHei" w:hAnsi="Microsoft YaHei" w:eastAsia="Microsoft YaHei"/>
          <w:color w:val="000000"/>
        </w:rPr>
        <w:t>标题置于顶部居中，页面采用左图右文布局。左侧放一张从PyTorch到ONNX FP32再到ONNX INT8的横向转换流程图，并在每个节点标注文件体积；右侧纵向排列三个数据卡片，分别突出延迟、一致率和压缩比例。页面底部放一行部署边界说明，配图采用工程流程图和真实模型文件截图的组合，不使用芯片宣传图片。</w:t>
      </w:r>
    </w:p>
    <w:p>
      <w:pPr>
        <w:pStyle w:val="Heading2"/>
        <w:keepNext/>
      </w:pPr>
      <w:r>
        <w:rPr>
          <w:rFonts w:ascii="Microsoft YaHei" w:hAnsi="Microsoft YaHei" w:eastAsia="Microsoft YaHei"/>
          <w:color w:val="000000"/>
        </w:rPr>
        <w:t>第9页 安全控制与异常降级</w:t>
      </w:r>
    </w:p>
    <w:p>
      <w:pPr>
        <w:keepNext/>
      </w:pPr>
      <w:r>
        <w:rPr>
          <w:rFonts w:ascii="Microsoft YaHei" w:hAnsi="Microsoft YaHei" w:eastAsia="Microsoft YaHei"/>
          <w:b/>
          <w:color w:val="000000"/>
        </w:rPr>
        <w:t>页面目的：</w:t>
      </w:r>
      <w:r>
        <w:rPr>
          <w:rFonts w:ascii="Microsoft YaHei" w:hAnsi="Microsoft YaHei" w:eastAsia="Microsoft YaHei"/>
          <w:color w:val="000000"/>
        </w:rPr>
        <w:t>证明AI异常时交通控制仍然安全并可持续运行。</w:t>
      </w:r>
    </w:p>
    <w:p>
      <w:pPr>
        <w:keepNext/>
      </w:pPr>
      <w:r>
        <w:rPr>
          <w:rFonts w:ascii="Microsoft YaHei" w:hAnsi="Microsoft YaHei" w:eastAsia="Microsoft YaHei"/>
          <w:b/>
          <w:color w:val="000000"/>
        </w:rPr>
        <w:t>内容建议：</w:t>
      </w:r>
      <w:r>
        <w:rPr>
          <w:rFonts w:ascii="Microsoft YaHei" w:hAnsi="Microsoft YaHei" w:eastAsia="Microsoft YaHei"/>
          <w:color w:val="000000"/>
        </w:rPr>
        <w:t>页面说明MAPPO动作必须经过最小绿、最大绿、黄灯、全红和非法动作校验，并展示权重缺失、推理超时、非法动作或通信异常时由MAPPO降级至SCOOT再降级至Fixed-Time的过程。主讲内容应使用真实故障注入日志或界面状态作为证据，不把尚未触发的安全网实验包装成安全增益。</w:t>
      </w:r>
    </w:p>
    <w:p>
      <w:r>
        <w:rPr>
          <w:rFonts w:ascii="Microsoft YaHei" w:hAnsi="Microsoft YaHei" w:eastAsia="Microsoft YaHei"/>
          <w:b/>
          <w:color w:val="000000"/>
        </w:rPr>
        <w:t>排版说明：</w:t>
      </w:r>
      <w:r>
        <w:rPr>
          <w:rFonts w:ascii="Microsoft YaHei" w:hAnsi="Microsoft YaHei" w:eastAsia="Microsoft YaHei"/>
          <w:color w:val="000000"/>
        </w:rPr>
        <w:t>标题置于顶部居中，页面中央放一条从正常AI控制到一级降级再到二级兜底的横向状态链，三个状态使用绿色、橙色和灰蓝色区分。页面下半部分左右分栏，左侧放两张真实日志截图，右侧放一个文字卡片概括触发条件和系统结果。整页只保留一条降级主线，不使用复杂安全图标堆叠。</w:t>
      </w:r>
    </w:p>
    <w:p>
      <w:pPr>
        <w:pStyle w:val="Heading2"/>
        <w:keepNext/>
        <w:pageBreakBefore/>
      </w:pPr>
      <w:r>
        <w:rPr>
          <w:rFonts w:ascii="Microsoft YaHei" w:hAnsi="Microsoft YaHei" w:eastAsia="Microsoft YaHei"/>
          <w:color w:val="000000"/>
        </w:rPr>
        <w:t>第10页 系统实现与现场运行</w:t>
      </w:r>
    </w:p>
    <w:p>
      <w:pPr>
        <w:keepNext/>
      </w:pPr>
      <w:r>
        <w:rPr>
          <w:rFonts w:ascii="Microsoft YaHei" w:hAnsi="Microsoft YaHei" w:eastAsia="Microsoft YaHei"/>
          <w:b/>
          <w:color w:val="000000"/>
        </w:rPr>
        <w:t>页面目的：</w:t>
      </w:r>
      <w:r>
        <w:rPr>
          <w:rFonts w:ascii="Microsoft YaHei" w:hAnsi="Microsoft YaHei" w:eastAsia="Microsoft YaHei"/>
          <w:color w:val="000000"/>
        </w:rPr>
        <w:t>证明项目不是算法演示脚本，而是可以启动、操作和复现的完整平台。</w:t>
      </w:r>
    </w:p>
    <w:p>
      <w:pPr>
        <w:keepNext/>
      </w:pPr>
      <w:r>
        <w:rPr>
          <w:rFonts w:ascii="Microsoft YaHei" w:hAnsi="Microsoft YaHei" w:eastAsia="Microsoft YaHei"/>
          <w:b/>
          <w:color w:val="000000"/>
        </w:rPr>
        <w:t>内容建议：</w:t>
      </w:r>
      <w:r>
        <w:rPr>
          <w:rFonts w:ascii="Microsoft YaHei" w:hAnsi="Microsoft YaHei" w:eastAsia="Microsoft YaHei"/>
          <w:color w:val="000000"/>
        </w:rPr>
        <w:t>页面展示Vue3、Canvas和ECharts前端，FastAPI、WebSocket和TraCI后端，SUMO仿真、算法插件接口、Docker Compose、Windows一键启动、实时指标展示和报告导出能力。页面应补充连续运行、启动耗时、接口调用或资源释放等已验证证据。</w:t>
      </w:r>
    </w:p>
    <w:p>
      <w:r>
        <w:rPr>
          <w:rFonts w:ascii="Microsoft YaHei" w:hAnsi="Microsoft YaHei" w:eastAsia="Microsoft YaHei"/>
          <w:b/>
          <w:color w:val="000000"/>
        </w:rPr>
        <w:t>排版说明：</w:t>
      </w:r>
      <w:r>
        <w:rPr>
          <w:rFonts w:ascii="Microsoft YaHei" w:hAnsi="Microsoft YaHei" w:eastAsia="Microsoft YaHei"/>
          <w:color w:val="000000"/>
        </w:rPr>
        <w:t>标题置于顶部居中，页面左侧放一张占页面约65%的系统主界面截图，并用三个细线标注指向路网画布、实时指标和智能体区域。右侧纵向排列三个文字卡片，分别说明前后端技术、部署启动和评估导出。页面不再放独立架构图，真实运行界面是唯一主视觉。</w:t>
      </w:r>
    </w:p>
    <w:p>
      <w:pPr>
        <w:pStyle w:val="Heading2"/>
        <w:keepNext/>
      </w:pPr>
      <w:r>
        <w:rPr>
          <w:rFonts w:ascii="Microsoft YaHei" w:hAnsi="Microsoft YaHei" w:eastAsia="Microsoft YaHei"/>
          <w:color w:val="000000"/>
        </w:rPr>
        <w:t>第11页 实验设计与复现条件</w:t>
      </w:r>
    </w:p>
    <w:p>
      <w:pPr>
        <w:keepNext/>
      </w:pPr>
      <w:r>
        <w:rPr>
          <w:rFonts w:ascii="Microsoft YaHei" w:hAnsi="Microsoft YaHei" w:eastAsia="Microsoft YaHei"/>
          <w:b/>
          <w:color w:val="000000"/>
        </w:rPr>
        <w:t>页面目的：</w:t>
      </w:r>
      <w:r>
        <w:rPr>
          <w:rFonts w:ascii="Microsoft YaHei" w:hAnsi="Microsoft YaHei" w:eastAsia="Microsoft YaHei"/>
          <w:color w:val="000000"/>
        </w:rPr>
        <w:t>说明实验对照公平、结果可以复算并能定位到具体版本。</w:t>
      </w:r>
    </w:p>
    <w:p>
      <w:pPr>
        <w:keepNext/>
      </w:pPr>
      <w:r>
        <w:rPr>
          <w:rFonts w:ascii="Microsoft YaHei" w:hAnsi="Microsoft YaHei" w:eastAsia="Microsoft YaHei"/>
          <w:b/>
          <w:color w:val="000000"/>
        </w:rPr>
        <w:t>内容建议：</w:t>
      </w:r>
      <w:r>
        <w:rPr>
          <w:rFonts w:ascii="Microsoft YaHei" w:hAnsi="Microsoft YaHei" w:eastAsia="Microsoft YaHei"/>
          <w:color w:val="000000"/>
        </w:rPr>
        <w:t>页面给出同一路网、同一车流文件、同一事件配置和固定随机种子的对照原则，并注明代码commit、模型版本、SUMO与Python版本、90秒预热、控制周期、仿真时长、采样窗口和原始数据位置。评价指标应优先使用到达数、完成数、完成率、单位时间通过量、平均旅行时间、平均等待、P95等待、排队长度和平均速度。</w:t>
      </w:r>
    </w:p>
    <w:p>
      <w:r>
        <w:rPr>
          <w:rFonts w:ascii="Microsoft YaHei" w:hAnsi="Microsoft YaHei" w:eastAsia="Microsoft YaHei"/>
          <w:b/>
          <w:color w:val="000000"/>
        </w:rPr>
        <w:t>排版说明：</w:t>
      </w:r>
      <w:r>
        <w:rPr>
          <w:rFonts w:ascii="Microsoft YaHei" w:hAnsi="Microsoft YaHei" w:eastAsia="Microsoft YaHei"/>
          <w:color w:val="000000"/>
        </w:rPr>
        <w:t>标题置于顶部居中，正文采用上下结构。上半部分横向排列四个条件卡片，分别呈现路网、车流、随机种子和版本；下半部分放一条实验时间轴，清楚标出预热、控制接管、采样和结束位置。页面右下角放一个小型配置文件截图作为证据，不配实验室或电脑照片。</w:t>
      </w:r>
    </w:p>
    <w:p>
      <w:pPr>
        <w:pStyle w:val="Heading2"/>
        <w:keepNext/>
      </w:pPr>
      <w:r>
        <w:rPr>
          <w:rFonts w:ascii="Microsoft YaHei" w:hAnsi="Microsoft YaHei" w:eastAsia="Microsoft YaHei"/>
          <w:color w:val="000000"/>
        </w:rPr>
        <w:t>第12页 标准车流横向对比</w:t>
      </w:r>
    </w:p>
    <w:p>
      <w:pPr>
        <w:keepNext/>
      </w:pPr>
      <w:r>
        <w:rPr>
          <w:rFonts w:ascii="Microsoft YaHei" w:hAnsi="Microsoft YaHei" w:eastAsia="Microsoft YaHei"/>
          <w:b/>
          <w:color w:val="000000"/>
        </w:rPr>
        <w:t>页面目的：</w:t>
      </w:r>
      <w:r>
        <w:rPr>
          <w:rFonts w:ascii="Microsoft YaHei" w:hAnsi="Microsoft YaHei" w:eastAsia="Microsoft YaHei"/>
          <w:color w:val="000000"/>
        </w:rPr>
        <w:t>比较Fixed-Time、SCOOT和MAPPO在相同条件下的多指标表现。</w:t>
      </w:r>
    </w:p>
    <w:p>
      <w:pPr>
        <w:keepNext/>
      </w:pPr>
      <w:r>
        <w:rPr>
          <w:rFonts w:ascii="Microsoft YaHei" w:hAnsi="Microsoft YaHei" w:eastAsia="Microsoft YaHei"/>
          <w:b/>
          <w:color w:val="000000"/>
        </w:rPr>
        <w:t>内容建议：</w:t>
      </w:r>
      <w:r>
        <w:rPr>
          <w:rFonts w:ascii="Microsoft YaHei" w:hAnsi="Microsoft YaHei" w:eastAsia="Microsoft YaHei"/>
          <w:color w:val="000000"/>
        </w:rPr>
        <w:t>页面展示三种方法的平均速度、平均等待以及已经核验的完成量或到达量，并解释MAPPO相对SCOOT在等待和速度上的折中。若当前只有在网车辆数据，不把它直接称为吞吐量；在补齐完成车辆数或完成率之前，页面结论应限制为不同控制目标之间存在权衡。</w:t>
      </w:r>
    </w:p>
    <w:p>
      <w:r>
        <w:rPr>
          <w:rFonts w:ascii="Microsoft YaHei" w:hAnsi="Microsoft YaHei" w:eastAsia="Microsoft YaHei"/>
          <w:b/>
          <w:color w:val="000000"/>
        </w:rPr>
        <w:t>排版说明：</w:t>
      </w:r>
      <w:r>
        <w:rPr>
          <w:rFonts w:ascii="Microsoft YaHei" w:hAnsi="Microsoft YaHei" w:eastAsia="Microsoft YaHei"/>
          <w:color w:val="000000"/>
        </w:rPr>
        <w:t>标题置于顶部居中，页面左侧放一张占页面约65%的分组柱状图或点图，用同一颜色体系比较三种方法的速度和等待；右侧纵向排列两个结论卡片，一个写主要发现，一个写指标口径说明。图表只保留必要指标和数据标签，不把量纲不同的指标强行放在同一坐标轴上。</w:t>
      </w:r>
    </w:p>
    <w:p>
      <w:pPr>
        <w:pStyle w:val="Heading2"/>
        <w:keepNext/>
        <w:pageBreakBefore/>
      </w:pPr>
      <w:r>
        <w:rPr>
          <w:rFonts w:ascii="Microsoft YaHei" w:hAnsi="Microsoft YaHei" w:eastAsia="Microsoft YaHei"/>
          <w:color w:val="000000"/>
        </w:rPr>
        <w:t>第13页 热点场景与算法边界</w:t>
      </w:r>
    </w:p>
    <w:p>
      <w:pPr>
        <w:keepNext/>
      </w:pPr>
      <w:r>
        <w:rPr>
          <w:rFonts w:ascii="Microsoft YaHei" w:hAnsi="Microsoft YaHei" w:eastAsia="Microsoft YaHei"/>
          <w:b/>
          <w:color w:val="000000"/>
        </w:rPr>
        <w:t>页面目的：</w:t>
      </w:r>
      <w:r>
        <w:rPr>
          <w:rFonts w:ascii="Microsoft YaHei" w:hAnsi="Microsoft YaHei" w:eastAsia="Microsoft YaHei"/>
          <w:color w:val="000000"/>
        </w:rPr>
        <w:t>展示算法在什么条件下有效，并主动说明低负荷和超饱和边界。</w:t>
      </w:r>
    </w:p>
    <w:p>
      <w:pPr>
        <w:keepNext/>
      </w:pPr>
      <w:r>
        <w:rPr>
          <w:rFonts w:ascii="Microsoft YaHei" w:hAnsi="Microsoft YaHei" w:eastAsia="Microsoft YaHei"/>
          <w:b/>
          <w:color w:val="000000"/>
        </w:rPr>
        <w:t>内容建议：</w:t>
      </w:r>
      <w:r>
        <w:rPr>
          <w:rFonts w:ascii="Microsoft YaHei" w:hAnsi="Microsoft YaHei" w:eastAsia="Microsoft YaHei"/>
          <w:color w:val="000000"/>
        </w:rPr>
        <w:t>页面说明低负荷下不同方案差异较小，约300至400辆的临界负荷区更容易出现可区分增益，超过网络容量后吞吐受物理条件限制。在约314辆投放实验中，到达车辆数由8辆提高到13辆，提升62.5%；在热点场景的360至480秒统计窗口内，后期平均速度由2.4至2.6米每秒提高到3.6至4.1米每秒。以上结论只适用于对应仿真场景和统计口径。</w:t>
      </w:r>
    </w:p>
    <w:p>
      <w:r>
        <w:rPr>
          <w:rFonts w:ascii="Microsoft YaHei" w:hAnsi="Microsoft YaHei" w:eastAsia="Microsoft YaHei"/>
          <w:b/>
          <w:color w:val="000000"/>
        </w:rPr>
        <w:t>排版说明：</w:t>
      </w:r>
      <w:r>
        <w:rPr>
          <w:rFonts w:ascii="Microsoft YaHei" w:hAnsi="Microsoft YaHei" w:eastAsia="Microsoft YaHei"/>
          <w:color w:val="000000"/>
        </w:rPr>
        <w:t>标题置于顶部居中，页面采用左右分栏。左侧放一张负荷与算法增益关系的折线图，并用浅色区域标出低负荷、临界负荷和超饱和三个区间；右侧上下排列两张视觉卡片，上方放热点前后热力图，下方放62.5%和3.6至4.1米每秒两个高亮数据。页面底部用一行小字说明仿真适用边界。</w:t>
      </w:r>
    </w:p>
    <w:p>
      <w:pPr>
        <w:pStyle w:val="Heading2"/>
        <w:keepNext/>
      </w:pPr>
      <w:r>
        <w:rPr>
          <w:rFonts w:ascii="Microsoft YaHei" w:hAnsi="Microsoft YaHei" w:eastAsia="Microsoft YaHei"/>
          <w:color w:val="000000"/>
        </w:rPr>
        <w:t>第14页 创新标准化与推广价值</w:t>
      </w:r>
    </w:p>
    <w:p>
      <w:pPr>
        <w:keepNext/>
      </w:pPr>
      <w:r>
        <w:rPr>
          <w:rFonts w:ascii="Microsoft YaHei" w:hAnsi="Microsoft YaHei" w:eastAsia="Microsoft YaHei"/>
          <w:b/>
          <w:color w:val="000000"/>
        </w:rPr>
        <w:t>页面目的：</w:t>
      </w:r>
      <w:r>
        <w:rPr>
          <w:rFonts w:ascii="Microsoft YaHei" w:hAnsi="Microsoft YaHei" w:eastAsia="Microsoft YaHei"/>
          <w:color w:val="000000"/>
        </w:rPr>
        <w:t>将项目贡献凝练为评委能够记住并能找到证据的三项创新。</w:t>
      </w:r>
    </w:p>
    <w:p>
      <w:pPr>
        <w:keepNext/>
      </w:pPr>
      <w:r>
        <w:rPr>
          <w:rFonts w:ascii="Microsoft YaHei" w:hAnsi="Microsoft YaHei" w:eastAsia="Microsoft YaHei"/>
          <w:b/>
          <w:color w:val="000000"/>
        </w:rPr>
        <w:t>内容建议：</w:t>
      </w:r>
      <w:r>
        <w:rPr>
          <w:rFonts w:ascii="Microsoft YaHei" w:hAnsi="Microsoft YaHei" w:eastAsia="Microsoft YaHei"/>
          <w:color w:val="000000"/>
        </w:rPr>
        <w:t>页面将创新归纳为预测、区域协调、路口控制和车辆路径贯通的车路云闭环，传统控制与AI统一接入并具备安全降级，以及模型转换、CPU推理和可复现基准测试组成的工程链路。推广价值应定位为城市交通AI模型的验证靶场和协同管控测试规程参考，不直接宣称已经投入真实道路生产运行。</w:t>
      </w:r>
    </w:p>
    <w:p>
      <w:r>
        <w:rPr>
          <w:rFonts w:ascii="Microsoft YaHei" w:hAnsi="Microsoft YaHei" w:eastAsia="Microsoft YaHei"/>
          <w:b/>
          <w:color w:val="000000"/>
        </w:rPr>
        <w:t>排版说明：</w:t>
      </w:r>
      <w:r>
        <w:rPr>
          <w:rFonts w:ascii="Microsoft YaHei" w:hAnsi="Microsoft YaHei" w:eastAsia="Microsoft YaHei"/>
          <w:color w:val="000000"/>
        </w:rPr>
        <w:t>标题置于顶部居中，页面中央横向排列三个等宽创新卡片，每个卡片包含一个短标题、一句贡献和一项对应证据。页面底部居中放一条从仿真验证平台指向算法接入和标准测试的推广路径。页面可以配简洁线性图标，但不使用奖杯、火箭或握手等泛化商务图片。</w:t>
      </w:r>
    </w:p>
    <w:p>
      <w:pPr>
        <w:pStyle w:val="Heading2"/>
        <w:keepNext/>
      </w:pPr>
      <w:r>
        <w:rPr>
          <w:rFonts w:ascii="Microsoft YaHei" w:hAnsi="Microsoft YaHei" w:eastAsia="Microsoft YaHei"/>
          <w:color w:val="000000"/>
        </w:rPr>
        <w:t>第15页 总结与团队分工</w:t>
      </w:r>
    </w:p>
    <w:p>
      <w:pPr>
        <w:keepNext/>
      </w:pPr>
      <w:r>
        <w:rPr>
          <w:rFonts w:ascii="Microsoft YaHei" w:hAnsi="Microsoft YaHei" w:eastAsia="Microsoft YaHei"/>
          <w:b/>
          <w:color w:val="000000"/>
        </w:rPr>
        <w:t>页面目的：</w:t>
      </w:r>
      <w:r>
        <w:rPr>
          <w:rFonts w:ascii="Microsoft YaHei" w:hAnsi="Microsoft YaHei" w:eastAsia="Microsoft YaHei"/>
          <w:color w:val="000000"/>
        </w:rPr>
        <w:t>重申项目完成度和核心结果，并让评委清楚成员责任。</w:t>
      </w:r>
    </w:p>
    <w:p>
      <w:pPr>
        <w:keepNext/>
      </w:pPr>
      <w:r>
        <w:rPr>
          <w:rFonts w:ascii="Microsoft YaHei" w:hAnsi="Microsoft YaHei" w:eastAsia="Microsoft YaHei"/>
          <w:b/>
          <w:color w:val="000000"/>
        </w:rPr>
        <w:t>内容建议：</w:t>
      </w:r>
      <w:r>
        <w:rPr>
          <w:rFonts w:ascii="Microsoft YaHei" w:hAnsi="Microsoft YaHei" w:eastAsia="Microsoft YaHei"/>
          <w:color w:val="000000"/>
        </w:rPr>
        <w:t>页面总结项目已经形成20路口仿真、STGCN与MAPPO协同、模型轻量化验证、实验评估和安全降级链路，并再次强调关键结果只在报告所述仿真条件下成立。团队分工按场景与仿真、算法与模型、平台与接口、实验与材料四类责任呈现，成员姓名和真实贡献在制作时补齐。</w:t>
      </w:r>
    </w:p>
    <w:p>
      <w:r>
        <w:rPr>
          <w:rFonts w:ascii="Microsoft YaHei" w:hAnsi="Microsoft YaHei" w:eastAsia="Microsoft YaHei"/>
          <w:b/>
          <w:color w:val="000000"/>
        </w:rPr>
        <w:t>排版说明：</w:t>
      </w:r>
      <w:r>
        <w:rPr>
          <w:rFonts w:ascii="Microsoft YaHei" w:hAnsi="Microsoft YaHei" w:eastAsia="Microsoft YaHei"/>
          <w:color w:val="000000"/>
        </w:rPr>
        <w:t>标题置于顶部居中，页面上半部分居中放一张项目闭环总图，并在图下放一句最终结论。页面下半部分横向排列四个团队分工卡片，每个卡片只放责任领域、成员姓名和一个交付物。右下角可以放演示视频或代码仓库入口，但正式提交前再决定是否使用二维码，整页保持简洁并留出结束停顿空间。</w:t>
      </w:r>
    </w:p>
    <w:p>
      <w:pPr>
        <w:pStyle w:val="Heading1"/>
        <w:pageBreakBefore/>
      </w:pPr>
      <w:r>
        <w:rPr>
          <w:rFonts w:ascii="Microsoft YaHei" w:hAnsi="Microsoft YaHei" w:eastAsia="Microsoft YaHei"/>
          <w:color w:val="000000"/>
        </w:rPr>
        <w:t>三 备份页建议</w:t>
      </w:r>
    </w:p>
    <w:p>
      <w:r>
        <w:rPr>
          <w:rFonts w:ascii="Microsoft YaHei" w:hAnsi="Microsoft YaHei" w:eastAsia="Microsoft YaHei"/>
          <w:color w:val="000000"/>
        </w:rPr>
        <w:t>备份页不进入15页主讲计数。建议准备MAPPO观测字段与奖励函数、STGCN输入输出与评价指标、训练参数与训练曲线、ONNX转换误差与推理环境、REST API和WebSocket接口、安全降级故障日志、完整实验参数与原始数据、四个Webster典型路口结果以及跨拓扑泛化验证。备份页仍然遵循一页一个问题和一个主要视觉中心的排版原则。</w:t>
      </w:r>
    </w:p>
    <w:p>
      <w:pPr>
        <w:pStyle w:val="Heading1"/>
      </w:pPr>
      <w:r>
        <w:rPr>
          <w:rFonts w:ascii="Microsoft YaHei" w:hAnsi="Microsoft YaHei" w:eastAsia="Microsoft YaHei"/>
          <w:color w:val="000000"/>
        </w:rPr>
        <w:t>四 制作前必须核验</w:t>
      </w:r>
    </w:p>
    <w:p>
      <w:r>
        <w:rPr>
          <w:rFonts w:ascii="Microsoft YaHei" w:hAnsi="Microsoft YaHei" w:eastAsia="Microsoft YaHei"/>
          <w:color w:val="000000"/>
        </w:rPr>
        <w:t>正式制作PPT前应先统一MAPPO最终观测维度和权重版本，确认31维与18维分别对应的模型状态；补齐完成车辆数、到达车辆数、完成率或单位时间通过量，避免把在网车辆直接解释为吞吐；核实路网密度等外部数字的可靠来源；确认STGCN预测真正进入控制链路的日志或消融证据；统一PyTorch默认运行与ONNX轻量化部署形态的表述；并为62.5%和50%以上等百分比标注场景、负荷、统计窗口和仿真边界。</w:t>
      </w:r>
    </w:p>
    <w:sectPr w:rsidR="00FC693F" w:rsidRPr="0006063C" w:rsidSect="00034616">
      <w:footerReference w:type="default" r:id="rId9"/>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66666"/>
        <w:sz w:val="16"/>
      </w:rPr>
      <w:t xml:space="preserve">XH 202613 答辩PPT大纲优化建议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Microsoft YaHei" w:hAnsi="Microsoft YaHei"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答辩PPT大纲优化建议</dc:title>
  <dc:subject>XH 202613 赛道C逐页内容与排版说明</dc:subject>
  <dc:creator>项目团队</dc:creator>
  <cp:keywords>XH 202613,赛道C,答辩PPT,排版说明</cp:keywords>
  <dc:description>generated by python-docx</dc:description>
  <cp:lastModifiedBy/>
  <cp:revision>1</cp:revision>
  <dcterms:created xsi:type="dcterms:W3CDTF">2013-12-23T23:15:00Z</dcterms:created>
  <dcterms:modified xsi:type="dcterms:W3CDTF">2013-12-23T23:15:00Z</dcterms:modified>
  <cp:category/>
</cp:coreProperties>
</file>