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360"/>
        <w:jc w:val="center"/>
      </w:pPr>
      <w:r>
        <w:rPr>
          <w:rFonts w:ascii="WenQuanYi Micro Hei" w:hAnsi="WenQuanYi Micro Hei" w:eastAsia="WenQuanYi Micro Hei"/>
          <w:b/>
          <w:color w:val="000000"/>
          <w:sz w:val="56"/>
        </w:rPr>
        <w:t>雄安车路云协同管控平台答辩PPT完整大纲</w:t>
      </w:r>
    </w:p>
    <w:p>
      <w:pPr>
        <w:spacing w:after="720"/>
        <w:jc w:val="center"/>
      </w:pPr>
      <w:r>
        <w:rPr>
          <w:rFonts w:ascii="WenQuanYi Micro Hei" w:hAnsi="WenQuanYi Micro Hei" w:eastAsia="WenQuanYi Micro Hei"/>
          <w:b w:val="0"/>
          <w:color w:val="16324F"/>
          <w:sz w:val="26"/>
        </w:rPr>
        <w:t>15页主讲内容  8页备份内容  逐页文案与排版指令</w:t>
      </w:r>
    </w:p>
    <w:p>
      <w:pPr>
        <w:spacing w:after="80"/>
        <w:jc w:val="center"/>
      </w:pPr>
      <w:r>
        <w:rPr>
          <w:rFonts w:ascii="WenQuanYi Micro Hei" w:hAnsi="WenQuanYi Micro Hei" w:eastAsia="WenQuanYi Micro Hei"/>
          <w:b w:val="0"/>
          <w:color w:val="5D6873"/>
          <w:sz w:val="21"/>
        </w:rPr>
        <w:t>赛题编号  XH 202613</w:t>
      </w:r>
    </w:p>
    <w:p>
      <w:pPr>
        <w:spacing w:after="80"/>
        <w:jc w:val="center"/>
      </w:pPr>
      <w:r>
        <w:rPr>
          <w:rFonts w:ascii="WenQuanYi Micro Hei" w:hAnsi="WenQuanYi Micro Hei" w:eastAsia="WenQuanYi Micro Hei"/>
          <w:b w:val="0"/>
          <w:color w:val="5D6873"/>
          <w:sz w:val="21"/>
        </w:rPr>
        <w:t>赛道  C</w:t>
      </w:r>
    </w:p>
    <w:p>
      <w:pPr>
        <w:spacing w:after="80"/>
        <w:jc w:val="center"/>
      </w:pPr>
      <w:r>
        <w:rPr>
          <w:rFonts w:ascii="WenQuanYi Micro Hei" w:hAnsi="WenQuanYi Micro Hei" w:eastAsia="WenQuanYi Micro Hei"/>
          <w:b w:val="0"/>
          <w:color w:val="5D6873"/>
          <w:sz w:val="21"/>
        </w:rPr>
        <w:t>项目  雄安城市大脑车路云一体化协同管控算法与仿真平台</w:t>
      </w:r>
    </w:p>
    <w:p>
      <w:pPr>
        <w:spacing w:after="80"/>
        <w:jc w:val="center"/>
      </w:pPr>
      <w:r>
        <w:rPr>
          <w:rFonts w:ascii="WenQuanYi Micro Hei" w:hAnsi="WenQuanYi Micro Hei" w:eastAsia="WenQuanYi Micro Hei"/>
          <w:b w:val="0"/>
          <w:color w:val="5D6873"/>
          <w:sz w:val="21"/>
        </w:rPr>
        <w:t>仓库分支  workspace/xiongan-road-network</w:t>
      </w:r>
    </w:p>
    <w:p>
      <w:pPr>
        <w:spacing w:after="80"/>
        <w:jc w:val="center"/>
      </w:pPr>
      <w:r>
        <w:rPr>
          <w:rFonts w:ascii="WenQuanYi Micro Hei" w:hAnsi="WenQuanYi Micro Hei" w:eastAsia="WenQuanYi Micro Hei"/>
          <w:b w:val="0"/>
          <w:color w:val="5D6873"/>
          <w:sz w:val="21"/>
        </w:rPr>
        <w:t>评审基准  965b635</w:t>
      </w:r>
    </w:p>
    <w:p>
      <w:pPr>
        <w:spacing w:after="80"/>
        <w:jc w:val="center"/>
      </w:pPr>
      <w:r>
        <w:rPr>
          <w:rFonts w:ascii="WenQuanYi Micro Hei" w:hAnsi="WenQuanYi Micro Hei" w:eastAsia="WenQuanYi Micro Hei"/>
          <w:b w:val="0"/>
          <w:color w:val="5D6873"/>
          <w:sz w:val="21"/>
        </w:rPr>
        <w:t>文档日期  2026年9月10日</w:t>
      </w:r>
    </w:p>
    <w:p>
      <w:r>
        <w:br w:type="page"/>
      </w:r>
    </w:p>
    <w:p>
      <w:pPr>
        <w:pStyle w:val="Heading1"/>
        <w:spacing w:after="200"/>
      </w:pPr>
      <w:r>
        <w:t>制作总则</w:t>
      </w:r>
    </w:p>
    <w:p>
      <w:pPr>
        <w:keepLines/>
        <w:spacing w:after="80" w:line="269" w:lineRule="auto"/>
      </w:pPr>
      <w:r>
        <w:rPr>
          <w:rFonts w:ascii="WenQuanYi Micro Hei" w:hAnsi="WenQuanYi Micro Hei" w:eastAsia="WenQuanYi Micro Hei"/>
          <w:b/>
          <w:color w:val="16324F"/>
          <w:sz w:val="21"/>
        </w:rPr>
        <w:t xml:space="preserve">叙事主线  </w:t>
      </w:r>
      <w:r>
        <w:rPr>
          <w:rFonts w:ascii="WenQuanYi Micro Hei" w:hAnsi="WenQuanYi Micro Hei" w:eastAsia="WenQuanYi Micro Hei"/>
          <w:b w:val="0"/>
          <w:color w:val="000000"/>
          <w:sz w:val="21"/>
        </w:rPr>
        <w:t>主讲顺序按问题、方案、实现、证据、边界和总结展开。前3页建立评委认知，第4至10页解释系统与工程实现，第11至13页给出实验设计和核心结果，第14至15页收束贡献与团队责任。</w:t>
      </w:r>
    </w:p>
    <w:p>
      <w:pPr>
        <w:keepLines/>
        <w:spacing w:after="80" w:line="269" w:lineRule="auto"/>
      </w:pPr>
      <w:r>
        <w:rPr>
          <w:rFonts w:ascii="WenQuanYi Micro Hei" w:hAnsi="WenQuanYi Micro Hei" w:eastAsia="WenQuanYi Micro Hei"/>
          <w:b/>
          <w:color w:val="16324F"/>
          <w:sz w:val="21"/>
        </w:rPr>
        <w:t xml:space="preserve">建议时长  </w:t>
      </w:r>
      <w:r>
        <w:rPr>
          <w:rFonts w:ascii="WenQuanYi Micro Hei" w:hAnsi="WenQuanYi Micro Hei" w:eastAsia="WenQuanYi Micro Hei"/>
          <w:b w:val="0"/>
          <w:color w:val="000000"/>
          <w:sz w:val="21"/>
        </w:rPr>
        <w:t>15页主讲约8分钟20秒。若现场限制为5分钟，保留第1、2、3、4、5、6、8、9、10、12、13、15页，其余页面合并或转入备份。</w:t>
      </w:r>
    </w:p>
    <w:p>
      <w:pPr>
        <w:keepLines/>
        <w:spacing w:after="80" w:line="269" w:lineRule="auto"/>
      </w:pPr>
      <w:r>
        <w:rPr>
          <w:rFonts w:ascii="WenQuanYi Micro Hei" w:hAnsi="WenQuanYi Micro Hei" w:eastAsia="WenQuanYi Micro Hei"/>
          <w:b/>
          <w:color w:val="16324F"/>
          <w:sz w:val="21"/>
        </w:rPr>
        <w:t xml:space="preserve">统一排版  </w:t>
      </w:r>
      <w:r>
        <w:rPr>
          <w:rFonts w:ascii="WenQuanYi Micro Hei" w:hAnsi="WenQuanYi Micro Hei" w:eastAsia="WenQuanYi Micro Hei"/>
          <w:b w:val="0"/>
          <w:color w:val="000000"/>
          <w:sz w:val="21"/>
        </w:rPr>
        <w:t>全套PPT使用16比9比例。除封面外，标题位于顶部居中，正文只设置一个主要视觉中心。每页通常保留两至四个信息区，关键数字用大号字和高亮色呈现，解释文字保持次级层次。流程页优先使用流程图，架构页优先使用架构图，结果页优先使用柱状图、折线图或热力图。真实截图和实验图来自项目材料，暂未验证的数据不得制作成完成性成果图。</w:t>
      </w:r>
    </w:p>
    <w:p>
      <w:pPr>
        <w:keepLines/>
        <w:spacing w:after="80" w:line="269" w:lineRule="auto"/>
      </w:pPr>
      <w:r>
        <w:rPr>
          <w:rFonts w:ascii="WenQuanYi Micro Hei" w:hAnsi="WenQuanYi Micro Hei" w:eastAsia="WenQuanYi Micro Hei"/>
          <w:b/>
          <w:color w:val="16324F"/>
          <w:sz w:val="21"/>
        </w:rPr>
        <w:t xml:space="preserve">用词口径  </w:t>
      </w:r>
      <w:r>
        <w:rPr>
          <w:rFonts w:ascii="WenQuanYi Micro Hei" w:hAnsi="WenQuanYi Micro Hei" w:eastAsia="WenQuanYi Micro Hei"/>
          <w:b w:val="0"/>
          <w:color w:val="000000"/>
          <w:sz w:val="21"/>
        </w:rPr>
        <w:t>所有结果必须绑定场景、基线、单位和统计窗口。在网车辆属于状态指标，不直接称为吞吐量。ONNX FP32和INT8属于已完成转换与CPU推理验证的可替换部署形态，平台当前默认加载PyTorch权重。STGCN进入控制链路的强结论需要日志或消融结果支撑。</w:t>
      </w:r>
    </w:p>
    <w:p>
      <w:pPr>
        <w:pStyle w:val="Heading2"/>
      </w:pPr>
      <w:r>
        <w:t>主讲页导航</w:t>
      </w:r>
    </w:p>
    <w:tbl>
      <w:tblPr>
        <w:tblW w:type="auto" w:w="0"/>
        <w:tblLayout w:type="fixed"/>
        <w:tblLook w:firstColumn="1" w:firstRow="1" w:lastColumn="0" w:lastRow="0" w:noHBand="0" w:noVBand="1" w:val="04A0"/>
      </w:tblPr>
      <w:tblGrid>
        <w:gridCol w:w="1008"/>
        <w:gridCol w:w="3240"/>
        <w:gridCol w:w="5256"/>
      </w:tblGrid>
      <w:tr>
        <w:trPr>
          <w:tblHeader w:val="true"/>
        </w:trPr>
        <w:tc>
          <w:tcPr>
            <w:tcW w:type="dxa" w:w="3389"/>
            <w:shd w:fill="16324F"/>
            <w:tcBorders>
              <w:top w:val="single" w:sz="6" w:color="D9E3E8"/>
              <w:left w:val="single" w:sz="6" w:color="D9E3E8"/>
              <w:bottom w:val="single" w:sz="6" w:color="D9E3E8"/>
              <w:right w:val="single" w:sz="6" w:color="D9E3E8"/>
              <w:insideH w:val="single" w:sz="6" w:color="D9E3E8"/>
              <w:insideV w:val="single" w:sz="6" w:color="D9E3E8"/>
            </w:tcBorders>
            <w:vAlign w:val="center"/>
          </w:tcPr>
          <w:p>
            <w:r>
              <w:rPr>
                <w:rFonts w:ascii="WenQuanYi Micro Hei" w:hAnsi="WenQuanYi Micro Hei" w:eastAsia="WenQuanYi Micro Hei"/>
                <w:b/>
                <w:color w:val="FFFFFF"/>
                <w:sz w:val="19"/>
              </w:rPr>
              <w:t>页码</w:t>
            </w:r>
          </w:p>
        </w:tc>
        <w:tc>
          <w:tcPr>
            <w:tcW w:type="dxa" w:w="3389"/>
            <w:shd w:fill="16324F"/>
            <w:tcBorders>
              <w:top w:val="single" w:sz="6" w:color="D9E3E8"/>
              <w:left w:val="single" w:sz="6" w:color="D9E3E8"/>
              <w:bottom w:val="single" w:sz="6" w:color="D9E3E8"/>
              <w:right w:val="single" w:sz="6" w:color="D9E3E8"/>
              <w:insideH w:val="single" w:sz="6" w:color="D9E3E8"/>
              <w:insideV w:val="single" w:sz="6" w:color="D9E3E8"/>
            </w:tcBorders>
            <w:vAlign w:val="center"/>
          </w:tcPr>
          <w:p>
            <w:r>
              <w:rPr>
                <w:rFonts w:ascii="WenQuanYi Micro Hei" w:hAnsi="WenQuanYi Micro Hei" w:eastAsia="WenQuanYi Micro Hei"/>
                <w:b/>
                <w:color w:val="FFFFFF"/>
                <w:sz w:val="19"/>
              </w:rPr>
              <w:t>页面主题</w:t>
            </w:r>
          </w:p>
        </w:tc>
        <w:tc>
          <w:tcPr>
            <w:tcW w:type="dxa" w:w="3389"/>
            <w:shd w:fill="16324F"/>
            <w:tcBorders>
              <w:top w:val="single" w:sz="6" w:color="D9E3E8"/>
              <w:left w:val="single" w:sz="6" w:color="D9E3E8"/>
              <w:bottom w:val="single" w:sz="6" w:color="D9E3E8"/>
              <w:right w:val="single" w:sz="6" w:color="D9E3E8"/>
              <w:insideH w:val="single" w:sz="6" w:color="D9E3E8"/>
              <w:insideV w:val="single" w:sz="6" w:color="D9E3E8"/>
            </w:tcBorders>
            <w:vAlign w:val="center"/>
          </w:tcPr>
          <w:p>
            <w:r>
              <w:rPr>
                <w:rFonts w:ascii="WenQuanYi Micro Hei" w:hAnsi="WenQuanYi Micro Hei" w:eastAsia="WenQuanYi Micro Hei"/>
                <w:b/>
                <w:color w:val="FFFFFF"/>
                <w:sz w:val="19"/>
              </w:rPr>
              <w:t>答辩作用</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1</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项目封面</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left"/>
            </w:pPr>
            <w:r>
              <w:rPr>
                <w:rFonts w:ascii="WenQuanYi Micro Hei" w:hAnsi="WenQuanYi Micro Hei" w:eastAsia="WenQuanYi Micro Hei"/>
                <w:b w:val="0"/>
                <w:color w:val="000000"/>
                <w:sz w:val="18"/>
              </w:rPr>
              <w:t>建立项目识别</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2</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雄安场景与赛题任务</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left"/>
            </w:pPr>
            <w:r>
              <w:rPr>
                <w:rFonts w:ascii="WenQuanYi Micro Hei" w:hAnsi="WenQuanYi Micro Hei" w:eastAsia="WenQuanYi Micro Hei"/>
                <w:b w:val="0"/>
                <w:color w:val="000000"/>
                <w:sz w:val="18"/>
              </w:rPr>
              <w:t>界定场景与任务</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3</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项目方案与已验证结果</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left"/>
            </w:pPr>
            <w:r>
              <w:rPr>
                <w:rFonts w:ascii="WenQuanYi Micro Hei" w:hAnsi="WenQuanYi Micro Hei" w:eastAsia="WenQuanYi Micro Hei"/>
                <w:b w:val="0"/>
                <w:color w:val="000000"/>
                <w:sz w:val="18"/>
              </w:rPr>
              <w:t>先给核心结果</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4</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车路云架构与控制闭环</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left"/>
            </w:pPr>
            <w:r>
              <w:rPr>
                <w:rFonts w:ascii="WenQuanYi Micro Hei" w:hAnsi="WenQuanYi Micro Hei" w:eastAsia="WenQuanYi Micro Hei"/>
                <w:b w:val="0"/>
                <w:color w:val="000000"/>
                <w:sz w:val="18"/>
              </w:rPr>
              <w:t>解释闭环</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5</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20路口仿真环境</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left"/>
            </w:pPr>
            <w:r>
              <w:rPr>
                <w:rFonts w:ascii="WenQuanYi Micro Hei" w:hAnsi="WenQuanYi Micro Hei" w:eastAsia="WenQuanYi Micro Hei"/>
                <w:b w:val="0"/>
                <w:color w:val="000000"/>
                <w:sz w:val="18"/>
              </w:rPr>
              <w:t>证明仿真规模</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6</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STGCN预测与MAPPO控制</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left"/>
            </w:pPr>
            <w:r>
              <w:rPr>
                <w:rFonts w:ascii="WenQuanYi Micro Hei" w:hAnsi="WenQuanYi Micro Hei" w:eastAsia="WenQuanYi Micro Hei"/>
                <w:b w:val="0"/>
                <w:color w:val="000000"/>
                <w:sz w:val="18"/>
              </w:rPr>
              <w:t>解释AI协同</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7</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数据处理训练与模型选择</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left"/>
            </w:pPr>
            <w:r>
              <w:rPr>
                <w:rFonts w:ascii="WenQuanYi Micro Hei" w:hAnsi="WenQuanYi Micro Hei" w:eastAsia="WenQuanYi Micro Hei"/>
                <w:b w:val="0"/>
                <w:color w:val="000000"/>
                <w:sz w:val="18"/>
              </w:rPr>
              <w:t>补齐训练证据</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8</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模型转换与CPU部署</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left"/>
            </w:pPr>
            <w:r>
              <w:rPr>
                <w:rFonts w:ascii="WenQuanYi Micro Hei" w:hAnsi="WenQuanYi Micro Hei" w:eastAsia="WenQuanYi Micro Hei"/>
                <w:b w:val="0"/>
                <w:color w:val="000000"/>
                <w:sz w:val="18"/>
              </w:rPr>
              <w:t>证明轻量化</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9</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安全控制与异常降级</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left"/>
            </w:pPr>
            <w:r>
              <w:rPr>
                <w:rFonts w:ascii="WenQuanYi Micro Hei" w:hAnsi="WenQuanYi Micro Hei" w:eastAsia="WenQuanYi Micro Hei"/>
                <w:b w:val="0"/>
                <w:color w:val="000000"/>
                <w:sz w:val="18"/>
              </w:rPr>
              <w:t>证明安全兜底</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10</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系统实现与现场运行</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left"/>
            </w:pPr>
            <w:r>
              <w:rPr>
                <w:rFonts w:ascii="WenQuanYi Micro Hei" w:hAnsi="WenQuanYi Micro Hei" w:eastAsia="WenQuanYi Micro Hei"/>
                <w:b w:val="0"/>
                <w:color w:val="000000"/>
                <w:sz w:val="18"/>
              </w:rPr>
              <w:t>证明平台可运行</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11</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实验设计与复现条件</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left"/>
            </w:pPr>
            <w:r>
              <w:rPr>
                <w:rFonts w:ascii="WenQuanYi Micro Hei" w:hAnsi="WenQuanYi Micro Hei" w:eastAsia="WenQuanYi Micro Hei"/>
                <w:b w:val="0"/>
                <w:color w:val="000000"/>
                <w:sz w:val="18"/>
              </w:rPr>
              <w:t>说明公平对照</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12</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标准车流横向对比</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left"/>
            </w:pPr>
            <w:r>
              <w:rPr>
                <w:rFonts w:ascii="WenQuanYi Micro Hei" w:hAnsi="WenQuanYi Micro Hei" w:eastAsia="WenQuanYi Micro Hei"/>
                <w:b w:val="0"/>
                <w:color w:val="000000"/>
                <w:sz w:val="18"/>
              </w:rPr>
              <w:t>展示标准车流权衡</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13</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热点场景与算法边界</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left"/>
            </w:pPr>
            <w:r>
              <w:rPr>
                <w:rFonts w:ascii="WenQuanYi Micro Hei" w:hAnsi="WenQuanYi Micro Hei" w:eastAsia="WenQuanYi Micro Hei"/>
                <w:b w:val="0"/>
                <w:color w:val="000000"/>
                <w:sz w:val="18"/>
              </w:rPr>
              <w:t>说明有效窗口</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14</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center"/>
            </w:pPr>
            <w:r>
              <w:rPr>
                <w:rFonts w:ascii="WenQuanYi Micro Hei" w:hAnsi="WenQuanYi Micro Hei" w:eastAsia="WenQuanYi Micro Hei"/>
                <w:b w:val="0"/>
                <w:color w:val="000000"/>
                <w:sz w:val="18"/>
              </w:rPr>
              <w:t>创新标准化与推广价值</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shd w:fill="F3F8FA"/>
            <w:vAlign w:val="center"/>
          </w:tcPr>
          <w:p>
            <w:pPr>
              <w:jc w:val="left"/>
            </w:pPr>
            <w:r>
              <w:rPr>
                <w:rFonts w:ascii="WenQuanYi Micro Hei" w:hAnsi="WenQuanYi Micro Hei" w:eastAsia="WenQuanYi Micro Hei"/>
                <w:b w:val="0"/>
                <w:color w:val="000000"/>
                <w:sz w:val="18"/>
              </w:rPr>
              <w:t>凝练贡献</w:t>
            </w:r>
          </w:p>
        </w:tc>
      </w:tr>
      <w:tr>
        <w:tc>
          <w:tcPr>
            <w:tcW w:type="dxa" w:w="1008"/>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15</w:t>
            </w:r>
          </w:p>
        </w:tc>
        <w:tc>
          <w:tcPr>
            <w:tcW w:type="dxa" w:w="3240"/>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center"/>
            </w:pPr>
            <w:r>
              <w:rPr>
                <w:rFonts w:ascii="WenQuanYi Micro Hei" w:hAnsi="WenQuanYi Micro Hei" w:eastAsia="WenQuanYi Micro Hei"/>
                <w:b w:val="0"/>
                <w:color w:val="000000"/>
                <w:sz w:val="18"/>
              </w:rPr>
              <w:t>总结与团队分工</w:t>
            </w:r>
          </w:p>
        </w:tc>
        <w:tc>
          <w:tcPr>
            <w:tcW w:type="dxa" w:w="5256"/>
            <w:tcBorders>
              <w:top w:val="single" w:sz="6" w:color="D9E3E8"/>
              <w:left w:val="single" w:sz="6" w:color="D9E3E8"/>
              <w:bottom w:val="single" w:sz="6" w:color="D9E3E8"/>
              <w:right w:val="single" w:sz="6" w:color="D9E3E8"/>
              <w:insideH w:val="single" w:sz="6" w:color="D9E3E8"/>
              <w:insideV w:val="single" w:sz="6" w:color="D9E3E8"/>
            </w:tcBorders>
            <w:vAlign w:val="center"/>
          </w:tcPr>
          <w:p>
            <w:pPr>
              <w:jc w:val="left"/>
            </w:pPr>
            <w:r>
              <w:rPr>
                <w:rFonts w:ascii="WenQuanYi Micro Hei" w:hAnsi="WenQuanYi Micro Hei" w:eastAsia="WenQuanYi Micro Hei"/>
                <w:b w:val="0"/>
                <w:color w:val="000000"/>
                <w:sz w:val="18"/>
              </w:rPr>
              <w:t>完成收束</w:t>
            </w:r>
          </w:p>
        </w:tc>
      </w:tr>
    </w:tbl>
    <w:p>
      <w:pPr>
        <w:pStyle w:val="Heading1"/>
        <w:pageBreakBefore/>
        <w:spacing w:after="100"/>
      </w:pPr>
      <w:r>
        <w:rPr>
          <w:rFonts w:ascii="WenQuanYi Micro Hei" w:hAnsi="WenQuanYi Micro Hei" w:eastAsia="WenQuanYi Micro Hei"/>
          <w:b/>
          <w:color w:val="000000"/>
          <w:sz w:val="34"/>
        </w:rPr>
        <w:t>第1页  项目封面</w:t>
      </w:r>
    </w:p>
    <w:p>
      <w:pPr>
        <w:spacing w:after="120"/>
      </w:pPr>
      <w:r>
        <w:rPr>
          <w:rFonts w:ascii="WenQuanYi Micro Hei" w:hAnsi="WenQuanYi Micro Hei" w:eastAsia="WenQuanYi Micro Hei"/>
          <w:b/>
          <w:color w:val="19A7A0"/>
          <w:sz w:val="19"/>
        </w:rPr>
        <w:t>建议讲解时间  15秒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项目以20路口SUMO仿真为底座，完成车路云协同控制、模型轻量化验证和安全降级闭环。</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面向雄安新区城市大脑的车路云一体化协同管控算法与仿真平台</w:t>
      </w:r>
    </w:p>
    <w:p>
      <w:pPr>
        <w:pStyle w:val="ListBullet"/>
        <w:spacing w:after="40" w:line="252" w:lineRule="auto"/>
        <w:ind w:left="288" w:hanging="173"/>
      </w:pPr>
      <w:r>
        <w:rPr>
          <w:rFonts w:ascii="WenQuanYi Micro Hei" w:hAnsi="WenQuanYi Micro Hei" w:eastAsia="WenQuanYi Micro Hei"/>
          <w:b w:val="0"/>
          <w:color w:val="000000"/>
          <w:sz w:val="20"/>
        </w:rPr>
        <w:t>XH 202613  赛道C</w:t>
      </w:r>
    </w:p>
    <w:p>
      <w:pPr>
        <w:pStyle w:val="ListBullet"/>
        <w:spacing w:after="40" w:line="252" w:lineRule="auto"/>
        <w:ind w:left="288" w:hanging="173"/>
      </w:pPr>
      <w:r>
        <w:rPr>
          <w:rFonts w:ascii="WenQuanYi Micro Hei" w:hAnsi="WenQuanYi Micro Hei" w:eastAsia="WenQuanYi Micro Hei"/>
          <w:b w:val="0"/>
          <w:color w:val="000000"/>
          <w:sz w:val="20"/>
        </w:rPr>
        <w:t>20路口微观仿真  多路口协同控制  安全降级</w:t>
      </w:r>
    </w:p>
    <w:p>
      <w:pPr>
        <w:pStyle w:val="ListBullet"/>
        <w:spacing w:after="40" w:line="252" w:lineRule="auto"/>
        <w:ind w:left="288" w:hanging="173"/>
      </w:pPr>
      <w:r>
        <w:rPr>
          <w:rFonts w:ascii="WenQuanYi Micro Hei" w:hAnsi="WenQuanYi Micro Hei" w:eastAsia="WenQuanYi Micro Hei"/>
          <w:b w:val="0"/>
          <w:color w:val="000000"/>
          <w:sz w:val="20"/>
        </w:rPr>
        <w:t>学校  团队  成员  答辩日期</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各位评委好。我们面向雄安新区窄路密网条件下的区域拥堵传播问题，搭建了20路口微观仿真平台，并把交通预测、多路口信号控制、车辆路径和异常降级接入同一运行闭环。接下来重点汇报系统如何运行、实验如何复现，以及算法在哪些条件下有效。</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使用项目真实的20路口SUMO界面或路网截图作为全屏背景。画面中道路轮廓必须清楚，避免使用城市宣传照。</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项目名称放在页面中央偏上并居中，赛题信息放在标题下方，学校、团队、成员和日期放在中央偏下。页面不使用文字卡片，只配一张全屏淡化的真实路网图，图像覆盖全页并加深蓝色半透明蒙版，道路使用青绿色高亮。</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成员姓名、学校和日期在定稿前补齐。背景只使用项目真实截图。</w:t>
      </w:r>
    </w:p>
    <w:p>
      <w:pPr>
        <w:pStyle w:val="Heading1"/>
        <w:pageBreakBefore/>
        <w:spacing w:after="100"/>
      </w:pPr>
      <w:r>
        <w:rPr>
          <w:rFonts w:ascii="WenQuanYi Micro Hei" w:hAnsi="WenQuanYi Micro Hei" w:eastAsia="WenQuanYi Micro Hei"/>
          <w:b/>
          <w:color w:val="000000"/>
          <w:sz w:val="34"/>
        </w:rPr>
        <w:t>第2页  雄安场景与赛题任务</w:t>
      </w:r>
    </w:p>
    <w:p>
      <w:pPr>
        <w:spacing w:after="120"/>
      </w:pPr>
      <w:r>
        <w:rPr>
          <w:rFonts w:ascii="WenQuanYi Micro Hei" w:hAnsi="WenQuanYi Micro Hei" w:eastAsia="WenQuanYi Micro Hei"/>
          <w:b/>
          <w:color w:val="19A7A0"/>
          <w:sz w:val="19"/>
        </w:rPr>
        <w:t>建议讲解时间  30秒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短路段和高耦合路口使局部拥堵容易向相邻路口传播，因此项目采用区域级协同控制。</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场景特征  路口间距小，交通状态相互影响</w:t>
      </w:r>
    </w:p>
    <w:p>
      <w:pPr>
        <w:pStyle w:val="ListBullet"/>
        <w:spacing w:after="40" w:line="252" w:lineRule="auto"/>
        <w:ind w:left="288" w:hanging="173"/>
      </w:pPr>
      <w:r>
        <w:rPr>
          <w:rFonts w:ascii="WenQuanYi Micro Hei" w:hAnsi="WenQuanYi Micro Hei" w:eastAsia="WenQuanYi Micro Hei"/>
          <w:b w:val="0"/>
          <w:color w:val="000000"/>
          <w:sz w:val="20"/>
        </w:rPr>
        <w:t>控制难点  单点定时方案难以处理空间不均和拥堵传播</w:t>
      </w:r>
    </w:p>
    <w:p>
      <w:pPr>
        <w:pStyle w:val="ListBullet"/>
        <w:spacing w:after="40" w:line="252" w:lineRule="auto"/>
        <w:ind w:left="288" w:hanging="173"/>
      </w:pPr>
      <w:r>
        <w:rPr>
          <w:rFonts w:ascii="WenQuanYi Micro Hei" w:hAnsi="WenQuanYi Micro Hei" w:eastAsia="WenQuanYi Micro Hei"/>
          <w:b w:val="0"/>
          <w:color w:val="000000"/>
          <w:sz w:val="20"/>
        </w:rPr>
        <w:t>赛题任务  高保真仿真  轻量化AI  量化评估</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项目没有把问题限定为单个路口配时。窄路密网中的上游排队会快速影响下游放行，局部热点还会沿相邻道路扩散。赛题要求我们同时完成仿真、AI模型开发与部署验证，因此方案从区域状态出发，把预测、信号控制和车辆路径放入一个闭环。</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优先使用目标区域路网图或20路口拓扑图，在图中标出中心热点和可能的传播方向。路网密度等外部数字只有在可靠出处确认后才出现。</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标题置于顶部居中，正文采用左右分栏。左侧放一张占页面约百分之五十五的路网示意图，并用橙红色标出热点和拥堵传播方向。右侧纵向排列三个文字卡片，依次说明场景特征、传统方法局限和赛题任务。</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赛题任务引用赛题原文。雄安路网密度等外部数据暂不写入主讲页。</w:t>
      </w:r>
    </w:p>
    <w:p>
      <w:pPr>
        <w:pStyle w:val="Heading1"/>
        <w:pageBreakBefore/>
        <w:spacing w:after="100"/>
      </w:pPr>
      <w:r>
        <w:rPr>
          <w:rFonts w:ascii="WenQuanYi Micro Hei" w:hAnsi="WenQuanYi Micro Hei" w:eastAsia="WenQuanYi Micro Hei"/>
          <w:b/>
          <w:color w:val="000000"/>
          <w:sz w:val="34"/>
        </w:rPr>
        <w:t>第3页  项目方案与已验证结果</w:t>
      </w:r>
    </w:p>
    <w:p>
      <w:pPr>
        <w:spacing w:after="120"/>
      </w:pPr>
      <w:r>
        <w:rPr>
          <w:rFonts w:ascii="WenQuanYi Micro Hei" w:hAnsi="WenQuanYi Micro Hei" w:eastAsia="WenQuanYi Micro Hei"/>
          <w:b/>
          <w:color w:val="19A7A0"/>
          <w:sz w:val="19"/>
        </w:rPr>
        <w:t>建议讲解时间  30秒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平台已经形成可运行的控制闭环，并完成20路口、ONNX一致性和热点恢复三类验证。</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20个信号路口  80条有向边</w:t>
      </w:r>
    </w:p>
    <w:p>
      <w:pPr>
        <w:pStyle w:val="ListBullet"/>
        <w:spacing w:after="40" w:line="252" w:lineRule="auto"/>
        <w:ind w:left="288" w:hanging="173"/>
      </w:pPr>
      <w:r>
        <w:rPr>
          <w:rFonts w:ascii="WenQuanYi Micro Hei" w:hAnsi="WenQuanYi Micro Hei" w:eastAsia="WenQuanYi Micro Hei"/>
          <w:b w:val="0"/>
          <w:color w:val="000000"/>
          <w:sz w:val="20"/>
        </w:rPr>
        <w:t>ONNX FP32动作一致率 100%</w:t>
      </w:r>
    </w:p>
    <w:p>
      <w:pPr>
        <w:pStyle w:val="ListBullet"/>
        <w:spacing w:after="40" w:line="252" w:lineRule="auto"/>
        <w:ind w:left="288" w:hanging="173"/>
      </w:pPr>
      <w:r>
        <w:rPr>
          <w:rFonts w:ascii="WenQuanYi Micro Hei" w:hAnsi="WenQuanYi Micro Hei" w:eastAsia="WenQuanYi Micro Hei"/>
          <w:b w:val="0"/>
          <w:color w:val="000000"/>
          <w:sz w:val="20"/>
        </w:rPr>
        <w:t>热点后期平均速度  2.4至2.6 m/s 提高到 3.6至4.1 m/s</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我们先给出三项已经有材料支撑的结果。平台运行20个信号路口和80条有向边。MAPPO Actor完成ONNX FP32转换，动作选择与PyTorch保持100%一致。热点场景中，自适应控制在360至480秒窗口把平均速度从2.4至2.6米每秒提高到3.6至4.1米每秒。后两项结论都限定在报告所述环境和统计口径内。</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使用路口图标、模型文件图标和速度曲线缩略图，不使用宣传性照片。</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标题置于顶部居中，正文上半部分居中放置一句项目闭环结论，下半部分横向排列三个等宽数据卡片。每个卡片只放一个大号数字、一句解释和一个小型线性图标，页面不配大幅照片。</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20路口和80条有向边来自实验报告。速度提升绑定热点场景和360至480秒统计窗口。</w:t>
      </w:r>
    </w:p>
    <w:p>
      <w:pPr>
        <w:pStyle w:val="Heading1"/>
        <w:pageBreakBefore/>
        <w:spacing w:after="100"/>
      </w:pPr>
      <w:r>
        <w:rPr>
          <w:rFonts w:ascii="WenQuanYi Micro Hei" w:hAnsi="WenQuanYi Micro Hei" w:eastAsia="WenQuanYi Micro Hei"/>
          <w:b/>
          <w:color w:val="000000"/>
          <w:sz w:val="34"/>
        </w:rPr>
        <w:t>第4页  车路云架构与控制闭环</w:t>
      </w:r>
    </w:p>
    <w:p>
      <w:pPr>
        <w:spacing w:after="120"/>
      </w:pPr>
      <w:r>
        <w:rPr>
          <w:rFonts w:ascii="WenQuanYi Micro Hei" w:hAnsi="WenQuanYi Micro Hei" w:eastAsia="WenQuanYi Micro Hei"/>
          <w:b/>
          <w:color w:val="19A7A0"/>
          <w:sz w:val="19"/>
        </w:rPr>
        <w:t>建议讲解时间  40秒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Cloud生成区域目标，Edge输出合法信号动作，Vehicle执行路径，SUMO反馈状态和指标。</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Cloud  状态汇聚  STGCN预测  区域协调  报告</w:t>
      </w:r>
    </w:p>
    <w:p>
      <w:pPr>
        <w:pStyle w:val="ListBullet"/>
        <w:spacing w:after="40" w:line="252" w:lineRule="auto"/>
        <w:ind w:left="288" w:hanging="173"/>
      </w:pPr>
      <w:r>
        <w:rPr>
          <w:rFonts w:ascii="WenQuanYi Micro Hei" w:hAnsi="WenQuanYi Micro Hei" w:eastAsia="WenQuanYi Micro Hei"/>
          <w:b w:val="0"/>
          <w:color w:val="000000"/>
          <w:sz w:val="20"/>
        </w:rPr>
        <w:t>Edge  MAPPO决策  安全校验  异常降级</w:t>
      </w:r>
    </w:p>
    <w:p>
      <w:pPr>
        <w:pStyle w:val="ListBullet"/>
        <w:spacing w:after="40" w:line="252" w:lineRule="auto"/>
        <w:ind w:left="288" w:hanging="173"/>
      </w:pPr>
      <w:r>
        <w:rPr>
          <w:rFonts w:ascii="WenQuanYi Micro Hei" w:hAnsi="WenQuanYi Micro Hei" w:eastAsia="WenQuanYi Micro Hei"/>
          <w:b w:val="0"/>
          <w:color w:val="000000"/>
          <w:sz w:val="20"/>
        </w:rPr>
        <w:t>Vehicle  动态路径执行  状态反馈</w:t>
      </w:r>
    </w:p>
    <w:p>
      <w:pPr>
        <w:pStyle w:val="ListBullet"/>
        <w:spacing w:after="40" w:line="252" w:lineRule="auto"/>
        <w:ind w:left="288" w:hanging="173"/>
      </w:pPr>
      <w:r>
        <w:rPr>
          <w:rFonts w:ascii="WenQuanYi Micro Hei" w:hAnsi="WenQuanYi Micro Hei" w:eastAsia="WenQuanYi Micro Hei"/>
          <w:b w:val="0"/>
          <w:color w:val="000000"/>
          <w:sz w:val="20"/>
        </w:rPr>
        <w:t>SUMO  路网  车辆  信号  事件  KPI</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平台按Cloud、Edge、Vehicle和SUMO四层组织。云端汇聚状态并识别趋势，边缘侧以路口智能体输出控制动作，车辆侧根据实时道路代价调整路径，SUMO负责微观交通演化。每轮决策产生的新状态继续进入下一轮预测和控制，REST API承担配置与查询，WebSocket传输实时状态。</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绘制四层工程架构图，并清楚标出状态上行、目标下发和反馈回路。正式PPT中的架构图保持可编辑。</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中央放置一张自上而下的四层架构图，四层依次为Cloud、Edge、Vehicle和SUMO，并使用清晰的闭合连线表现反馈。架构图占页面约百分之七十，左右两侧各放一个小型文字区，分别说明通信接口和安全校验。</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架构职责和接口名称与系统设计、接口文档及代码目录一致。</w:t>
      </w:r>
    </w:p>
    <w:p>
      <w:pPr>
        <w:pStyle w:val="Heading1"/>
        <w:pageBreakBefore/>
        <w:spacing w:after="100"/>
      </w:pPr>
      <w:r>
        <w:rPr>
          <w:rFonts w:ascii="WenQuanYi Micro Hei" w:hAnsi="WenQuanYi Micro Hei" w:eastAsia="WenQuanYi Micro Hei"/>
          <w:b/>
          <w:color w:val="000000"/>
          <w:sz w:val="34"/>
        </w:rPr>
        <w:t>第5页  20路口仿真环境</w:t>
      </w:r>
    </w:p>
    <w:p>
      <w:pPr>
        <w:spacing w:after="120"/>
      </w:pPr>
      <w:r>
        <w:rPr>
          <w:rFonts w:ascii="WenQuanYi Micro Hei" w:hAnsi="WenQuanYi Micro Hei" w:eastAsia="WenQuanYi Micro Hei"/>
          <w:b/>
          <w:color w:val="19A7A0"/>
          <w:sz w:val="19"/>
        </w:rPr>
        <w:t>建议讲解时间  35秒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路网、信号、交通需求和扰动事件共同构成可复现的20路口微观仿真环境。</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规模  20个信号路口  80条有向边</w:t>
      </w:r>
    </w:p>
    <w:p>
      <w:pPr>
        <w:pStyle w:val="ListBullet"/>
        <w:spacing w:after="40" w:line="252" w:lineRule="auto"/>
        <w:ind w:left="288" w:hanging="173"/>
      </w:pPr>
      <w:r>
        <w:rPr>
          <w:rFonts w:ascii="WenQuanYi Micro Hei" w:hAnsi="WenQuanYi Micro Hei" w:eastAsia="WenQuanYi Micro Hei"/>
          <w:b w:val="0"/>
          <w:color w:val="000000"/>
          <w:sz w:val="20"/>
        </w:rPr>
        <w:t>场景  sparse  normal  peak  extreme  hotspot</w:t>
      </w:r>
    </w:p>
    <w:p>
      <w:pPr>
        <w:pStyle w:val="ListBullet"/>
        <w:spacing w:after="40" w:line="252" w:lineRule="auto"/>
        <w:ind w:left="288" w:hanging="173"/>
      </w:pPr>
      <w:r>
        <w:rPr>
          <w:rFonts w:ascii="WenQuanYi Micro Hei" w:hAnsi="WenQuanYi Micro Hei" w:eastAsia="WenQuanYi Micro Hei"/>
          <w:b w:val="0"/>
          <w:color w:val="000000"/>
          <w:sz w:val="20"/>
        </w:rPr>
        <w:t>构建  路网清洗  相位配置  需求生成  事件注入  SUMO校验</w:t>
      </w:r>
    </w:p>
    <w:p>
      <w:pPr>
        <w:pStyle w:val="ListBullet"/>
        <w:spacing w:after="40" w:line="252" w:lineRule="auto"/>
        <w:ind w:left="288" w:hanging="173"/>
      </w:pPr>
      <w:r>
        <w:rPr>
          <w:rFonts w:ascii="WenQuanYi Micro Hei" w:hAnsi="WenQuanYi Micro Hei" w:eastAsia="WenQuanYi Micro Hei"/>
          <w:b w:val="0"/>
          <w:color w:val="000000"/>
          <w:sz w:val="20"/>
        </w:rPr>
        <w:t>数据边界  空间结构、校准数据和合成交通流分别标注</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这一页证明仿真环境不是随机画出的路网。我们从路网结构出发完成边和路口清洗，配置车道与信号相位，再生成固定种子的交通需求和热点、施工等扰动。正式材料会分别标注哪些部分来自实际空间结构，哪些是校准参数，哪些是合成交通流，避免把仿真输入误解为实时道路数据。</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使用真实SUMO截图，标出20个信号路口、中心热点和一处事件位置。补充一条简洁构建流程。</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正文采用左右分栏。左侧放一张占页面约百分之六十的20路口真实仿真截图，并清楚标出节点和热点区域。右侧纵向排列四个紧凑文字卡片，分别说明数据来源、构建过程、场景规模和扰动类型，页面底部用一行短句注明真实与合成数据边界。</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截图来自项目实际运行。正式定稿前核对节点和边数量与最终路网文件一致。</w:t>
      </w:r>
    </w:p>
    <w:p>
      <w:pPr>
        <w:pStyle w:val="Heading1"/>
        <w:pageBreakBefore/>
        <w:spacing w:after="100"/>
      </w:pPr>
      <w:r>
        <w:rPr>
          <w:rFonts w:ascii="WenQuanYi Micro Hei" w:hAnsi="WenQuanYi Micro Hei" w:eastAsia="WenQuanYi Micro Hei"/>
          <w:b/>
          <w:color w:val="000000"/>
          <w:sz w:val="34"/>
        </w:rPr>
        <w:t>第6页  STGCN预测与MAPPO控制</w:t>
      </w:r>
    </w:p>
    <w:p>
      <w:pPr>
        <w:spacing w:after="120"/>
      </w:pPr>
      <w:r>
        <w:rPr>
          <w:rFonts w:ascii="WenQuanYi Micro Hei" w:hAnsi="WenQuanYi Micro Hei" w:eastAsia="WenQuanYi Micro Hei"/>
          <w:b/>
          <w:color w:val="19A7A0"/>
          <w:sz w:val="19"/>
        </w:rPr>
        <w:t>建议讲解时间  40秒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STGCN识别交通趋势，MAPPO根据31维观测输出保持或推进动作，安全控制器决定动作能否执行。</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STGCN输入  历史流量  速度  占有率  邻接关系</w:t>
      </w:r>
    </w:p>
    <w:p>
      <w:pPr>
        <w:pStyle w:val="ListBullet"/>
        <w:spacing w:after="40" w:line="252" w:lineRule="auto"/>
        <w:ind w:left="288" w:hanging="173"/>
      </w:pPr>
      <w:r>
        <w:rPr>
          <w:rFonts w:ascii="WenQuanYi Micro Hei" w:hAnsi="WenQuanYi Micro Hei" w:eastAsia="WenQuanYi Micro Hei"/>
          <w:b w:val="0"/>
          <w:color w:val="000000"/>
          <w:sz w:val="20"/>
        </w:rPr>
        <w:t>MAPPO接口  31维观测输入  2个动作logits输出</w:t>
      </w:r>
    </w:p>
    <w:p>
      <w:pPr>
        <w:pStyle w:val="ListBullet"/>
        <w:spacing w:after="40" w:line="252" w:lineRule="auto"/>
        <w:ind w:left="288" w:hanging="173"/>
      </w:pPr>
      <w:r>
        <w:rPr>
          <w:rFonts w:ascii="WenQuanYi Micro Hei" w:hAnsi="WenQuanYi Micro Hei" w:eastAsia="WenQuanYi Micro Hei"/>
          <w:b w:val="0"/>
          <w:color w:val="000000"/>
          <w:sz w:val="20"/>
        </w:rPr>
        <w:t>动作语义  KEEP保持当前绿灯  ADVANCE推进相位</w:t>
      </w:r>
    </w:p>
    <w:p>
      <w:pPr>
        <w:pStyle w:val="ListBullet"/>
        <w:spacing w:after="40" w:line="252" w:lineRule="auto"/>
        <w:ind w:left="288" w:hanging="173"/>
      </w:pPr>
      <w:r>
        <w:rPr>
          <w:rFonts w:ascii="WenQuanYi Micro Hei" w:hAnsi="WenQuanYi Micro Hei" w:eastAsia="WenQuanYi Micro Hei"/>
          <w:b w:val="0"/>
          <w:color w:val="000000"/>
          <w:sz w:val="20"/>
        </w:rPr>
        <w:t>安全约束  最小绿  最大绿  黄灯  全红  非法动作校验</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两个模型承担不同职责。STGCN用于识别未来交通趋势，MAPPO以路口为执行单元，把观测映射为保持或推进动作。实验报告中的最终部署接口是31维输入和2个动作logits输出。控制器不会直接执行模型动作，它还要检查绿灯时长、过渡相位和动作合法性。旧材料中的18维口径应从主讲内容移除，或明确标为历史模型。</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左侧展示历史曲线到预测曲线，右侧展示观测到动作再到信号灯，中间标出区域目标如何连接两部分。</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正文采用左右对称分栏。左侧放STGCN预测区并配一张小型趋势曲线，右侧放MAPPO控制区并配一张状态到动作再到信号灯的流程图。两侧中间使用一条简洁连接线说明预测趋势进入区域目标，页面只保留两个主要信息区。</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31维和2个动作输出来自实验报告。STGCN进入控制链路的真实日志或消融结果仍需补入备份页。</w:t>
      </w:r>
    </w:p>
    <w:p>
      <w:pPr>
        <w:pStyle w:val="Heading1"/>
        <w:pageBreakBefore/>
        <w:spacing w:after="100"/>
      </w:pPr>
      <w:r>
        <w:rPr>
          <w:rFonts w:ascii="WenQuanYi Micro Hei" w:hAnsi="WenQuanYi Micro Hei" w:eastAsia="WenQuanYi Micro Hei"/>
          <w:b/>
          <w:color w:val="000000"/>
          <w:sz w:val="34"/>
        </w:rPr>
        <w:t>第7页  数据处理训练与模型选择</w:t>
      </w:r>
    </w:p>
    <w:p>
      <w:pPr>
        <w:spacing w:after="120"/>
      </w:pPr>
      <w:r>
        <w:rPr>
          <w:rFonts w:ascii="WenQuanYi Micro Hei" w:hAnsi="WenQuanYi Micro Hei" w:eastAsia="WenQuanYi Micro Hei"/>
          <w:b/>
          <w:color w:val="19A7A0"/>
          <w:sz w:val="19"/>
        </w:rPr>
        <w:t>建议讲解时间  35秒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模型选择需要用数据划分、训练曲线、验证指标和最终权重形成完整证据链。</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数据准备  场景轮换  固定种子  归一化观测</w:t>
      </w:r>
    </w:p>
    <w:p>
      <w:pPr>
        <w:pStyle w:val="ListBullet"/>
        <w:spacing w:after="40" w:line="252" w:lineRule="auto"/>
        <w:ind w:left="288" w:hanging="173"/>
      </w:pPr>
      <w:r>
        <w:rPr>
          <w:rFonts w:ascii="WenQuanYi Micro Hei" w:hAnsi="WenQuanYi Micro Hei" w:eastAsia="WenQuanYi Micro Hei"/>
          <w:b w:val="0"/>
          <w:color w:val="000000"/>
          <w:sz w:val="20"/>
        </w:rPr>
        <w:t>训练过程  中心化训练  分散执行  Actor参数共享</w:t>
      </w:r>
    </w:p>
    <w:p>
      <w:pPr>
        <w:pStyle w:val="ListBullet"/>
        <w:spacing w:after="40" w:line="252" w:lineRule="auto"/>
        <w:ind w:left="288" w:hanging="173"/>
      </w:pPr>
      <w:r>
        <w:rPr>
          <w:rFonts w:ascii="WenQuanYi Micro Hei" w:hAnsi="WenQuanYi Micro Hei" w:eastAsia="WenQuanYi Micro Hei"/>
          <w:b w:val="0"/>
          <w:color w:val="000000"/>
          <w:sz w:val="20"/>
        </w:rPr>
        <w:t>验证选择  固定配时和SCOOT作为对照  贪心策略验证</w:t>
      </w:r>
    </w:p>
    <w:p>
      <w:pPr>
        <w:pStyle w:val="ListBullet"/>
        <w:spacing w:after="40" w:line="252" w:lineRule="auto"/>
        <w:ind w:left="288" w:hanging="173"/>
      </w:pPr>
      <w:r>
        <w:rPr>
          <w:rFonts w:ascii="WenQuanYi Micro Hei" w:hAnsi="WenQuanYi Micro Hei" w:eastAsia="WenQuanYi Micro Hei"/>
          <w:b w:val="0"/>
          <w:color w:val="000000"/>
          <w:sz w:val="20"/>
        </w:rPr>
        <w:t>最终交付  配置  日志  曲线  权重  验证命令</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赛道C不仅看模型名称，还看训练与模型选择过程。MAPPO采用中心化训练、分散执行和共享Actor，脚本支持多个车流场景轮换与断点续训。正式答辩应展示训练、验证和测试划分、随机种子、主要超参数、收敛曲线以及最终权重选择依据。缺少的证据要在制作PPT前补齐，不能用算法原理图替代训练结果。</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底部使用真实训练曲线或验证指标图。若曲线尚未核验，先放明确的素材占位，不制作虚构曲线。</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中央横向排列四个阶段区，依次呈现数据准备、模型训练、验证选择和最终权重，每个阶段只保留一项关键证据。页面底部放一张横跨全宽的真实训练曲线或验证指标图，流程和曲线共同构成主要视觉。</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训练脚本和权重已提供。训练集划分、超参数和曲线需从最终训练日志核对后填入。</w:t>
      </w:r>
    </w:p>
    <w:p>
      <w:pPr>
        <w:pStyle w:val="Heading1"/>
        <w:pageBreakBefore/>
        <w:spacing w:after="100"/>
      </w:pPr>
      <w:r>
        <w:rPr>
          <w:rFonts w:ascii="WenQuanYi Micro Hei" w:hAnsi="WenQuanYi Micro Hei" w:eastAsia="WenQuanYi Micro Hei"/>
          <w:b/>
          <w:color w:val="000000"/>
          <w:sz w:val="34"/>
        </w:rPr>
        <w:t>第8页  模型转换与CPU部署</w:t>
      </w:r>
    </w:p>
    <w:p>
      <w:pPr>
        <w:spacing w:after="120"/>
      </w:pPr>
      <w:r>
        <w:rPr>
          <w:rFonts w:ascii="WenQuanYi Micro Hei" w:hAnsi="WenQuanYi Micro Hei" w:eastAsia="WenQuanYi Micro Hei"/>
          <w:b/>
          <w:color w:val="19A7A0"/>
          <w:sz w:val="19"/>
        </w:rPr>
        <w:t>建议讲解时间  35秒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ONNX FP32保持100%动作一致，INT8把模型压缩到24.9 KB，但平台当前默认仍加载PyTorch权重。</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PyTorch FP32  84.7 KB</w:t>
      </w:r>
    </w:p>
    <w:p>
      <w:pPr>
        <w:pStyle w:val="ListBullet"/>
        <w:spacing w:after="40" w:line="252" w:lineRule="auto"/>
        <w:ind w:left="288" w:hanging="173"/>
      </w:pPr>
      <w:r>
        <w:rPr>
          <w:rFonts w:ascii="WenQuanYi Micro Hei" w:hAnsi="WenQuanYi Micro Hei" w:eastAsia="WenQuanYi Micro Hei"/>
          <w:b w:val="0"/>
          <w:color w:val="000000"/>
          <w:sz w:val="20"/>
        </w:rPr>
        <w:t>ONNX FP32  82.5 KB  单次约0.0074 ms  动作一致率100%</w:t>
      </w:r>
    </w:p>
    <w:p>
      <w:pPr>
        <w:pStyle w:val="ListBullet"/>
        <w:spacing w:after="40" w:line="252" w:lineRule="auto"/>
        <w:ind w:left="288" w:hanging="173"/>
      </w:pPr>
      <w:r>
        <w:rPr>
          <w:rFonts w:ascii="WenQuanYi Micro Hei" w:hAnsi="WenQuanYi Micro Hei" w:eastAsia="WenQuanYi Micro Hei"/>
          <w:b w:val="0"/>
          <w:color w:val="000000"/>
          <w:sz w:val="20"/>
        </w:rPr>
        <w:t>ONNX INT8  24.9 KB  批量64约0.028 ms  动作一致率约99.4%</w:t>
      </w:r>
    </w:p>
    <w:p>
      <w:pPr>
        <w:pStyle w:val="ListBullet"/>
        <w:spacing w:after="40" w:line="252" w:lineRule="auto"/>
        <w:ind w:left="288" w:hanging="173"/>
      </w:pPr>
      <w:r>
        <w:rPr>
          <w:rFonts w:ascii="WenQuanYi Micro Hei" w:hAnsi="WenQuanYi Micro Hei" w:eastAsia="WenQuanYi Micro Hei"/>
          <w:b w:val="0"/>
          <w:color w:val="000000"/>
          <w:sz w:val="20"/>
        </w:rPr>
        <w:t>部署边界  ONNX是已验证的可替换部署形态，目标RSU硬件仍需实测</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为满足模型转换和轻量化要求，我们把PyTorch Actor转换为ONNX FP32和INT8，并在CPU上验证。FP32与PyTorch动作选择100%一致，INT8体积降到24.9KB，动作一致率约99.4%。平台当前默认运行PyTorch权重，所以答辩应把ONNX表述为完成转换与推理验证的可替换形态。FP32单次延迟和INT8批量延迟来自不同测试条件，不能直接比较速度。</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使用PyTorch到ONNX FP32再到ONNX INT8的工程流程，并在节点旁标出文件体积和验证结果。</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采用左图右文布局。左侧放一张横向模型转换流程图并在每个节点标注文件体积，右侧纵向排列三个数据区，分别突出延迟、一致率和压缩结果。页面底部放一行部署边界说明，不使用芯片宣传图片。</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延迟、体积和一致率来自实验报告。正式演示显示模型文件、转换命令和运行环境。</w:t>
      </w:r>
    </w:p>
    <w:p>
      <w:pPr>
        <w:pStyle w:val="Heading1"/>
        <w:pageBreakBefore/>
        <w:spacing w:after="100"/>
      </w:pPr>
      <w:r>
        <w:rPr>
          <w:rFonts w:ascii="WenQuanYi Micro Hei" w:hAnsi="WenQuanYi Micro Hei" w:eastAsia="WenQuanYi Micro Hei"/>
          <w:b/>
          <w:color w:val="000000"/>
          <w:sz w:val="34"/>
        </w:rPr>
        <w:t>第9页  安全控制与异常降级</w:t>
      </w:r>
    </w:p>
    <w:p>
      <w:pPr>
        <w:spacing w:after="120"/>
      </w:pPr>
      <w:r>
        <w:rPr>
          <w:rFonts w:ascii="WenQuanYi Micro Hei" w:hAnsi="WenQuanYi Micro Hei" w:eastAsia="WenQuanYi Micro Hei"/>
          <w:b/>
          <w:color w:val="19A7A0"/>
          <w:sz w:val="19"/>
        </w:rPr>
        <w:t>建议讲解时间  35秒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模型动作先经过交通安全约束，推理或通信异常时系统按MAPPO、SCOOT、Fixed Time顺序降级。</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动作校验  最小绿  最大绿  黄灯3秒  全红1秒</w:t>
      </w:r>
    </w:p>
    <w:p>
      <w:pPr>
        <w:pStyle w:val="ListBullet"/>
        <w:spacing w:after="40" w:line="252" w:lineRule="auto"/>
        <w:ind w:left="288" w:hanging="173"/>
      </w:pPr>
      <w:r>
        <w:rPr>
          <w:rFonts w:ascii="WenQuanYi Micro Hei" w:hAnsi="WenQuanYi Micro Hei" w:eastAsia="WenQuanYi Micro Hei"/>
          <w:b w:val="0"/>
          <w:color w:val="000000"/>
          <w:sz w:val="20"/>
        </w:rPr>
        <w:t>触发条件  权重缺失  推理超时  通信异常  非法动作</w:t>
      </w:r>
    </w:p>
    <w:p>
      <w:pPr>
        <w:pStyle w:val="ListBullet"/>
        <w:spacing w:after="40" w:line="252" w:lineRule="auto"/>
        <w:ind w:left="288" w:hanging="173"/>
      </w:pPr>
      <w:r>
        <w:rPr>
          <w:rFonts w:ascii="WenQuanYi Micro Hei" w:hAnsi="WenQuanYi Micro Hei" w:eastAsia="WenQuanYi Micro Hei"/>
          <w:b w:val="0"/>
          <w:color w:val="000000"/>
          <w:sz w:val="20"/>
        </w:rPr>
        <w:t>降级顺序  MAPPO  SCOOT  Fixed Time</w:t>
      </w:r>
    </w:p>
    <w:p>
      <w:pPr>
        <w:pStyle w:val="ListBullet"/>
        <w:spacing w:after="40" w:line="252" w:lineRule="auto"/>
        <w:ind w:left="288" w:hanging="173"/>
      </w:pPr>
      <w:r>
        <w:rPr>
          <w:rFonts w:ascii="WenQuanYi Micro Hei" w:hAnsi="WenQuanYi Micro Hei" w:eastAsia="WenQuanYi Micro Hei"/>
          <w:b w:val="0"/>
          <w:color w:val="000000"/>
          <w:sz w:val="20"/>
        </w:rPr>
        <w:t>结果证据  当前算法  触发原因  降级时间  恢复状态</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AI输出不直接获得信号灯控制权。控制器首先检查最小绿、最大绿、黄灯、全红和动作合法性。权重缺失、推理超时、通信异常或非法动作会触发降级，先切换到SCOOT，再使用固定配时兜底。正式答辩需要现场注入一次故障，并让界面或日志同时显示触发原因、当前算法和恢复状态。安全网补充实验没有触发防溢出条件，因此不能作为已经产生安全增益的证据。</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使用真实故障日志、状态条或运行界面截图。主图呈现三个控制状态的降级链。</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中央放一条从正常AI控制到一级降级再到固定配时兜底的横向状态链，三个状态使用绿色、橙色和灰蓝色区分。页面下半部分左右分栏，左侧放两张真实日志截图，右侧放一个文字区概括触发条件和系统结果。</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降级机制由控制器代码和测试用例支撑。正式PPT使用真实故障注入日志，不使用示意日志。</w:t>
      </w:r>
    </w:p>
    <w:p>
      <w:pPr>
        <w:pStyle w:val="Heading1"/>
        <w:pageBreakBefore/>
        <w:spacing w:after="100"/>
      </w:pPr>
      <w:r>
        <w:rPr>
          <w:rFonts w:ascii="WenQuanYi Micro Hei" w:hAnsi="WenQuanYi Micro Hei" w:eastAsia="WenQuanYi Micro Hei"/>
          <w:b/>
          <w:color w:val="000000"/>
          <w:sz w:val="34"/>
        </w:rPr>
        <w:t>第10页  系统实现与现场运行</w:t>
      </w:r>
    </w:p>
    <w:p>
      <w:pPr>
        <w:spacing w:after="120"/>
      </w:pPr>
      <w:r>
        <w:rPr>
          <w:rFonts w:ascii="WenQuanYi Micro Hei" w:hAnsi="WenQuanYi Micro Hei" w:eastAsia="WenQuanYi Micro Hei"/>
          <w:b/>
          <w:color w:val="19A7A0"/>
          <w:sz w:val="19"/>
        </w:rPr>
        <w:t>建议讲解时间  30秒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平台提供前端可视化、实时通信、仿真控制、算法插件和报告导出，能够按演示脚本连续运行。</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前端  Vue3  Canvas  ECharts</w:t>
      </w:r>
    </w:p>
    <w:p>
      <w:pPr>
        <w:pStyle w:val="ListBullet"/>
        <w:spacing w:after="40" w:line="252" w:lineRule="auto"/>
        <w:ind w:left="288" w:hanging="173"/>
      </w:pPr>
      <w:r>
        <w:rPr>
          <w:rFonts w:ascii="WenQuanYi Micro Hei" w:hAnsi="WenQuanYi Micro Hei" w:eastAsia="WenQuanYi Micro Hei"/>
          <w:b w:val="0"/>
          <w:color w:val="000000"/>
          <w:sz w:val="20"/>
        </w:rPr>
        <w:t>后端  FastAPI  WebSocket  TraCI</w:t>
      </w:r>
    </w:p>
    <w:p>
      <w:pPr>
        <w:pStyle w:val="ListBullet"/>
        <w:spacing w:after="40" w:line="252" w:lineRule="auto"/>
        <w:ind w:left="288" w:hanging="173"/>
      </w:pPr>
      <w:r>
        <w:rPr>
          <w:rFonts w:ascii="WenQuanYi Micro Hei" w:hAnsi="WenQuanYi Micro Hei" w:eastAsia="WenQuanYi Micro Hei"/>
          <w:b w:val="0"/>
          <w:color w:val="000000"/>
          <w:sz w:val="20"/>
        </w:rPr>
        <w:t>运行  Docker Compose  Windows一键启动</w:t>
      </w:r>
    </w:p>
    <w:p>
      <w:pPr>
        <w:pStyle w:val="ListBullet"/>
        <w:spacing w:after="40" w:line="252" w:lineRule="auto"/>
        <w:ind w:left="288" w:hanging="173"/>
      </w:pPr>
      <w:r>
        <w:rPr>
          <w:rFonts w:ascii="WenQuanYi Micro Hei" w:hAnsi="WenQuanYi Micro Hei" w:eastAsia="WenQuanYi Micro Hei"/>
          <w:b w:val="0"/>
          <w:color w:val="000000"/>
          <w:sz w:val="20"/>
        </w:rPr>
        <w:t>输出  实时KPI  算法状态  事件状态  评估报告</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项目不仅包含训练脚本。前端展示路网、车辆、指标和算法状态，后端通过FastAPI、WebSocket和TraCI控制SUMO，算法以统一接口接入。Docker Compose和Windows启动脚本降低复现门槛。正式演示会从启动、载入路网、注入事件到导出报告连续运行，并补充启动耗时、接口状态和资源释放记录。</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使用平台主界面真实截图，标注路网画布、实时指标和智能体状态三个区域。</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左侧放一张占页面约百分之六十五的系统主界面截图，并用三条细线标注路网画布、实时指标和智能体区域。右侧纵向排列三个文字卡片，分别说明前后端技术、部署启动和评估导出，真实运行界面作为唯一主视觉。</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正式PPT使用最终版本界面。连续运行、启动耗时和接口状态需在提交环境复核。</w:t>
      </w:r>
    </w:p>
    <w:p>
      <w:pPr>
        <w:pStyle w:val="Heading1"/>
        <w:pageBreakBefore/>
        <w:spacing w:after="100"/>
      </w:pPr>
      <w:r>
        <w:rPr>
          <w:rFonts w:ascii="WenQuanYi Micro Hei" w:hAnsi="WenQuanYi Micro Hei" w:eastAsia="WenQuanYi Micro Hei"/>
          <w:b/>
          <w:color w:val="000000"/>
          <w:sz w:val="34"/>
        </w:rPr>
        <w:t>第11页  实验设计与复现条件</w:t>
      </w:r>
    </w:p>
    <w:p>
      <w:pPr>
        <w:spacing w:after="120"/>
      </w:pPr>
      <w:r>
        <w:rPr>
          <w:rFonts w:ascii="WenQuanYi Micro Hei" w:hAnsi="WenQuanYi Micro Hei" w:eastAsia="WenQuanYi Micro Hei"/>
          <w:b/>
          <w:color w:val="19A7A0"/>
          <w:sz w:val="19"/>
        </w:rPr>
        <w:t>建议讲解时间  30秒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对照实验保持路网、车流、事件和采样规则一致，并用固定随机种子降低投放噪声。</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固定条件  同一路网  同一车流文件  同一事件配置  同一采样规则</w:t>
      </w:r>
    </w:p>
    <w:p>
      <w:pPr>
        <w:pStyle w:val="ListBullet"/>
        <w:spacing w:after="40" w:line="252" w:lineRule="auto"/>
        <w:ind w:left="288" w:hanging="173"/>
      </w:pPr>
      <w:r>
        <w:rPr>
          <w:rFonts w:ascii="WenQuanYi Micro Hei" w:hAnsi="WenQuanYi Micro Hei" w:eastAsia="WenQuanYi Micro Hei"/>
          <w:b w:val="0"/>
          <w:color w:val="000000"/>
          <w:sz w:val="20"/>
        </w:rPr>
        <w:t>时间设置  90秒预热  5秒决策周期  30秒采样</w:t>
      </w:r>
    </w:p>
    <w:p>
      <w:pPr>
        <w:pStyle w:val="ListBullet"/>
        <w:spacing w:after="40" w:line="252" w:lineRule="auto"/>
        <w:ind w:left="288" w:hanging="173"/>
      </w:pPr>
      <w:r>
        <w:rPr>
          <w:rFonts w:ascii="WenQuanYi Micro Hei" w:hAnsi="WenQuanYi Micro Hei" w:eastAsia="WenQuanYi Micro Hei"/>
          <w:b w:val="0"/>
          <w:color w:val="000000"/>
          <w:sz w:val="20"/>
        </w:rPr>
        <w:t>版本记录  代码commit  模型权重  SUMO  Python  依赖</w:t>
      </w:r>
    </w:p>
    <w:p>
      <w:pPr>
        <w:pStyle w:val="ListBullet"/>
        <w:spacing w:after="40" w:line="252" w:lineRule="auto"/>
        <w:ind w:left="288" w:hanging="173"/>
      </w:pPr>
      <w:r>
        <w:rPr>
          <w:rFonts w:ascii="WenQuanYi Micro Hei" w:hAnsi="WenQuanYi Micro Hei" w:eastAsia="WenQuanYi Micro Hei"/>
          <w:b w:val="0"/>
          <w:color w:val="000000"/>
          <w:sz w:val="20"/>
        </w:rPr>
        <w:t>复现材料  场景配置  原始CSV或JSON  运行命令  图件脚本</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我们把可比性放在结果之前。同一路网、同一车流文件、同一事件配置和同一采样规则用于算法对照，车流生成使用固定种子。仿真先预热90秒，MAPPO每5秒决策，指标每30秒采样。定稿页还要列出代码commit、模型版本、SUMO和Python版本，使每张关键图都能回到原始数据和复现命令。</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使用实验时间轴和一张配置文件真实截图，避免实验室照片。</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正文采用上下结构。上半部分横向排列四个条件区，分别呈现路网、车流、随机种子和版本。下半部分放一条实验时间轴，清楚标出预热、控制接管、采样和结束位置，右下角放一个小型配置文件截图。</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90秒预热、5秒决策和30秒采样来自实验报告。正式版本补充实际commit和软件版本。</w:t>
      </w:r>
    </w:p>
    <w:p>
      <w:pPr>
        <w:pStyle w:val="Heading1"/>
        <w:pageBreakBefore/>
        <w:spacing w:after="100"/>
      </w:pPr>
      <w:r>
        <w:rPr>
          <w:rFonts w:ascii="WenQuanYi Micro Hei" w:hAnsi="WenQuanYi Micro Hei" w:eastAsia="WenQuanYi Micro Hei"/>
          <w:b/>
          <w:color w:val="000000"/>
          <w:sz w:val="34"/>
        </w:rPr>
        <w:t>第12页  标准车流横向对比</w:t>
      </w:r>
    </w:p>
    <w:p>
      <w:pPr>
        <w:spacing w:after="120"/>
      </w:pPr>
      <w:r>
        <w:rPr>
          <w:rFonts w:ascii="WenQuanYi Micro Hei" w:hAnsi="WenQuanYi Micro Hei" w:eastAsia="WenQuanYi Micro Hei"/>
          <w:b/>
          <w:color w:val="19A7A0"/>
          <w:sz w:val="19"/>
        </w:rPr>
        <w:t>建议讲解时间  45秒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MAPPO相比SCOOT降低平均等待并略微提高速度，但当前在网车辆数据不能直接解释为吞吐量。</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固定配时  在网车辆38.5  速度3.07 m/s  等待25 s</w:t>
      </w:r>
    </w:p>
    <w:p>
      <w:pPr>
        <w:pStyle w:val="ListBullet"/>
        <w:spacing w:after="40" w:line="252" w:lineRule="auto"/>
        <w:ind w:left="288" w:hanging="173"/>
      </w:pPr>
      <w:r>
        <w:rPr>
          <w:rFonts w:ascii="WenQuanYi Micro Hei" w:hAnsi="WenQuanYi Micro Hei" w:eastAsia="WenQuanYi Micro Hei"/>
          <w:b w:val="0"/>
          <w:color w:val="000000"/>
          <w:sz w:val="20"/>
        </w:rPr>
        <w:t>SCOOT  在网车辆63.5  速度1.71 m/s  等待60 s</w:t>
      </w:r>
    </w:p>
    <w:p>
      <w:pPr>
        <w:pStyle w:val="ListBullet"/>
        <w:spacing w:after="40" w:line="252" w:lineRule="auto"/>
        <w:ind w:left="288" w:hanging="173"/>
      </w:pPr>
      <w:r>
        <w:rPr>
          <w:rFonts w:ascii="WenQuanYi Micro Hei" w:hAnsi="WenQuanYi Micro Hei" w:eastAsia="WenQuanYi Micro Hei"/>
          <w:b w:val="0"/>
          <w:color w:val="000000"/>
          <w:sz w:val="20"/>
        </w:rPr>
        <w:t>MAPPO  在网车辆49.0  速度1.77 m/s  等待45 s</w:t>
      </w:r>
    </w:p>
    <w:p>
      <w:pPr>
        <w:pStyle w:val="ListBullet"/>
        <w:spacing w:after="40" w:line="252" w:lineRule="auto"/>
        <w:ind w:left="288" w:hanging="173"/>
      </w:pPr>
      <w:r>
        <w:rPr>
          <w:rFonts w:ascii="WenQuanYi Micro Hei" w:hAnsi="WenQuanYi Micro Hei" w:eastAsia="WenQuanYi Micro Hei"/>
          <w:b w:val="0"/>
          <w:color w:val="000000"/>
          <w:sz w:val="20"/>
        </w:rPr>
        <w:t>结论  MAPPO相对SCOOT改善等待和速度，综合排序仍需完成量和尾部等待支持</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标准车流下，MAPPO的平均等待是45秒，低于SCOOT的60秒，平均速度从1.71提高到1.77米每秒。固定配时在这一窗口的速度和等待更好，说明当前数据呈现的是不同目标之间的权衡，不能简单宣布MAPPO全面领先。表中的在网车辆只表示某一时刻仍在路网中的车辆，不等于吞吐。最终排序需要补齐到达数、完成率和P95等待。</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使用实验报告图4-1，但在PPT制作阶段重绘为两个独立坐标区，并把在网车辆标为状态指标而非吞吐指标。</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左侧放一张占页面约百分之六十五的分组柱状图或点图，分别比较三种方法的平均速度和平均等待。右侧上下排列两个结论区，一个写主要发现，一个写指标口径说明，不把量纲不同的指标放在同一坐标轴。</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数值来自实验报告图4-1和对应表格。在补齐完成量之前，不使用吞吐提升表述。</w:t>
      </w:r>
    </w:p>
    <w:p>
      <w:pPr>
        <w:spacing w:before="60" w:after="40"/>
        <w:jc w:val="center"/>
      </w:pPr>
      <w:r>
        <w:drawing>
          <wp:inline xmlns:a="http://schemas.openxmlformats.org/drawingml/2006/main" xmlns:pic="http://schemas.openxmlformats.org/drawingml/2006/picture">
            <wp:extent cx="5074920" cy="150574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74920" cy="1505745"/>
                    </a:xfrm>
                    <a:prstGeom prst="rect"/>
                  </pic:spPr>
                </pic:pic>
              </a:graphicData>
            </a:graphic>
          </wp:inline>
        </w:drawing>
      </w:r>
    </w:p>
    <w:p>
      <w:pPr>
        <w:spacing w:after="40"/>
        <w:jc w:val="center"/>
      </w:pPr>
      <w:r>
        <w:rPr>
          <w:rFonts w:ascii="WenQuanYi Micro Hei" w:hAnsi="WenQuanYi Micro Hei" w:eastAsia="WenQuanYi Micro Hei"/>
          <w:b w:val="0"/>
          <w:color w:val="5D6873"/>
          <w:sz w:val="17"/>
        </w:rPr>
        <w:t>参考图  标准车流横向对比</w:t>
      </w:r>
    </w:p>
    <w:p>
      <w:pPr>
        <w:pStyle w:val="Heading1"/>
        <w:pageBreakBefore/>
        <w:spacing w:after="100"/>
      </w:pPr>
      <w:r>
        <w:rPr>
          <w:rFonts w:ascii="WenQuanYi Micro Hei" w:hAnsi="WenQuanYi Micro Hei" w:eastAsia="WenQuanYi Micro Hei"/>
          <w:b/>
          <w:color w:val="000000"/>
          <w:sz w:val="34"/>
        </w:rPr>
        <w:t>第13页  热点场景与算法边界</w:t>
      </w:r>
    </w:p>
    <w:p>
      <w:pPr>
        <w:spacing w:after="120"/>
      </w:pPr>
      <w:r>
        <w:rPr>
          <w:rFonts w:ascii="WenQuanYi Micro Hei" w:hAnsi="WenQuanYi Micro Hei" w:eastAsia="WenQuanYi Micro Hei"/>
          <w:b/>
          <w:color w:val="19A7A0"/>
          <w:sz w:val="19"/>
        </w:rPr>
        <w:t>建议讲解时间  50秒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自适应控制在约300至400辆的临界负荷区和空间热点中出现可区分增益，超饱和后受物理容量限制。</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约314辆投放  到达数由8提高到13  提升62.5%</w:t>
      </w:r>
    </w:p>
    <w:p>
      <w:pPr>
        <w:pStyle w:val="ListBullet"/>
        <w:spacing w:after="40" w:line="252" w:lineRule="auto"/>
        <w:ind w:left="288" w:hanging="173"/>
      </w:pPr>
      <w:r>
        <w:rPr>
          <w:rFonts w:ascii="WenQuanYi Micro Hei" w:hAnsi="WenQuanYi Micro Hei" w:eastAsia="WenQuanYi Micro Hei"/>
          <w:b w:val="0"/>
          <w:color w:val="000000"/>
          <w:sz w:val="20"/>
        </w:rPr>
        <w:t>热点360至480秒  平均速度由2.4至2.6提高到3.6至4.1 m/s</w:t>
      </w:r>
    </w:p>
    <w:p>
      <w:pPr>
        <w:pStyle w:val="ListBullet"/>
        <w:spacing w:after="40" w:line="252" w:lineRule="auto"/>
        <w:ind w:left="288" w:hanging="173"/>
      </w:pPr>
      <w:r>
        <w:rPr>
          <w:rFonts w:ascii="WenQuanYi Micro Hei" w:hAnsi="WenQuanYi Micro Hei" w:eastAsia="WenQuanYi Micro Hei"/>
          <w:b w:val="0"/>
          <w:color w:val="000000"/>
          <w:sz w:val="20"/>
        </w:rPr>
        <w:t>低负荷  方案差异小</w:t>
      </w:r>
    </w:p>
    <w:p>
      <w:pPr>
        <w:pStyle w:val="ListBullet"/>
        <w:spacing w:after="40" w:line="252" w:lineRule="auto"/>
        <w:ind w:left="288" w:hanging="173"/>
      </w:pPr>
      <w:r>
        <w:rPr>
          <w:rFonts w:ascii="WenQuanYi Micro Hei" w:hAnsi="WenQuanYi Micro Hei" w:eastAsia="WenQuanYi Micro Hei"/>
          <w:b w:val="0"/>
          <w:color w:val="000000"/>
          <w:sz w:val="20"/>
        </w:rPr>
        <w:t>超饱和  网络容量锁定  自适应可能损失绿时</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算法价值与负荷有关。约314辆投放时，SCOOT到达13辆，固定配时到达8辆，对应62.5%的场景内提升。热点实验中，360至480秒窗口的平均速度由2.4至2.6提高到3.6至4.1米每秒。低负荷时不同方案都能通，超过容量后到达数反而可能下降。因此我们把项目定位为能够识别并利用临界负荷和空间不均窗口，而不是对所有场景承诺固定比例的收益。</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左侧使用峰期密度校准折线图，右侧使用热点速度曲线或仿真热力图。高亮62.5%及速度区间，并显示统计窗口。</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采用左右分栏。左侧放负荷与到达数关系折线图，并用浅色区域标出低负荷、临界负荷和超饱和区间。右侧上下排列两张视觉区，上方放热点恢复曲线或热力图，下方突出62.5%和3.6至4.1米每秒两个数据，页面底部放一行仿真适用边界。</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62.5%仅对应约314辆投放场景。速度区间仅对应热点场景后期360至480秒。</w:t>
      </w:r>
    </w:p>
    <w:p>
      <w:pPr>
        <w:spacing w:before="60" w:after="40"/>
        <w:jc w:val="center"/>
      </w:pPr>
      <w:r>
        <w:drawing>
          <wp:inline xmlns:a="http://schemas.openxmlformats.org/drawingml/2006/main" xmlns:pic="http://schemas.openxmlformats.org/drawingml/2006/picture">
            <wp:extent cx="5074920" cy="2215742"/>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5074920" cy="2215742"/>
                    </a:xfrm>
                    <a:prstGeom prst="rect"/>
                  </pic:spPr>
                </pic:pic>
              </a:graphicData>
            </a:graphic>
          </wp:inline>
        </w:drawing>
      </w:r>
    </w:p>
    <w:p>
      <w:pPr>
        <w:spacing w:after="40"/>
        <w:jc w:val="center"/>
      </w:pPr>
      <w:r>
        <w:rPr>
          <w:rFonts w:ascii="WenQuanYi Micro Hei" w:hAnsi="WenQuanYi Micro Hei" w:eastAsia="WenQuanYi Micro Hei"/>
          <w:b w:val="0"/>
          <w:color w:val="5D6873"/>
          <w:sz w:val="17"/>
        </w:rPr>
        <w:t>参考图  区域热点恢复对照</w:t>
      </w:r>
    </w:p>
    <w:p>
      <w:pPr>
        <w:pStyle w:val="Heading1"/>
        <w:pageBreakBefore/>
        <w:spacing w:after="100"/>
      </w:pPr>
      <w:r>
        <w:rPr>
          <w:rFonts w:ascii="WenQuanYi Micro Hei" w:hAnsi="WenQuanYi Micro Hei" w:eastAsia="WenQuanYi Micro Hei"/>
          <w:b/>
          <w:color w:val="000000"/>
          <w:sz w:val="34"/>
        </w:rPr>
        <w:t>第14页  创新标准化与推广价值</w:t>
      </w:r>
    </w:p>
    <w:p>
      <w:pPr>
        <w:spacing w:after="120"/>
      </w:pPr>
      <w:r>
        <w:rPr>
          <w:rFonts w:ascii="WenQuanYi Micro Hei" w:hAnsi="WenQuanYi Micro Hei" w:eastAsia="WenQuanYi Micro Hei"/>
          <w:b/>
          <w:color w:val="19A7A0"/>
          <w:sz w:val="19"/>
        </w:rPr>
        <w:t>建议讲解时间  30秒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项目的贡献在于贯通控制闭环、统一算法评测接口，并把模型转换和安全降级纳入工程验证。</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闭环贡献  预测  区域协调  路口控制  车辆路径  仿真反馈</w:t>
      </w:r>
    </w:p>
    <w:p>
      <w:pPr>
        <w:pStyle w:val="ListBullet"/>
        <w:spacing w:after="40" w:line="252" w:lineRule="auto"/>
        <w:ind w:left="288" w:hanging="173"/>
      </w:pPr>
      <w:r>
        <w:rPr>
          <w:rFonts w:ascii="WenQuanYi Micro Hei" w:hAnsi="WenQuanYi Micro Hei" w:eastAsia="WenQuanYi Micro Hei"/>
          <w:b w:val="0"/>
          <w:color w:val="000000"/>
          <w:sz w:val="20"/>
        </w:rPr>
        <w:t>工程贡献  传统控制与AI统一接入  安全控制器保留最终校验权</w:t>
      </w:r>
    </w:p>
    <w:p>
      <w:pPr>
        <w:pStyle w:val="ListBullet"/>
        <w:spacing w:after="40" w:line="252" w:lineRule="auto"/>
        <w:ind w:left="288" w:hanging="173"/>
      </w:pPr>
      <w:r>
        <w:rPr>
          <w:rFonts w:ascii="WenQuanYi Micro Hei" w:hAnsi="WenQuanYi Micro Hei" w:eastAsia="WenQuanYi Micro Hei"/>
          <w:b w:val="0"/>
          <w:color w:val="000000"/>
          <w:sz w:val="20"/>
        </w:rPr>
        <w:t>评测贡献  同路网  同车流  同事件  同种子  多指标复现</w:t>
      </w:r>
    </w:p>
    <w:p>
      <w:pPr>
        <w:pStyle w:val="ListBullet"/>
        <w:spacing w:after="40" w:line="252" w:lineRule="auto"/>
        <w:ind w:left="288" w:hanging="173"/>
      </w:pPr>
      <w:r>
        <w:rPr>
          <w:rFonts w:ascii="WenQuanYi Micro Hei" w:hAnsi="WenQuanYi Micro Hei" w:eastAsia="WenQuanYi Micro Hei"/>
          <w:b w:val="0"/>
          <w:color w:val="000000"/>
          <w:sz w:val="20"/>
        </w:rPr>
        <w:t>合理定位  城市交通AI验证靶场和协同管控测试规程参考</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我们的创新不依赖堆叠算法名称。第一项贡献是把预测、区域协调、路口动作、车辆路径和仿真反馈真正贯通。第二项是让固定配时、SCOOT和MAPPO使用统一接口，并由安全控制器校验最终动作。第三项是把模型转换、CPU推理和可复现实验纳入同一工程链路。当前成果适合作为算法验证平台和测试规程参考，尚不能宣称已经在真实道路生产运行。</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使用三项贡献与对应证据的平面构图，底部显示从仿真验证到算法接入和标准测试的推广路径。</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中央横向排列三个等宽贡献区，每个区域包含一个短标题、一句具体贡献和一项对应证据。页面底部居中放一条从仿真验证平台延伸到算法接入和标准测试的推广路径，可以使用简洁线性图标，但不使用奖杯、火箭或握手图片。</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推广表述保持在验证平台和测试规程层面，不使用真实道路部署或规模化落地表述。</w:t>
      </w:r>
    </w:p>
    <w:p>
      <w:pPr>
        <w:pStyle w:val="Heading1"/>
        <w:pageBreakBefore/>
        <w:spacing w:after="100"/>
      </w:pPr>
      <w:r>
        <w:rPr>
          <w:rFonts w:ascii="WenQuanYi Micro Hei" w:hAnsi="WenQuanYi Micro Hei" w:eastAsia="WenQuanYi Micro Hei"/>
          <w:b/>
          <w:color w:val="000000"/>
          <w:sz w:val="34"/>
        </w:rPr>
        <w:t>第15页  总结与团队分工</w:t>
      </w:r>
    </w:p>
    <w:p>
      <w:pPr>
        <w:spacing w:after="120"/>
      </w:pPr>
      <w:r>
        <w:rPr>
          <w:rFonts w:ascii="WenQuanYi Micro Hei" w:hAnsi="WenQuanYi Micro Hei" w:eastAsia="WenQuanYi Micro Hei"/>
          <w:b/>
          <w:color w:val="19A7A0"/>
          <w:sz w:val="19"/>
        </w:rPr>
        <w:t>建议讲解时间  20秒</w:t>
      </w:r>
    </w:p>
    <w:p>
      <w:pPr>
        <w:keepLines/>
        <w:spacing w:after="80" w:line="269" w:lineRule="auto"/>
      </w:pPr>
      <w:r>
        <w:rPr>
          <w:rFonts w:ascii="WenQuanYi Micro Hei" w:hAnsi="WenQuanYi Micro Hei" w:eastAsia="WenQuanYi Micro Hei"/>
          <w:b/>
          <w:color w:val="16324F"/>
          <w:sz w:val="21"/>
        </w:rPr>
        <w:t xml:space="preserve">核心结论  </w:t>
      </w:r>
      <w:r>
        <w:rPr>
          <w:rFonts w:ascii="WenQuanYi Micro Hei" w:hAnsi="WenQuanYi Micro Hei" w:eastAsia="WenQuanYi Micro Hei"/>
          <w:b w:val="0"/>
          <w:color w:val="000000"/>
          <w:sz w:val="21"/>
        </w:rPr>
        <w:t>项目已经完成仿真、算法、部署验证、评估和降级链路，关键结果均保留明确的仿真边界。</w:t>
      </w:r>
    </w:p>
    <w:p>
      <w:pPr>
        <w:spacing w:after="40"/>
      </w:pPr>
      <w:r>
        <w:rPr>
          <w:rFonts w:ascii="WenQuanYi Micro Hei" w:hAnsi="WenQuanYi Micro Hei" w:eastAsia="WenQuanYi Micro Hei"/>
          <w:b/>
          <w:color w:val="16324F"/>
          <w:sz w:val="21"/>
        </w:rPr>
        <w:t>页内文字</w:t>
      </w:r>
    </w:p>
    <w:p>
      <w:pPr>
        <w:pStyle w:val="ListBullet"/>
        <w:spacing w:after="40" w:line="252" w:lineRule="auto"/>
        <w:ind w:left="288" w:hanging="173"/>
      </w:pPr>
      <w:r>
        <w:rPr>
          <w:rFonts w:ascii="WenQuanYi Micro Hei" w:hAnsi="WenQuanYi Micro Hei" w:eastAsia="WenQuanYi Micro Hei"/>
          <w:b w:val="0"/>
          <w:color w:val="000000"/>
          <w:sz w:val="20"/>
        </w:rPr>
        <w:t>20路口仿真和实时平台</w:t>
      </w:r>
    </w:p>
    <w:p>
      <w:pPr>
        <w:pStyle w:val="ListBullet"/>
        <w:spacing w:after="40" w:line="252" w:lineRule="auto"/>
        <w:ind w:left="288" w:hanging="173"/>
      </w:pPr>
      <w:r>
        <w:rPr>
          <w:rFonts w:ascii="WenQuanYi Micro Hei" w:hAnsi="WenQuanYi Micro Hei" w:eastAsia="WenQuanYi Micro Hei"/>
          <w:b w:val="0"/>
          <w:color w:val="000000"/>
          <w:sz w:val="20"/>
        </w:rPr>
        <w:t>STGCN趋势识别与MAPPO多路口控制</w:t>
      </w:r>
    </w:p>
    <w:p>
      <w:pPr>
        <w:pStyle w:val="ListBullet"/>
        <w:spacing w:after="40" w:line="252" w:lineRule="auto"/>
        <w:ind w:left="288" w:hanging="173"/>
      </w:pPr>
      <w:r>
        <w:rPr>
          <w:rFonts w:ascii="WenQuanYi Micro Hei" w:hAnsi="WenQuanYi Micro Hei" w:eastAsia="WenQuanYi Micro Hei"/>
          <w:b w:val="0"/>
          <w:color w:val="000000"/>
          <w:sz w:val="20"/>
        </w:rPr>
        <w:t>ONNX FP32和INT8转换验证</w:t>
      </w:r>
    </w:p>
    <w:p>
      <w:pPr>
        <w:pStyle w:val="ListBullet"/>
        <w:spacing w:after="40" w:line="252" w:lineRule="auto"/>
        <w:ind w:left="288" w:hanging="173"/>
      </w:pPr>
      <w:r>
        <w:rPr>
          <w:rFonts w:ascii="WenQuanYi Micro Hei" w:hAnsi="WenQuanYi Micro Hei" w:eastAsia="WenQuanYi Micro Hei"/>
          <w:b w:val="0"/>
          <w:color w:val="000000"/>
          <w:sz w:val="20"/>
        </w:rPr>
        <w:t>对照实验、安全约束与异常降级</w:t>
      </w:r>
    </w:p>
    <w:p>
      <w:pPr>
        <w:pStyle w:val="ListBullet"/>
        <w:spacing w:after="40" w:line="252" w:lineRule="auto"/>
        <w:ind w:left="288" w:hanging="173"/>
      </w:pPr>
      <w:r>
        <w:rPr>
          <w:rFonts w:ascii="WenQuanYi Micro Hei" w:hAnsi="WenQuanYi Micro Hei" w:eastAsia="WenQuanYi Micro Hei"/>
          <w:b w:val="0"/>
          <w:color w:val="000000"/>
          <w:sz w:val="20"/>
        </w:rPr>
        <w:t>团队分工  场景与仿真  算法与模型  平台与接口  实验与材料</w:t>
      </w:r>
    </w:p>
    <w:p>
      <w:pPr>
        <w:keepLines/>
        <w:spacing w:after="80" w:line="269" w:lineRule="auto"/>
      </w:pPr>
      <w:r>
        <w:rPr>
          <w:rFonts w:ascii="WenQuanYi Micro Hei" w:hAnsi="WenQuanYi Micro Hei" w:eastAsia="WenQuanYi Micro Hei"/>
          <w:b/>
          <w:color w:val="16324F"/>
          <w:sz w:val="21"/>
        </w:rPr>
        <w:t xml:space="preserve">主讲参考  </w:t>
      </w:r>
      <w:r>
        <w:rPr>
          <w:rFonts w:ascii="WenQuanYi Micro Hei" w:hAnsi="WenQuanYi Micro Hei" w:eastAsia="WenQuanYi Micro Hei"/>
          <w:b w:val="0"/>
          <w:color w:val="000000"/>
          <w:sz w:val="21"/>
        </w:rPr>
        <w:t>项目已经形成从20路口仿真、模型训练与转换，到多算法对照、异常降级和报告导出的完整链路。我们主动限定实验结论的场景和统计窗口，并保留对真实设备和道路数据的后续验证任务。最后一页补充每位成员的真实职责和对应交付物。谢谢各位评委，欢迎提问。</w:t>
      </w:r>
    </w:p>
    <w:p>
      <w:pPr>
        <w:keepLines/>
        <w:spacing w:after="80" w:line="269" w:lineRule="auto"/>
      </w:pPr>
      <w:r>
        <w:rPr>
          <w:rFonts w:ascii="WenQuanYi Micro Hei" w:hAnsi="WenQuanYi Micro Hei" w:eastAsia="WenQuanYi Micro Hei"/>
          <w:b/>
          <w:color w:val="16324F"/>
          <w:sz w:val="21"/>
        </w:rPr>
        <w:t xml:space="preserve">图表与素材  </w:t>
      </w:r>
      <w:r>
        <w:rPr>
          <w:rFonts w:ascii="WenQuanYi Micro Hei" w:hAnsi="WenQuanYi Micro Hei" w:eastAsia="WenQuanYi Micro Hei"/>
          <w:b w:val="0"/>
          <w:color w:val="000000"/>
          <w:sz w:val="21"/>
        </w:rPr>
        <w:t>上半部分复用全套PPT的闭环总图，下半部分列出四类团队责任。可在右下角放演示视频或代码仓库入口。</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上半部分居中放一张项目闭环总图，并在图下放一句最终结论。页面下半部分横向排列四个团队分工卡片，每个卡片只放责任领域、成员姓名和一个交付物，右下角保留演示视频或代码仓库入口位置。</w:t>
      </w:r>
    </w:p>
    <w:p>
      <w:pPr>
        <w:keepLines/>
        <w:spacing w:after="80" w:line="269" w:lineRule="auto"/>
      </w:pPr>
      <w:r>
        <w:rPr>
          <w:rFonts w:ascii="WenQuanYi Micro Hei" w:hAnsi="WenQuanYi Micro Hei" w:eastAsia="WenQuanYi Micro Hei"/>
          <w:b/>
          <w:color w:val="16324F"/>
          <w:sz w:val="21"/>
        </w:rPr>
        <w:t xml:space="preserve">证据与核验  </w:t>
      </w:r>
      <w:r>
        <w:rPr>
          <w:rFonts w:ascii="WenQuanYi Micro Hei" w:hAnsi="WenQuanYi Micro Hei" w:eastAsia="WenQuanYi Micro Hei"/>
          <w:b w:val="0"/>
          <w:color w:val="000000"/>
          <w:sz w:val="21"/>
        </w:rPr>
        <w:t>团队姓名和交付物由项目负责人核实。二维码在正式提交前验证可访问性。</w:t>
      </w:r>
    </w:p>
    <w:p>
      <w:pPr>
        <w:pStyle w:val="Heading1"/>
        <w:pageBreakBefore/>
      </w:pPr>
      <w:r>
        <w:t>备份页内容</w:t>
      </w:r>
    </w:p>
    <w:p>
      <w:r>
        <w:rPr>
          <w:rFonts w:ascii="WenQuanYi Micro Hei" w:hAnsi="WenQuanYi Micro Hei" w:eastAsia="WenQuanYi Micro Hei"/>
          <w:b w:val="0"/>
          <w:color w:val="000000"/>
          <w:sz w:val="21"/>
        </w:rPr>
        <w:t>备份页不计入15页主讲页数。现场只在评委追问时打开，仍然保持一页回答一个问题。</w:t>
      </w:r>
    </w:p>
    <w:p>
      <w:pPr>
        <w:pStyle w:val="Heading2"/>
        <w:pageBreakBefore/>
      </w:pPr>
      <w:r>
        <w:t>第16页  MAPPO观测与动作接口</w:t>
      </w:r>
    </w:p>
    <w:p>
      <w:pPr>
        <w:keepLines/>
        <w:spacing w:after="80" w:line="269" w:lineRule="auto"/>
      </w:pPr>
      <w:r>
        <w:rPr>
          <w:rFonts w:ascii="WenQuanYi Micro Hei" w:hAnsi="WenQuanYi Micro Hei" w:eastAsia="WenQuanYi Micro Hei"/>
          <w:b/>
          <w:color w:val="16324F"/>
          <w:sz w:val="21"/>
        </w:rPr>
        <w:t xml:space="preserve">页面内容  </w:t>
      </w:r>
      <w:r>
        <w:rPr>
          <w:rFonts w:ascii="WenQuanYi Micro Hei" w:hAnsi="WenQuanYi Micro Hei" w:eastAsia="WenQuanYi Micro Hei"/>
          <w:b w:val="0"/>
          <w:color w:val="000000"/>
          <w:sz w:val="21"/>
        </w:rPr>
        <w:t>逐字段列出31维观测的名称、范围和归一化方式，并说明2个动作logits如何映射为KEEP与ADVANCE。若18维属于旧模型，在页脚标明对应版本和停用原因。</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标题置于顶部居中，页面左侧纵向排列观测字段分组，右侧放31维输入到2个动作logits的模型接口图，底部用一段文字说明版本差异。</w:t>
      </w:r>
    </w:p>
    <w:p>
      <w:pPr>
        <w:keepLines/>
        <w:spacing w:after="80" w:line="269" w:lineRule="auto"/>
      </w:pPr>
      <w:r>
        <w:rPr>
          <w:rFonts w:ascii="WenQuanYi Micro Hei" w:hAnsi="WenQuanYi Micro Hei" w:eastAsia="WenQuanYi Micro Hei"/>
          <w:b/>
          <w:color w:val="16324F"/>
          <w:sz w:val="21"/>
        </w:rPr>
        <w:t xml:space="preserve">使用时机  </w:t>
      </w:r>
      <w:r>
        <w:rPr>
          <w:rFonts w:ascii="WenQuanYi Micro Hei" w:hAnsi="WenQuanYi Micro Hei" w:eastAsia="WenQuanYi Micro Hei"/>
          <w:b w:val="0"/>
          <w:color w:val="000000"/>
          <w:sz w:val="21"/>
        </w:rPr>
        <w:t>评委追问对应技术细节、证据来源或复现方法时打开，本页不在主讲流程中主动展开。</w:t>
      </w:r>
    </w:p>
    <w:p>
      <w:pPr>
        <w:pStyle w:val="Heading2"/>
        <w:pageBreakBefore/>
      </w:pPr>
      <w:r>
        <w:t>第17页  MAPPO奖励函数与训练参数</w:t>
      </w:r>
    </w:p>
    <w:p>
      <w:pPr>
        <w:keepLines/>
        <w:spacing w:after="80" w:line="269" w:lineRule="auto"/>
      </w:pPr>
      <w:r>
        <w:rPr>
          <w:rFonts w:ascii="WenQuanYi Micro Hei" w:hAnsi="WenQuanYi Micro Hei" w:eastAsia="WenQuanYi Micro Hei"/>
          <w:b/>
          <w:color w:val="16324F"/>
          <w:sz w:val="21"/>
        </w:rPr>
        <w:t xml:space="preserve">页面内容  </w:t>
      </w:r>
      <w:r>
        <w:rPr>
          <w:rFonts w:ascii="WenQuanYi Micro Hei" w:hAnsi="WenQuanYi Micro Hei" w:eastAsia="WenQuanYi Micro Hei"/>
          <w:b w:val="0"/>
          <w:color w:val="000000"/>
          <w:sz w:val="21"/>
        </w:rPr>
        <w:t>展示奖励项、权重、主要超参数、训练场景轮换、随机种子、训练曲线和最终权重选择依据。</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标题置于顶部居中，页面左侧放奖励函数分解，右侧放训练参数和真实训练曲线，曲线占右侧主要面积。</w:t>
      </w:r>
    </w:p>
    <w:p>
      <w:pPr>
        <w:keepLines/>
        <w:spacing w:after="80" w:line="269" w:lineRule="auto"/>
      </w:pPr>
      <w:r>
        <w:rPr>
          <w:rFonts w:ascii="WenQuanYi Micro Hei" w:hAnsi="WenQuanYi Micro Hei" w:eastAsia="WenQuanYi Micro Hei"/>
          <w:b/>
          <w:color w:val="16324F"/>
          <w:sz w:val="21"/>
        </w:rPr>
        <w:t xml:space="preserve">使用时机  </w:t>
      </w:r>
      <w:r>
        <w:rPr>
          <w:rFonts w:ascii="WenQuanYi Micro Hei" w:hAnsi="WenQuanYi Micro Hei" w:eastAsia="WenQuanYi Micro Hei"/>
          <w:b w:val="0"/>
          <w:color w:val="000000"/>
          <w:sz w:val="21"/>
        </w:rPr>
        <w:t>评委追问对应技术细节、证据来源或复现方法时打开，本页不在主讲流程中主动展开。</w:t>
      </w:r>
    </w:p>
    <w:p>
      <w:pPr>
        <w:pStyle w:val="Heading2"/>
        <w:pageBreakBefore/>
      </w:pPr>
      <w:r>
        <w:t>第18页  STGCN输入输出与链路证据</w:t>
      </w:r>
    </w:p>
    <w:p>
      <w:pPr>
        <w:keepLines/>
        <w:spacing w:after="80" w:line="269" w:lineRule="auto"/>
      </w:pPr>
      <w:r>
        <w:rPr>
          <w:rFonts w:ascii="WenQuanYi Micro Hei" w:hAnsi="WenQuanYi Micro Hei" w:eastAsia="WenQuanYi Micro Hei"/>
          <w:b/>
          <w:color w:val="16324F"/>
          <w:sz w:val="21"/>
        </w:rPr>
        <w:t xml:space="preserve">页面内容  </w:t>
      </w:r>
      <w:r>
        <w:rPr>
          <w:rFonts w:ascii="WenQuanYi Micro Hei" w:hAnsi="WenQuanYi Micro Hei" w:eastAsia="WenQuanYi Micro Hei"/>
          <w:b w:val="0"/>
          <w:color w:val="000000"/>
          <w:sz w:val="21"/>
        </w:rPr>
        <w:t>展示历史窗口、图邻接关系、预测步长、验证指标，以及预测结果进入区域协调或控制策略选择的日志或消融结果。</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标题置于顶部居中，页面采用左图右文布局，左侧放真实预测曲线，右侧放从预测输出到区域目标的调用链和日志证据。</w:t>
      </w:r>
    </w:p>
    <w:p>
      <w:pPr>
        <w:keepLines/>
        <w:spacing w:after="80" w:line="269" w:lineRule="auto"/>
      </w:pPr>
      <w:r>
        <w:rPr>
          <w:rFonts w:ascii="WenQuanYi Micro Hei" w:hAnsi="WenQuanYi Micro Hei" w:eastAsia="WenQuanYi Micro Hei"/>
          <w:b/>
          <w:color w:val="16324F"/>
          <w:sz w:val="21"/>
        </w:rPr>
        <w:t xml:space="preserve">使用时机  </w:t>
      </w:r>
      <w:r>
        <w:rPr>
          <w:rFonts w:ascii="WenQuanYi Micro Hei" w:hAnsi="WenQuanYi Micro Hei" w:eastAsia="WenQuanYi Micro Hei"/>
          <w:b w:val="0"/>
          <w:color w:val="000000"/>
          <w:sz w:val="21"/>
        </w:rPr>
        <w:t>评委追问对应技术细节、证据来源或复现方法时打开，本页不在主讲流程中主动展开。</w:t>
      </w:r>
    </w:p>
    <w:p>
      <w:pPr>
        <w:pStyle w:val="Heading2"/>
        <w:pageBreakBefore/>
      </w:pPr>
      <w:r>
        <w:t>第19页  ONNX转换误差与推理环境</w:t>
      </w:r>
    </w:p>
    <w:p>
      <w:pPr>
        <w:keepLines/>
        <w:spacing w:after="80" w:line="269" w:lineRule="auto"/>
      </w:pPr>
      <w:r>
        <w:rPr>
          <w:rFonts w:ascii="WenQuanYi Micro Hei" w:hAnsi="WenQuanYi Micro Hei" w:eastAsia="WenQuanYi Micro Hei"/>
          <w:b/>
          <w:color w:val="16324F"/>
          <w:sz w:val="21"/>
        </w:rPr>
        <w:t xml:space="preserve">页面内容  </w:t>
      </w:r>
      <w:r>
        <w:rPr>
          <w:rFonts w:ascii="WenQuanYi Micro Hei" w:hAnsi="WenQuanYi Micro Hei" w:eastAsia="WenQuanYi Micro Hei"/>
          <w:b w:val="0"/>
          <w:color w:val="000000"/>
          <w:sz w:val="21"/>
        </w:rPr>
        <w:t>列出PyTorch、ONNX FP32和ONNX INT8的体积、误差、动作一致率、批量条件、CPU型号、运行库版本和复现命令。</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标题置于顶部居中，页面上半部分放三种模型的对比表，下半部分左右分栏放转换命令和一致性验证输出截图。</w:t>
      </w:r>
    </w:p>
    <w:p>
      <w:pPr>
        <w:keepLines/>
        <w:spacing w:after="80" w:line="269" w:lineRule="auto"/>
      </w:pPr>
      <w:r>
        <w:rPr>
          <w:rFonts w:ascii="WenQuanYi Micro Hei" w:hAnsi="WenQuanYi Micro Hei" w:eastAsia="WenQuanYi Micro Hei"/>
          <w:b/>
          <w:color w:val="16324F"/>
          <w:sz w:val="21"/>
        </w:rPr>
        <w:t xml:space="preserve">使用时机  </w:t>
      </w:r>
      <w:r>
        <w:rPr>
          <w:rFonts w:ascii="WenQuanYi Micro Hei" w:hAnsi="WenQuanYi Micro Hei" w:eastAsia="WenQuanYi Micro Hei"/>
          <w:b w:val="0"/>
          <w:color w:val="000000"/>
          <w:sz w:val="21"/>
        </w:rPr>
        <w:t>评委追问对应技术细节、证据来源或复现方法时打开，本页不在主讲流程中主动展开。</w:t>
      </w:r>
    </w:p>
    <w:p>
      <w:pPr>
        <w:pStyle w:val="Heading2"/>
        <w:pageBreakBefore/>
      </w:pPr>
      <w:r>
        <w:t>第20页  安全降级故障日志</w:t>
      </w:r>
    </w:p>
    <w:p>
      <w:pPr>
        <w:keepLines/>
        <w:spacing w:after="80" w:line="269" w:lineRule="auto"/>
      </w:pPr>
      <w:r>
        <w:rPr>
          <w:rFonts w:ascii="WenQuanYi Micro Hei" w:hAnsi="WenQuanYi Micro Hei" w:eastAsia="WenQuanYi Micro Hei"/>
          <w:b/>
          <w:color w:val="16324F"/>
          <w:sz w:val="21"/>
        </w:rPr>
        <w:t xml:space="preserve">页面内容  </w:t>
      </w:r>
      <w:r>
        <w:rPr>
          <w:rFonts w:ascii="WenQuanYi Micro Hei" w:hAnsi="WenQuanYi Micro Hei" w:eastAsia="WenQuanYi Micro Hei"/>
          <w:b w:val="0"/>
          <w:color w:val="000000"/>
          <w:sz w:val="21"/>
        </w:rPr>
        <w:t>按权重缺失、推理超时、通信异常和非法动作分别提供触发时间、原算法、降级算法、恢复结果和日志证据。</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标题置于顶部居中，页面左侧纵向排列四类故障，右侧放对应的真实日志或界面状态截图，并使用一致的时间标记。</w:t>
      </w:r>
    </w:p>
    <w:p>
      <w:pPr>
        <w:keepLines/>
        <w:spacing w:after="80" w:line="269" w:lineRule="auto"/>
      </w:pPr>
      <w:r>
        <w:rPr>
          <w:rFonts w:ascii="WenQuanYi Micro Hei" w:hAnsi="WenQuanYi Micro Hei" w:eastAsia="WenQuanYi Micro Hei"/>
          <w:b/>
          <w:color w:val="16324F"/>
          <w:sz w:val="21"/>
        </w:rPr>
        <w:t xml:space="preserve">使用时机  </w:t>
      </w:r>
      <w:r>
        <w:rPr>
          <w:rFonts w:ascii="WenQuanYi Micro Hei" w:hAnsi="WenQuanYi Micro Hei" w:eastAsia="WenQuanYi Micro Hei"/>
          <w:b w:val="0"/>
          <w:color w:val="000000"/>
          <w:sz w:val="21"/>
        </w:rPr>
        <w:t>评委追问对应技术细节、证据来源或复现方法时打开，本页不在主讲流程中主动展开。</w:t>
      </w:r>
    </w:p>
    <w:p>
      <w:pPr>
        <w:pStyle w:val="Heading2"/>
        <w:pageBreakBefore/>
      </w:pPr>
      <w:r>
        <w:t>第21页  完整实验参数与原始数据</w:t>
      </w:r>
    </w:p>
    <w:p>
      <w:pPr>
        <w:keepLines/>
        <w:spacing w:after="80" w:line="269" w:lineRule="auto"/>
      </w:pPr>
      <w:r>
        <w:rPr>
          <w:rFonts w:ascii="WenQuanYi Micro Hei" w:hAnsi="WenQuanYi Micro Hei" w:eastAsia="WenQuanYi Micro Hei"/>
          <w:b/>
          <w:color w:val="16324F"/>
          <w:sz w:val="21"/>
        </w:rPr>
        <w:t xml:space="preserve">页面内容  </w:t>
      </w:r>
      <w:r>
        <w:rPr>
          <w:rFonts w:ascii="WenQuanYi Micro Hei" w:hAnsi="WenQuanYi Micro Hei" w:eastAsia="WenQuanYi Micro Hei"/>
          <w:b w:val="0"/>
          <w:color w:val="000000"/>
          <w:sz w:val="21"/>
        </w:rPr>
        <w:t>列出路网、车流文件、事件配置、随机种子、预热、控制周期、仿真时长、统计窗口、原始CSV或JSON位置和作图脚本。</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标题置于顶部居中，页面采用两栏文档式布局，左侧放实验配置摘要，右侧放原始数据目录和复现命令，底部放一张配置文件截图。</w:t>
      </w:r>
    </w:p>
    <w:p>
      <w:pPr>
        <w:keepLines/>
        <w:spacing w:after="80" w:line="269" w:lineRule="auto"/>
      </w:pPr>
      <w:r>
        <w:rPr>
          <w:rFonts w:ascii="WenQuanYi Micro Hei" w:hAnsi="WenQuanYi Micro Hei" w:eastAsia="WenQuanYi Micro Hei"/>
          <w:b/>
          <w:color w:val="16324F"/>
          <w:sz w:val="21"/>
        </w:rPr>
        <w:t xml:space="preserve">使用时机  </w:t>
      </w:r>
      <w:r>
        <w:rPr>
          <w:rFonts w:ascii="WenQuanYi Micro Hei" w:hAnsi="WenQuanYi Micro Hei" w:eastAsia="WenQuanYi Micro Hei"/>
          <w:b w:val="0"/>
          <w:color w:val="000000"/>
          <w:sz w:val="21"/>
        </w:rPr>
        <w:t>评委追问对应技术细节、证据来源或复现方法时打开，本页不在主讲流程中主动展开。</w:t>
      </w:r>
    </w:p>
    <w:p>
      <w:pPr>
        <w:pStyle w:val="Heading2"/>
        <w:pageBreakBefore/>
      </w:pPr>
      <w:r>
        <w:t>第22页  接口字段与系统状态</w:t>
      </w:r>
    </w:p>
    <w:p>
      <w:pPr>
        <w:keepLines/>
        <w:spacing w:after="80" w:line="269" w:lineRule="auto"/>
      </w:pPr>
      <w:r>
        <w:rPr>
          <w:rFonts w:ascii="WenQuanYi Micro Hei" w:hAnsi="WenQuanYi Micro Hei" w:eastAsia="WenQuanYi Micro Hei"/>
          <w:b/>
          <w:color w:val="16324F"/>
          <w:sz w:val="21"/>
        </w:rPr>
        <w:t xml:space="preserve">页面内容  </w:t>
      </w:r>
      <w:r>
        <w:rPr>
          <w:rFonts w:ascii="WenQuanYi Micro Hei" w:hAnsi="WenQuanYi Micro Hei" w:eastAsia="WenQuanYi Micro Hei"/>
          <w:b w:val="0"/>
          <w:color w:val="000000"/>
          <w:sz w:val="21"/>
        </w:rPr>
        <w:t>展示REST API和WebSocket的关键字段，以及前端如何显示仿真时间、当前方案、预测趋势、最新动作、降级状态和对照KPI。</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标题置于顶部居中，页面左侧放接口字段摘要，右侧放带标注的真实系统界面截图，标注线避开正文。</w:t>
      </w:r>
    </w:p>
    <w:p>
      <w:pPr>
        <w:keepLines/>
        <w:spacing w:after="80" w:line="269" w:lineRule="auto"/>
      </w:pPr>
      <w:r>
        <w:rPr>
          <w:rFonts w:ascii="WenQuanYi Micro Hei" w:hAnsi="WenQuanYi Micro Hei" w:eastAsia="WenQuanYi Micro Hei"/>
          <w:b/>
          <w:color w:val="16324F"/>
          <w:sz w:val="21"/>
        </w:rPr>
        <w:t xml:space="preserve">使用时机  </w:t>
      </w:r>
      <w:r>
        <w:rPr>
          <w:rFonts w:ascii="WenQuanYi Micro Hei" w:hAnsi="WenQuanYi Micro Hei" w:eastAsia="WenQuanYi Micro Hei"/>
          <w:b w:val="0"/>
          <w:color w:val="000000"/>
          <w:sz w:val="21"/>
        </w:rPr>
        <w:t>评委追问对应技术细节、证据来源或复现方法时打开，本页不在主讲流程中主动展开。</w:t>
      </w:r>
    </w:p>
    <w:p>
      <w:pPr>
        <w:pStyle w:val="Heading2"/>
        <w:pageBreakBefore/>
      </w:pPr>
      <w:r>
        <w:t>第23页  Webster与跨拓扑验证</w:t>
      </w:r>
    </w:p>
    <w:p>
      <w:pPr>
        <w:keepLines/>
        <w:spacing w:after="80" w:line="269" w:lineRule="auto"/>
      </w:pPr>
      <w:r>
        <w:rPr>
          <w:rFonts w:ascii="WenQuanYi Micro Hei" w:hAnsi="WenQuanYi Micro Hei" w:eastAsia="WenQuanYi Micro Hei"/>
          <w:b/>
          <w:color w:val="16324F"/>
          <w:sz w:val="21"/>
        </w:rPr>
        <w:t xml:space="preserve">页面内容  </w:t>
      </w:r>
      <w:r>
        <w:rPr>
          <w:rFonts w:ascii="WenQuanYi Micro Hei" w:hAnsi="WenQuanYi Micro Hei" w:eastAsia="WenQuanYi Micro Hei"/>
          <w:b w:val="0"/>
          <w:color w:val="000000"/>
          <w:sz w:val="21"/>
        </w:rPr>
        <w:t>提供四个典型路口的Webster结果，以及grid 9、grid 25和spider 13等未见拓扑验证数据，说明主路网模型和路网无关模型的适用范围。</w:t>
      </w:r>
    </w:p>
    <w:p>
      <w:pPr>
        <w:keepLines/>
        <w:spacing w:after="80" w:line="269" w:lineRule="auto"/>
      </w:pPr>
      <w:r>
        <w:rPr>
          <w:rFonts w:ascii="WenQuanYi Micro Hei" w:hAnsi="WenQuanYi Micro Hei" w:eastAsia="WenQuanYi Micro Hei"/>
          <w:b/>
          <w:color w:val="16324F"/>
          <w:sz w:val="21"/>
        </w:rPr>
        <w:t xml:space="preserve">排版指令  </w:t>
      </w:r>
      <w:r>
        <w:rPr>
          <w:rFonts w:ascii="WenQuanYi Micro Hei" w:hAnsi="WenQuanYi Micro Hei" w:eastAsia="WenQuanYi Micro Hei"/>
          <w:b w:val="0"/>
          <w:color w:val="000000"/>
          <w:sz w:val="21"/>
        </w:rPr>
        <w:t>标题置于顶部居中，页面左侧放Webster典型路口结果，右侧放跨拓扑对比图，底部用一段文字说明不同模型版本和泛化边界。</w:t>
      </w:r>
    </w:p>
    <w:p>
      <w:pPr>
        <w:keepLines/>
        <w:spacing w:after="80" w:line="269" w:lineRule="auto"/>
      </w:pPr>
      <w:r>
        <w:rPr>
          <w:rFonts w:ascii="WenQuanYi Micro Hei" w:hAnsi="WenQuanYi Micro Hei" w:eastAsia="WenQuanYi Micro Hei"/>
          <w:b/>
          <w:color w:val="16324F"/>
          <w:sz w:val="21"/>
        </w:rPr>
        <w:t xml:space="preserve">使用时机  </w:t>
      </w:r>
      <w:r>
        <w:rPr>
          <w:rFonts w:ascii="WenQuanYi Micro Hei" w:hAnsi="WenQuanYi Micro Hei" w:eastAsia="WenQuanYi Micro Hei"/>
          <w:b w:val="0"/>
          <w:color w:val="000000"/>
          <w:sz w:val="21"/>
        </w:rPr>
        <w:t>评委追问对应技术细节、证据来源或复现方法时打开，本页不在主讲流程中主动展开。</w:t>
      </w:r>
    </w:p>
    <w:p>
      <w:pPr>
        <w:pStyle w:val="Heading1"/>
        <w:pageBreakBefore/>
      </w:pPr>
      <w:r>
        <w:t>制作前核验清单</w:t>
      </w:r>
    </w:p>
    <w:p>
      <w:pPr>
        <w:pStyle w:val="ListBullet"/>
        <w:spacing w:after="40" w:line="252" w:lineRule="auto"/>
        <w:ind w:left="288" w:hanging="173"/>
      </w:pPr>
      <w:r>
        <w:rPr>
          <w:rFonts w:ascii="WenQuanYi Micro Hei" w:hAnsi="WenQuanYi Micro Hei" w:eastAsia="WenQuanYi Micro Hei"/>
          <w:b w:val="0"/>
          <w:color w:val="000000"/>
          <w:sz w:val="20"/>
        </w:rPr>
        <w:t>统一MAPPO最终观测维度和权重版本，确认31维与18维分别对应的模型状态。</w:t>
      </w:r>
    </w:p>
    <w:p>
      <w:pPr>
        <w:pStyle w:val="ListBullet"/>
        <w:spacing w:after="40" w:line="252" w:lineRule="auto"/>
        <w:ind w:left="288" w:hanging="173"/>
      </w:pPr>
      <w:r>
        <w:rPr>
          <w:rFonts w:ascii="WenQuanYi Micro Hei" w:hAnsi="WenQuanYi Micro Hei" w:eastAsia="WenQuanYi Micro Hei"/>
          <w:b w:val="0"/>
          <w:color w:val="000000"/>
          <w:sz w:val="20"/>
        </w:rPr>
        <w:t>补齐到达车辆数、完成车辆数、完成率或单位时间通过量，避免把在网车辆解释为吞吐。</w:t>
      </w:r>
    </w:p>
    <w:p>
      <w:pPr>
        <w:pStyle w:val="ListBullet"/>
        <w:spacing w:after="40" w:line="252" w:lineRule="auto"/>
        <w:ind w:left="288" w:hanging="173"/>
      </w:pPr>
      <w:r>
        <w:rPr>
          <w:rFonts w:ascii="WenQuanYi Micro Hei" w:hAnsi="WenQuanYi Micro Hei" w:eastAsia="WenQuanYi Micro Hei"/>
          <w:b w:val="0"/>
          <w:color w:val="000000"/>
          <w:sz w:val="20"/>
        </w:rPr>
        <w:t>为STGCN进入控制链路补充调用日志、界面状态或消融结果。</w:t>
      </w:r>
    </w:p>
    <w:p>
      <w:pPr>
        <w:pStyle w:val="ListBullet"/>
        <w:spacing w:after="40" w:line="252" w:lineRule="auto"/>
        <w:ind w:left="288" w:hanging="173"/>
      </w:pPr>
      <w:r>
        <w:rPr>
          <w:rFonts w:ascii="WenQuanYi Micro Hei" w:hAnsi="WenQuanYi Micro Hei" w:eastAsia="WenQuanYi Micro Hei"/>
          <w:b w:val="0"/>
          <w:color w:val="000000"/>
          <w:sz w:val="20"/>
        </w:rPr>
        <w:t>在第8页同时标明平台默认加载PyTorch权重和ONNX验证形态。</w:t>
      </w:r>
    </w:p>
    <w:p>
      <w:pPr>
        <w:pStyle w:val="ListBullet"/>
        <w:spacing w:after="40" w:line="252" w:lineRule="auto"/>
        <w:ind w:left="288" w:hanging="173"/>
      </w:pPr>
      <w:r>
        <w:rPr>
          <w:rFonts w:ascii="WenQuanYi Micro Hei" w:hAnsi="WenQuanYi Micro Hei" w:eastAsia="WenQuanYi Micro Hei"/>
          <w:b w:val="0"/>
          <w:color w:val="000000"/>
          <w:sz w:val="20"/>
        </w:rPr>
        <w:t>为62.5%和速度提升区间标注场景、投放量、基线、统计窗口和仿真边界。</w:t>
      </w:r>
    </w:p>
    <w:p>
      <w:pPr>
        <w:pStyle w:val="ListBullet"/>
        <w:spacing w:after="40" w:line="252" w:lineRule="auto"/>
        <w:ind w:left="288" w:hanging="173"/>
      </w:pPr>
      <w:r>
        <w:rPr>
          <w:rFonts w:ascii="WenQuanYi Micro Hei" w:hAnsi="WenQuanYi Micro Hei" w:eastAsia="WenQuanYi Micro Hei"/>
          <w:b w:val="0"/>
          <w:color w:val="000000"/>
          <w:sz w:val="20"/>
        </w:rPr>
        <w:t>核对路网节点、边数量、SUMO版本、Python版本、模型文件哈希和代码commit。</w:t>
      </w:r>
    </w:p>
    <w:p>
      <w:pPr>
        <w:pStyle w:val="ListBullet"/>
        <w:spacing w:after="40" w:line="252" w:lineRule="auto"/>
        <w:ind w:left="288" w:hanging="173"/>
      </w:pPr>
      <w:r>
        <w:rPr>
          <w:rFonts w:ascii="WenQuanYi Micro Hei" w:hAnsi="WenQuanYi Micro Hei" w:eastAsia="WenQuanYi Micro Hei"/>
          <w:b w:val="0"/>
          <w:color w:val="000000"/>
          <w:sz w:val="20"/>
        </w:rPr>
        <w:t>录制一次模型超时或通信异常的完整降级过程，并保存时间戳和日志。</w:t>
      </w:r>
    </w:p>
    <w:p>
      <w:pPr>
        <w:pStyle w:val="ListBullet"/>
        <w:spacing w:after="40" w:line="252" w:lineRule="auto"/>
        <w:ind w:left="288" w:hanging="173"/>
      </w:pPr>
      <w:r>
        <w:rPr>
          <w:rFonts w:ascii="WenQuanYi Micro Hei" w:hAnsi="WenQuanYi Micro Hei" w:eastAsia="WenQuanYi Micro Hei"/>
          <w:b w:val="0"/>
          <w:color w:val="000000"/>
          <w:sz w:val="20"/>
        </w:rPr>
        <w:t>将学校、团队、成员分工、答辩日期、仓库入口和演示视频替换为最终信息。</w:t>
      </w:r>
    </w:p>
    <w:sectPr w:rsidR="00FC693F" w:rsidRPr="0006063C" w:rsidSect="00034616">
      <w:footerReference w:type="default" r:id="rId11"/>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WenQuanYi Micro Hei" w:hAnsi="WenQuanYi Micro Hei" w:eastAsia="WenQuanYi Micro Hei"/>
        <w:b w:val="0"/>
        <w:color w:val="5D6873"/>
        <w:sz w:val="17"/>
      </w:rPr>
      <w:t>XH 202613  雄安车路云协同管控平台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WenQuanYi Micro Hei" w:hAnsi="WenQuanYi Micro Hei" w:eastAsia="WenQuanYi Micro 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WenQuanYi Micro Hei" w:hAnsi="WenQuanYi Micro Hei" w:eastAsia="WenQuanYi Micro 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WenQuanYi Micro Hei" w:hAnsi="WenQuanYi Micro Hei" w:eastAsia="WenQuanYi Micro 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WenQuanYi Micro Hei" w:hAnsi="WenQuanYi Micro Hei" w:eastAsia="WenQuanYi Micro 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WenQuanYi Micro Hei" w:hAnsi="WenQuanYi Micro Hei" w:eastAsia="WenQuanYi Micro 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WenQuanYi Micro Hei" w:hAnsi="WenQuanYi Micro Hei" w:eastAsia="WenQuanYi Micro He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雄安车路云协同管控平台答辩PPT完整大纲</dc:title>
  <dc:subject>15页主讲内容与8页备份内容</dc:subject>
  <dc:creator>项目团队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