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520"/>
        <w:jc w:val="center"/>
      </w:pPr>
      <w:r>
        <w:rPr>
          <w:rFonts w:ascii="Microsoft YaHei" w:hAnsi="Microsoft YaHei" w:eastAsia="Microsoft YaHei"/>
          <w:b/>
          <w:color w:val="000000"/>
          <w:sz w:val="48"/>
        </w:rPr>
        <w:t>答辩PPT大纲优化建议</w:t>
      </w:r>
    </w:p>
    <w:p>
      <w:pPr>
        <w:spacing w:after="360"/>
        <w:jc w:val="center"/>
      </w:pPr>
      <w:r>
        <w:rPr>
          <w:rFonts w:ascii="Microsoft YaHei" w:hAnsi="Microsoft YaHei" w:eastAsia="Microsoft YaHei"/>
          <w:color w:val="000000"/>
          <w:sz w:val="24"/>
        </w:rPr>
        <w:t>XH 202613 赛道 C 雄安车路云协同管控平台</w:t>
      </w:r>
    </w:p>
    <w:p>
      <w:pPr>
        <w:spacing w:after="60"/>
        <w:jc w:val="center"/>
      </w:pPr>
      <w:r>
        <w:rPr>
          <w:rFonts w:ascii="Microsoft YaHei" w:hAnsi="Microsoft YaHei" w:eastAsia="Microsoft YaHei"/>
          <w:color w:val="000000"/>
          <w:sz w:val="20"/>
        </w:rPr>
        <w:t>评审对象  答辩PPT大纲与逐页内容.docx</w:t>
      </w:r>
    </w:p>
    <w:p>
      <w:pPr>
        <w:spacing w:after="60"/>
        <w:jc w:val="center"/>
      </w:pPr>
      <w:r>
        <w:rPr>
          <w:rFonts w:ascii="Microsoft YaHei" w:hAnsi="Microsoft YaHei" w:eastAsia="Microsoft YaHei"/>
          <w:color w:val="000000"/>
          <w:sz w:val="20"/>
        </w:rPr>
        <w:t>对照依据  赛道C最终提交材料详细清单及赛题原文</w:t>
      </w:r>
    </w:p>
    <w:p>
      <w:pPr>
        <w:spacing w:after="60"/>
        <w:jc w:val="center"/>
      </w:pPr>
      <w:r>
        <w:rPr>
          <w:rFonts w:ascii="Microsoft YaHei" w:hAnsi="Microsoft YaHei" w:eastAsia="Microsoft YaHei"/>
          <w:color w:val="000000"/>
          <w:sz w:val="20"/>
        </w:rPr>
        <w:t>仓库分支  workspace/xiongan-road-network</w:t>
      </w:r>
    </w:p>
    <w:p>
      <w:pPr>
        <w:spacing w:after="60"/>
        <w:jc w:val="center"/>
      </w:pPr>
      <w:r>
        <w:rPr>
          <w:rFonts w:ascii="Microsoft YaHei" w:hAnsi="Microsoft YaHei" w:eastAsia="Microsoft YaHei"/>
          <w:color w:val="000000"/>
          <w:sz w:val="20"/>
        </w:rPr>
        <w:t>评审基准  965b635</w:t>
      </w:r>
    </w:p>
    <w:p>
      <w:pPr>
        <w:spacing w:after="60"/>
        <w:jc w:val="center"/>
      </w:pPr>
      <w:r>
        <w:rPr>
          <w:rFonts w:ascii="Microsoft YaHei" w:hAnsi="Microsoft YaHei" w:eastAsia="Microsoft YaHei"/>
          <w:color w:val="000000"/>
          <w:sz w:val="20"/>
        </w:rPr>
        <w:t>整理日期  2026年9月10日</w:t>
      </w:r>
    </w:p>
    <w:p>
      <w:pPr>
        <w:spacing w:after="160"/>
      </w:pPr>
    </w:p>
    <w:p>
      <w:pPr>
        <w:spacing w:before="160"/>
      </w:pPr>
      <w:r>
        <w:rPr>
          <w:rFonts w:ascii="Microsoft YaHei" w:hAnsi="Microsoft YaHei" w:eastAsia="Microsoft YaHei"/>
          <w:b/>
          <w:color w:val="000000"/>
        </w:rPr>
        <w:t>总体结论：</w:t>
      </w:r>
      <w:r>
        <w:rPr>
          <w:rFonts w:ascii="Microsoft YaHei" w:hAnsi="Microsoft YaHei" w:eastAsia="Microsoft YaHei"/>
          <w:color w:val="000000"/>
        </w:rPr>
        <w:t>现有大纲已经覆盖问题背景、总体架构、AI模型、系统实现、实验对比、演示和团队分工，能够作为正式PPT的制作底稿。主要风险不在页面缺失，而在于若干核心表述尚未形成“结论—数据—文件—运行证据”的闭环。建议先修正数据口径与模型接口冲突，再将17页主讲内容压缩为15页。</w:t>
      </w:r>
    </w:p>
    <w:p>
      <w:pPr>
        <w:pStyle w:val="Heading1"/>
      </w:pPr>
      <w:r>
        <w:rPr>
          <w:rFonts w:ascii="Microsoft YaHei" w:hAnsi="Microsoft YaHei" w:eastAsia="Microsoft YaHei"/>
          <w:color w:val="000000"/>
        </w:rPr>
        <w:t>一 评审范围与结论</w:t>
      </w:r>
    </w:p>
    <w:p>
      <w:r>
        <w:rPr>
          <w:rFonts w:ascii="Microsoft YaHei" w:hAnsi="Microsoft YaHei" w:eastAsia="Microsoft YaHei"/>
          <w:color w:val="000000"/>
        </w:rPr>
        <w:t>本次评审重点检查四个层面：赛题明文要求是否覆盖、赛道C模型全生命周期是否可证明、评分维度是否得到回应，以及逐页内容是否适合在8至10分钟内讲清。评审不把计划、推荐材料或尚未验证的能力视为已完成成果。</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1944"/>
            <w:shd w:fill="17365D"/>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评审维度</w:t>
            </w:r>
          </w:p>
        </w:tc>
        <w:tc>
          <w:tcPr>
            <w:tcW w:type="dxa" w:w="1440"/>
            <w:shd w:fill="17365D"/>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当前判断</w:t>
            </w:r>
          </w:p>
        </w:tc>
        <w:tc>
          <w:tcPr>
            <w:tcW w:type="dxa" w:w="6552"/>
            <w:shd w:fill="17365D"/>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主要说明</w:t>
            </w:r>
          </w:p>
        </w:tc>
      </w:tr>
      <w:tr>
        <w:tc>
          <w:tcPr>
            <w:tcW w:type="dxa" w:w="1944"/>
            <w:shd w:fill="FFFFFF"/>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赛题内容覆盖</w:t>
            </w:r>
          </w:p>
        </w:tc>
        <w:tc>
          <w:tcPr>
            <w:tcW w:type="dxa" w:w="1440"/>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较完整</w:t>
            </w:r>
          </w:p>
        </w:tc>
        <w:tc>
          <w:tcPr>
            <w:tcW w:type="dxa" w:w="6552"/>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环境、算法、实现、创新、实验和演示均有页面承接</w:t>
            </w:r>
          </w:p>
        </w:tc>
      </w:tr>
      <w:tr>
        <w:tc>
          <w:tcPr>
            <w:tcW w:type="dxa" w:w="1944"/>
            <w:shd w:fill="EAF2F8"/>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赛道C专项</w:t>
            </w:r>
          </w:p>
        </w:tc>
        <w:tc>
          <w:tcPr>
            <w:tcW w:type="dxa" w:w="1440"/>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基本覆盖</w:t>
            </w:r>
          </w:p>
        </w:tc>
        <w:tc>
          <w:tcPr>
            <w:tcW w:type="dxa" w:w="6552"/>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转换证据较强，数据处理、训练和在线部署证据仍需加强</w:t>
            </w:r>
          </w:p>
        </w:tc>
      </w:tr>
      <w:tr>
        <w:tc>
          <w:tcPr>
            <w:tcW w:type="dxa" w:w="1944"/>
            <w:shd w:fill="FFFFFF"/>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系统完成度表达</w:t>
            </w:r>
          </w:p>
        </w:tc>
        <w:tc>
          <w:tcPr>
            <w:tcW w:type="dxa" w:w="1440"/>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较强</w:t>
            </w:r>
          </w:p>
        </w:tc>
        <w:tc>
          <w:tcPr>
            <w:tcW w:type="dxa" w:w="6552"/>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前后端、SUMO、接口、启动与报告能力已体现</w:t>
            </w:r>
          </w:p>
        </w:tc>
      </w:tr>
      <w:tr>
        <w:tc>
          <w:tcPr>
            <w:tcW w:type="dxa" w:w="1944"/>
            <w:shd w:fill="EAF2F8"/>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实验可信度</w:t>
            </w:r>
          </w:p>
        </w:tc>
        <w:tc>
          <w:tcPr>
            <w:tcW w:type="dxa" w:w="1440"/>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中等</w:t>
            </w:r>
          </w:p>
        </w:tc>
        <w:tc>
          <w:tcPr>
            <w:tcW w:type="dxa" w:w="6552"/>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有基线和边界分析，但部分指标口径及结论范围需要修正</w:t>
            </w:r>
          </w:p>
        </w:tc>
      </w:tr>
      <w:tr>
        <w:tc>
          <w:tcPr>
            <w:tcW w:type="dxa" w:w="1944"/>
            <w:shd w:fill="FFFFFF"/>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答辩叙事</w:t>
            </w:r>
          </w:p>
        </w:tc>
        <w:tc>
          <w:tcPr>
            <w:tcW w:type="dxa" w:w="1440"/>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可优化</w:t>
            </w:r>
          </w:p>
        </w:tc>
        <w:tc>
          <w:tcPr>
            <w:tcW w:type="dxa" w:w="6552"/>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成果出现较晚、算法名称偏多、17页对8至10分钟略密</w:t>
            </w:r>
          </w:p>
        </w:tc>
      </w:tr>
    </w:tbl>
    <w:p>
      <w:pPr>
        <w:spacing w:after="0"/>
      </w:pPr>
    </w:p>
    <w:p>
      <w:pPr>
        <w:pStyle w:val="Heading1"/>
      </w:pPr>
      <w:r>
        <w:rPr>
          <w:rFonts w:ascii="Microsoft YaHei" w:hAnsi="Microsoft YaHei" w:eastAsia="Microsoft YaHei"/>
          <w:color w:val="000000"/>
        </w:rPr>
        <w:t>二 与清单要求的符合度</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41"/>
        <w:gridCol w:w="2541"/>
        <w:gridCol w:w="2541"/>
        <w:gridCol w:w="2541"/>
      </w:tblGrid>
      <w:tr>
        <w:trPr>
          <w:tblHeader w:val="true"/>
        </w:trPr>
        <w:tc>
          <w:tcPr>
            <w:tcW w:type="dxa" w:w="2232"/>
            <w:shd w:fill="17365D"/>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清单要求</w:t>
            </w:r>
          </w:p>
        </w:tc>
        <w:tc>
          <w:tcPr>
            <w:tcW w:type="dxa" w:w="1800"/>
            <w:shd w:fill="17365D"/>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大纲位置</w:t>
            </w:r>
          </w:p>
        </w:tc>
        <w:tc>
          <w:tcPr>
            <w:tcW w:type="dxa" w:w="1296"/>
            <w:shd w:fill="17365D"/>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符合度</w:t>
            </w:r>
          </w:p>
        </w:tc>
        <w:tc>
          <w:tcPr>
            <w:tcW w:type="dxa" w:w="4608"/>
            <w:shd w:fill="17365D"/>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需要补强</w:t>
            </w:r>
          </w:p>
        </w:tc>
      </w:tr>
      <w:tr>
        <w:tc>
          <w:tcPr>
            <w:tcW w:type="dxa" w:w="2232"/>
            <w:shd w:fill="FFFFFF"/>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赛题理解与雄安问题</w:t>
            </w:r>
          </w:p>
        </w:tc>
        <w:tc>
          <w:tcPr>
            <w:tcW w:type="dxa" w:w="1800"/>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第2至3页</w:t>
            </w:r>
          </w:p>
        </w:tc>
        <w:tc>
          <w:tcPr>
            <w:tcW w:type="dxa" w:w="1296"/>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符合</w:t>
            </w:r>
          </w:p>
        </w:tc>
        <w:tc>
          <w:tcPr>
            <w:tcW w:type="dxa" w:w="4608"/>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路网密度数据需给出处或删除</w:t>
            </w:r>
          </w:p>
        </w:tc>
      </w:tr>
      <w:tr>
        <w:tc>
          <w:tcPr>
            <w:tcW w:type="dxa" w:w="2232"/>
            <w:shd w:fill="EAF2F8"/>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总体架构与数据流</w:t>
            </w:r>
          </w:p>
        </w:tc>
        <w:tc>
          <w:tcPr>
            <w:tcW w:type="dxa" w:w="1800"/>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第4至5页</w:t>
            </w:r>
          </w:p>
        </w:tc>
        <w:tc>
          <w:tcPr>
            <w:tcW w:type="dxa" w:w="1296"/>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符合</w:t>
            </w:r>
          </w:p>
        </w:tc>
        <w:tc>
          <w:tcPr>
            <w:tcW w:type="dxa" w:w="4608"/>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明确STGCN预测如何进入控制动作</w:t>
            </w:r>
          </w:p>
        </w:tc>
      </w:tr>
      <w:tr>
        <w:tc>
          <w:tcPr>
            <w:tcW w:type="dxa" w:w="2232"/>
            <w:shd w:fill="FFFFFF"/>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仿真环境构建方法</w:t>
            </w:r>
          </w:p>
        </w:tc>
        <w:tc>
          <w:tcPr>
            <w:tcW w:type="dxa" w:w="1800"/>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第6页</w:t>
            </w:r>
          </w:p>
        </w:tc>
        <w:tc>
          <w:tcPr>
            <w:tcW w:type="dxa" w:w="1296"/>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部分符合</w:t>
            </w:r>
          </w:p>
        </w:tc>
        <w:tc>
          <w:tcPr>
            <w:tcW w:type="dxa" w:w="4608"/>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补充地图来源、转换清洗、信号配置和校验过程</w:t>
            </w:r>
          </w:p>
        </w:tc>
      </w:tr>
      <w:tr>
        <w:tc>
          <w:tcPr>
            <w:tcW w:type="dxa" w:w="2232"/>
            <w:shd w:fill="EAF2F8"/>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AI模型与技术路线</w:t>
            </w:r>
          </w:p>
        </w:tc>
        <w:tc>
          <w:tcPr>
            <w:tcW w:type="dxa" w:w="1800"/>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第7至8页</w:t>
            </w:r>
          </w:p>
        </w:tc>
        <w:tc>
          <w:tcPr>
            <w:tcW w:type="dxa" w:w="1296"/>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部分符合</w:t>
            </w:r>
          </w:p>
        </w:tc>
        <w:tc>
          <w:tcPr>
            <w:tcW w:type="dxa" w:w="4608"/>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减少算法罗列，补足STGCN任务和输入输出</w:t>
            </w:r>
          </w:p>
        </w:tc>
      </w:tr>
      <w:tr>
        <w:tc>
          <w:tcPr>
            <w:tcW w:type="dxa" w:w="2232"/>
            <w:shd w:fill="FFFFFF"/>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数据处理与训练选择</w:t>
            </w:r>
          </w:p>
        </w:tc>
        <w:tc>
          <w:tcPr>
            <w:tcW w:type="dxa" w:w="1800"/>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第9页</w:t>
            </w:r>
          </w:p>
        </w:tc>
        <w:tc>
          <w:tcPr>
            <w:tcW w:type="dxa" w:w="1296"/>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偏弱</w:t>
            </w:r>
          </w:p>
        </w:tc>
        <w:tc>
          <w:tcPr>
            <w:tcW w:type="dxa" w:w="4608"/>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给出特征、划分、训练参数、曲线和选择依据</w:t>
            </w:r>
          </w:p>
        </w:tc>
      </w:tr>
      <w:tr>
        <w:tc>
          <w:tcPr>
            <w:tcW w:type="dxa" w:w="2232"/>
            <w:shd w:fill="EAF2F8"/>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模型转换与部署</w:t>
            </w:r>
          </w:p>
        </w:tc>
        <w:tc>
          <w:tcPr>
            <w:tcW w:type="dxa" w:w="1800"/>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第9至10页</w:t>
            </w:r>
          </w:p>
        </w:tc>
        <w:tc>
          <w:tcPr>
            <w:tcW w:type="dxa" w:w="1296"/>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基本符合</w:t>
            </w:r>
          </w:p>
        </w:tc>
        <w:tc>
          <w:tcPr>
            <w:tcW w:type="dxa" w:w="4608"/>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区分平台默认PyTorch运行与ONNX部署备选形态</w:t>
            </w:r>
          </w:p>
        </w:tc>
      </w:tr>
      <w:tr>
        <w:tc>
          <w:tcPr>
            <w:tcW w:type="dxa" w:w="2232"/>
            <w:shd w:fill="FFFFFF"/>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系统实现与工程能力</w:t>
            </w:r>
          </w:p>
        </w:tc>
        <w:tc>
          <w:tcPr>
            <w:tcW w:type="dxa" w:w="1800"/>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第11页</w:t>
            </w:r>
          </w:p>
        </w:tc>
        <w:tc>
          <w:tcPr>
            <w:tcW w:type="dxa" w:w="1296"/>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符合</w:t>
            </w:r>
          </w:p>
        </w:tc>
        <w:tc>
          <w:tcPr>
            <w:tcW w:type="dxa" w:w="4608"/>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加入连续运行、启动时间、资源释放或测试证据</w:t>
            </w:r>
          </w:p>
        </w:tc>
      </w:tr>
      <w:tr>
        <w:tc>
          <w:tcPr>
            <w:tcW w:type="dxa" w:w="2232"/>
            <w:shd w:fill="EAF2F8"/>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实验设计与基线</w:t>
            </w:r>
          </w:p>
        </w:tc>
        <w:tc>
          <w:tcPr>
            <w:tcW w:type="dxa" w:w="1800"/>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第12至15页</w:t>
            </w:r>
          </w:p>
        </w:tc>
        <w:tc>
          <w:tcPr>
            <w:tcW w:type="dxa" w:w="1296"/>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基本符合</w:t>
            </w:r>
          </w:p>
        </w:tc>
        <w:tc>
          <w:tcPr>
            <w:tcW w:type="dxa" w:w="4608"/>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统一指标口径，补多seed或说明当前限制</w:t>
            </w:r>
          </w:p>
        </w:tc>
      </w:tr>
      <w:tr>
        <w:tc>
          <w:tcPr>
            <w:tcW w:type="dxa" w:w="2232"/>
            <w:shd w:fill="FFFFFF"/>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安全降级</w:t>
            </w:r>
          </w:p>
        </w:tc>
        <w:tc>
          <w:tcPr>
            <w:tcW w:type="dxa" w:w="1800"/>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第5页 第16页及备份</w:t>
            </w:r>
          </w:p>
        </w:tc>
        <w:tc>
          <w:tcPr>
            <w:tcW w:type="dxa" w:w="1296"/>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部分符合</w:t>
            </w:r>
          </w:p>
        </w:tc>
        <w:tc>
          <w:tcPr>
            <w:tcW w:type="dxa" w:w="4608"/>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建议提升为主讲页并展示故障注入证据</w:t>
            </w:r>
          </w:p>
        </w:tc>
      </w:tr>
      <w:tr>
        <w:tc>
          <w:tcPr>
            <w:tcW w:type="dxa" w:w="2232"/>
            <w:shd w:fill="EAF2F8"/>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实际场景演示</w:t>
            </w:r>
          </w:p>
        </w:tc>
        <w:tc>
          <w:tcPr>
            <w:tcW w:type="dxa" w:w="1800"/>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第16页</w:t>
            </w:r>
          </w:p>
        </w:tc>
        <w:tc>
          <w:tcPr>
            <w:tcW w:type="dxa" w:w="1296"/>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符合</w:t>
            </w:r>
          </w:p>
        </w:tc>
        <w:tc>
          <w:tcPr>
            <w:tcW w:type="dxa" w:w="4608"/>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明确场景地理依据、数据性质和全过程指标叠加</w:t>
            </w:r>
          </w:p>
        </w:tc>
      </w:tr>
      <w:tr>
        <w:tc>
          <w:tcPr>
            <w:tcW w:type="dxa" w:w="2232"/>
            <w:shd w:fill="FFFFFF"/>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创新标准化团队</w:t>
            </w:r>
          </w:p>
        </w:tc>
        <w:tc>
          <w:tcPr>
            <w:tcW w:type="dxa" w:w="1800"/>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第17页</w:t>
            </w:r>
          </w:p>
        </w:tc>
        <w:tc>
          <w:tcPr>
            <w:tcW w:type="dxa" w:w="1296"/>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符合</w:t>
            </w:r>
          </w:p>
        </w:tc>
        <w:tc>
          <w:tcPr>
            <w:tcW w:type="dxa" w:w="4608"/>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团队分工简化，突出三项可验证创新</w:t>
            </w:r>
          </w:p>
        </w:tc>
      </w:tr>
    </w:tbl>
    <w:p>
      <w:pPr>
        <w:spacing w:after="0"/>
      </w:pPr>
    </w:p>
    <w:p>
      <w:pPr>
        <w:pStyle w:val="Heading1"/>
      </w:pPr>
      <w:r>
        <w:rPr>
          <w:rFonts w:ascii="Microsoft YaHei" w:hAnsi="Microsoft YaHei" w:eastAsia="Microsoft YaHei"/>
          <w:color w:val="000000"/>
        </w:rPr>
        <w:t>三 必须优先修正的问题</w:t>
      </w:r>
    </w:p>
    <w:p>
      <w:pPr>
        <w:pStyle w:val="Heading2"/>
        <w:keepNext/>
      </w:pPr>
      <w:r>
        <w:rPr>
          <w:rFonts w:ascii="Microsoft YaHei" w:hAnsi="Microsoft YaHei" w:eastAsia="Microsoft YaHei"/>
          <w:color w:val="000000"/>
        </w:rPr>
        <w:t>1 统一MAPPO观测维度</w:t>
      </w:r>
    </w:p>
    <w:p>
      <w:r>
        <w:rPr>
          <w:rFonts w:ascii="Microsoft YaHei" w:hAnsi="Microsoft YaHei" w:eastAsia="Microsoft YaHei"/>
          <w:color w:val="000000"/>
        </w:rPr>
        <w:t>大纲备份页写18维观测，实验评估报告写31维观测输入和2个动作logits输出。答辩前应以最终权重和推理接口为准统一所有材料，并在备份页列出31维字段构成；如果18维属于旧模型，应明确标注为历史版本，不再混用。</w:t>
      </w:r>
    </w:p>
    <w:p>
      <w:pPr>
        <w:pStyle w:val="Heading2"/>
        <w:keepNext/>
      </w:pPr>
      <w:r>
        <w:rPr>
          <w:rFonts w:ascii="Microsoft YaHei" w:hAnsi="Microsoft YaHei" w:eastAsia="Microsoft YaHei"/>
          <w:color w:val="000000"/>
        </w:rPr>
        <w:t>2 修正吞吐量口径</w:t>
      </w:r>
    </w:p>
    <w:p>
      <w:r>
        <w:rPr>
          <w:rFonts w:ascii="Microsoft YaHei" w:hAnsi="Microsoft YaHei" w:eastAsia="Microsoft YaHei"/>
          <w:color w:val="000000"/>
        </w:rPr>
        <w:t>第13页以“在网车辆”支持吞吐判断不够严谨。在网车辆多既可能表示承载更多，也可能表示车辆滞留。主图应优先采用完成车辆数、到达车辆数、完成率或单位时间通过量，并同时展示平均旅行时间、平均等待和P95等待。缺少这些数据时，不直接写“SCOOT吞吐高”。</w:t>
      </w:r>
    </w:p>
    <w:p>
      <w:pPr>
        <w:pStyle w:val="Heading2"/>
        <w:keepNext/>
      </w:pPr>
      <w:r>
        <w:rPr>
          <w:rFonts w:ascii="Microsoft YaHei" w:hAnsi="Microsoft YaHei" w:eastAsia="Microsoft YaHei"/>
          <w:color w:val="000000"/>
        </w:rPr>
        <w:t>3 限定百分比结论的适用条件</w:t>
      </w:r>
    </w:p>
    <w:p>
      <w:r>
        <w:rPr>
          <w:rFonts w:ascii="Microsoft YaHei" w:hAnsi="Microsoft YaHei" w:eastAsia="Microsoft YaHei"/>
          <w:color w:val="000000"/>
        </w:rPr>
        <w:t>“吞吐提升约60%”应改为具体实验条件下的事实，例如：在约314辆投放的临界负荷实验中，到达车辆数由8辆提高至13辆，提升62.5%。热点速度提升也应注明场景、统计窗口和仿真口径，不能外推为真实道路普遍收益。</w:t>
      </w:r>
    </w:p>
    <w:p>
      <w:pPr>
        <w:pStyle w:val="Heading2"/>
        <w:keepNext/>
      </w:pPr>
      <w:r>
        <w:rPr>
          <w:rFonts w:ascii="Microsoft YaHei" w:hAnsi="Microsoft YaHei" w:eastAsia="Microsoft YaHei"/>
          <w:color w:val="000000"/>
        </w:rPr>
        <w:t>4 明确模型实际部署状态</w:t>
      </w:r>
    </w:p>
    <w:p>
      <w:r>
        <w:rPr>
          <w:rFonts w:ascii="Microsoft YaHei" w:hAnsi="Microsoft YaHei" w:eastAsia="Microsoft YaHei"/>
          <w:color w:val="000000"/>
        </w:rPr>
        <w:t>平台当前默认加载PyTorch权重，ONNX FP32和INT8是已经完成转换、一致性与CPU推理验证的部署形态。正文应明确这一边界，避免“系统已经全面使用INT8在线控制”的误读。FP32单次延迟与INT8批量64延迟测试口径不同，不应直接绘制为同条件速度对比。</w:t>
      </w:r>
    </w:p>
    <w:p>
      <w:pPr>
        <w:pStyle w:val="Heading2"/>
        <w:keepNext/>
      </w:pPr>
      <w:r>
        <w:rPr>
          <w:rFonts w:ascii="Microsoft YaHei" w:hAnsi="Microsoft YaHei" w:eastAsia="Microsoft YaHei"/>
          <w:color w:val="000000"/>
        </w:rPr>
        <w:t>5 补足仿真环境构建方法</w:t>
      </w:r>
    </w:p>
    <w:p>
      <w:r>
        <w:rPr>
          <w:rFonts w:ascii="Microsoft YaHei" w:hAnsi="Microsoft YaHei" w:eastAsia="Microsoft YaHei"/>
          <w:color w:val="000000"/>
        </w:rPr>
        <w:t>赛题要求的不只是20路口结果，还包括构建方法。第6页应展示“地图或规划资料—路网转换与清洗—路口和车道配置—信号相位配置—交通需求生成—扰动注入—SUMO校验”的过程，并区分实际空间结构、校准数据和合成车流。</w:t>
      </w:r>
    </w:p>
    <w:p>
      <w:pPr>
        <w:pStyle w:val="Heading2"/>
        <w:keepNext/>
      </w:pPr>
      <w:r>
        <w:rPr>
          <w:rFonts w:ascii="Microsoft YaHei" w:hAnsi="Microsoft YaHei" w:eastAsia="Microsoft YaHei"/>
          <w:color w:val="000000"/>
        </w:rPr>
        <w:t>6 加强STGCN证据</w:t>
      </w:r>
    </w:p>
    <w:p>
      <w:r>
        <w:rPr>
          <w:rFonts w:ascii="Microsoft YaHei" w:hAnsi="Microsoft YaHei" w:eastAsia="Microsoft YaHei"/>
          <w:color w:val="000000"/>
        </w:rPr>
        <w:t>当前AI核心页面主要解释MAPPO，STGCN只出现在架构和全生命周期概述中。若把预测驱动控制列为创新，应给出输入字段、历史窗口、预测目标、评价指标、预测结果进入Cloud或Edge的方式，以及关闭预测模块后的消融结果。证据不足时应弱化完成性表述。</w:t>
      </w:r>
    </w:p>
    <w:p>
      <w:pPr>
        <w:pStyle w:val="Heading2"/>
        <w:keepNext/>
      </w:pPr>
      <w:r>
        <w:rPr>
          <w:rFonts w:ascii="Microsoft YaHei" w:hAnsi="Microsoft YaHei" w:eastAsia="Microsoft YaHei"/>
          <w:color w:val="000000"/>
        </w:rPr>
        <w:t>7 将安全降级提升为主讲内容</w:t>
      </w:r>
    </w:p>
    <w:p>
      <w:r>
        <w:rPr>
          <w:rFonts w:ascii="Microsoft YaHei" w:hAnsi="Microsoft YaHei" w:eastAsia="Microsoft YaHei"/>
          <w:color w:val="000000"/>
        </w:rPr>
        <w:t>安全降级是系统实现与工程化评分的重要证据，不宜只散落在数据流、演示和备份页。建议将原第15页Webster典型路口验证移至备份页，用主讲页展示权重缺失、推理超时、非法动作、通信异常及MAPPO到SCOOT再到Fixed-Time的故障注入日志。</w:t>
      </w:r>
    </w:p>
    <w:p>
      <w:pPr>
        <w:pStyle w:val="Heading2"/>
        <w:keepNext/>
      </w:pPr>
      <w:r>
        <w:rPr>
          <w:rFonts w:ascii="Microsoft YaHei" w:hAnsi="Microsoft YaHei" w:eastAsia="Microsoft YaHei"/>
          <w:color w:val="000000"/>
        </w:rPr>
        <w:t>8 减少算法数量带来的叙事分散</w:t>
      </w:r>
    </w:p>
    <w:p>
      <w:r>
        <w:rPr>
          <w:rFonts w:ascii="Microsoft YaHei" w:hAnsi="Microsoft YaHei" w:eastAsia="Microsoft YaHei"/>
          <w:color w:val="000000"/>
        </w:rPr>
        <w:t>第7页把信号控制、传统配时和动态路径并列为三套交通控制方案，容易混淆控制层级。正文建议只保留传统基线、AI核心和完整协同方案三个层次。Dijkstra和K短路应说明为由预测和区域策略更新道路代价后的经典路径执行算法，不包装成AI模型。</w:t>
      </w:r>
    </w:p>
    <w:p>
      <w:pPr>
        <w:pStyle w:val="Heading1"/>
        <w:pageBreakBefore/>
      </w:pPr>
      <w:r>
        <w:rPr>
          <w:rFonts w:ascii="Microsoft YaHei" w:hAnsi="Microsoft YaHei" w:eastAsia="Microsoft YaHei"/>
          <w:color w:val="000000"/>
        </w:rPr>
        <w:t>四 逐页修改建议</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792"/>
            <w:shd w:fill="17365D"/>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原页</w:t>
            </w:r>
          </w:p>
        </w:tc>
        <w:tc>
          <w:tcPr>
            <w:tcW w:type="dxa" w:w="2376"/>
            <w:shd w:fill="17365D"/>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保留内容</w:t>
            </w:r>
          </w:p>
        </w:tc>
        <w:tc>
          <w:tcPr>
            <w:tcW w:type="dxa" w:w="6480"/>
            <w:shd w:fill="17365D"/>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建议修改</w:t>
            </w:r>
          </w:p>
        </w:tc>
      </w:tr>
      <w:tr>
        <w:tc>
          <w:tcPr>
            <w:tcW w:type="dxa" w:w="792"/>
            <w:shd w:fill="FFFFFF"/>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1</w:t>
            </w:r>
          </w:p>
        </w:tc>
        <w:tc>
          <w:tcPr>
            <w:tcW w:type="dxa" w:w="2376"/>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项目与赛道信息</w:t>
            </w:r>
          </w:p>
        </w:tc>
        <w:tc>
          <w:tcPr>
            <w:tcW w:type="dxa" w:w="6480"/>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保持极简，补齐团队、学校、日期和正式项目名称</w:t>
            </w:r>
          </w:p>
        </w:tc>
      </w:tr>
      <w:tr>
        <w:tc>
          <w:tcPr>
            <w:tcW w:type="dxa" w:w="792"/>
            <w:shd w:fill="EAF2F8"/>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2</w:t>
            </w:r>
          </w:p>
        </w:tc>
        <w:tc>
          <w:tcPr>
            <w:tcW w:type="dxa" w:w="2376"/>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雄安问题</w:t>
            </w:r>
          </w:p>
        </w:tc>
        <w:tc>
          <w:tcPr>
            <w:tcW w:type="dxa" w:w="6480"/>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具体数字必须有可靠出处；突出多路口耦合和拥堵传播</w:t>
            </w:r>
          </w:p>
        </w:tc>
      </w:tr>
      <w:tr>
        <w:tc>
          <w:tcPr>
            <w:tcW w:type="dxa" w:w="792"/>
            <w:shd w:fill="FFFFFF"/>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3</w:t>
            </w:r>
          </w:p>
        </w:tc>
        <w:tc>
          <w:tcPr>
            <w:tcW w:type="dxa" w:w="2376"/>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赛题目标</w:t>
            </w:r>
          </w:p>
        </w:tc>
        <w:tc>
          <w:tcPr>
            <w:tcW w:type="dxa" w:w="6480"/>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增加三个结论型成果，让评委尽早看到20路口、CPU部署验证和热点结果</w:t>
            </w:r>
          </w:p>
        </w:tc>
      </w:tr>
      <w:tr>
        <w:tc>
          <w:tcPr>
            <w:tcW w:type="dxa" w:w="792"/>
            <w:shd w:fill="EAF2F8"/>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4至5</w:t>
            </w:r>
          </w:p>
        </w:tc>
        <w:tc>
          <w:tcPr>
            <w:tcW w:type="dxa" w:w="2376"/>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架构和闭环</w:t>
            </w:r>
          </w:p>
        </w:tc>
        <w:tc>
          <w:tcPr>
            <w:tcW w:type="dxa" w:w="6480"/>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适当合并，明确数据、预测、决策、执行、反馈及降级状态</w:t>
            </w:r>
          </w:p>
        </w:tc>
      </w:tr>
      <w:tr>
        <w:tc>
          <w:tcPr>
            <w:tcW w:type="dxa" w:w="792"/>
            <w:shd w:fill="FFFFFF"/>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6</w:t>
            </w:r>
          </w:p>
        </w:tc>
        <w:tc>
          <w:tcPr>
            <w:tcW w:type="dxa" w:w="2376"/>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20路口环境</w:t>
            </w:r>
          </w:p>
        </w:tc>
        <w:tc>
          <w:tcPr>
            <w:tcW w:type="dxa" w:w="6480"/>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增加构建方法、数据来源、真实与合成边界及扰动注入</w:t>
            </w:r>
          </w:p>
        </w:tc>
      </w:tr>
      <w:tr>
        <w:tc>
          <w:tcPr>
            <w:tcW w:type="dxa" w:w="792"/>
            <w:shd w:fill="EAF2F8"/>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7</w:t>
            </w:r>
          </w:p>
        </w:tc>
        <w:tc>
          <w:tcPr>
            <w:tcW w:type="dxa" w:w="2376"/>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方案对比</w:t>
            </w:r>
          </w:p>
        </w:tc>
        <w:tc>
          <w:tcPr>
            <w:tcW w:type="dxa" w:w="6480"/>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改为Fixed-Time或SCOOT基线、MAPPO或STGCN核心、Proposed完整闭环</w:t>
            </w:r>
          </w:p>
        </w:tc>
      </w:tr>
      <w:tr>
        <w:tc>
          <w:tcPr>
            <w:tcW w:type="dxa" w:w="792"/>
            <w:shd w:fill="FFFFFF"/>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8</w:t>
            </w:r>
          </w:p>
        </w:tc>
        <w:tc>
          <w:tcPr>
            <w:tcW w:type="dxa" w:w="2376"/>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MAPPO原理</w:t>
            </w:r>
          </w:p>
        </w:tc>
        <w:tc>
          <w:tcPr>
            <w:tcW w:type="dxa" w:w="6480"/>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补充最终观测维度、动作约束和安全变灯；与STGCN职责对照</w:t>
            </w:r>
          </w:p>
        </w:tc>
      </w:tr>
      <w:tr>
        <w:tc>
          <w:tcPr>
            <w:tcW w:type="dxa" w:w="792"/>
            <w:shd w:fill="EAF2F8"/>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9</w:t>
            </w:r>
          </w:p>
        </w:tc>
        <w:tc>
          <w:tcPr>
            <w:tcW w:type="dxa" w:w="2376"/>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模型生命周期</w:t>
            </w:r>
          </w:p>
        </w:tc>
        <w:tc>
          <w:tcPr>
            <w:tcW w:type="dxa" w:w="6480"/>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从概念清单改为四阶段证据矩阵，标出脚本、权重、日志和结果</w:t>
            </w:r>
          </w:p>
        </w:tc>
      </w:tr>
      <w:tr>
        <w:tc>
          <w:tcPr>
            <w:tcW w:type="dxa" w:w="792"/>
            <w:shd w:fill="FFFFFF"/>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10</w:t>
            </w:r>
          </w:p>
        </w:tc>
        <w:tc>
          <w:tcPr>
            <w:tcW w:type="dxa" w:w="2376"/>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轻量化结果</w:t>
            </w:r>
          </w:p>
        </w:tc>
        <w:tc>
          <w:tcPr>
            <w:tcW w:type="dxa" w:w="6480"/>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说明模型体积、误差、一致率、测试硬件和延迟口径；强调部署边界</w:t>
            </w:r>
          </w:p>
        </w:tc>
      </w:tr>
      <w:tr>
        <w:tc>
          <w:tcPr>
            <w:tcW w:type="dxa" w:w="792"/>
            <w:shd w:fill="EAF2F8"/>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11</w:t>
            </w:r>
          </w:p>
        </w:tc>
        <w:tc>
          <w:tcPr>
            <w:tcW w:type="dxa" w:w="2376"/>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工程实现</w:t>
            </w:r>
          </w:p>
        </w:tc>
        <w:tc>
          <w:tcPr>
            <w:tcW w:type="dxa" w:w="6480"/>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增加一键启动、Docker、接口、连续运行、报告导出和资源释放证据</w:t>
            </w:r>
          </w:p>
        </w:tc>
      </w:tr>
      <w:tr>
        <w:tc>
          <w:tcPr>
            <w:tcW w:type="dxa" w:w="792"/>
            <w:shd w:fill="FFFFFF"/>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12</w:t>
            </w:r>
          </w:p>
        </w:tc>
        <w:tc>
          <w:tcPr>
            <w:tcW w:type="dxa" w:w="2376"/>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实验设计</w:t>
            </w:r>
          </w:p>
        </w:tc>
        <w:tc>
          <w:tcPr>
            <w:tcW w:type="dxa" w:w="6480"/>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列出commit、模型版本、seed、warmup、控制周期、采样窗口和原始数据</w:t>
            </w:r>
          </w:p>
        </w:tc>
      </w:tr>
      <w:tr>
        <w:tc>
          <w:tcPr>
            <w:tcW w:type="dxa" w:w="792"/>
            <w:shd w:fill="EAF2F8"/>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13</w:t>
            </w:r>
          </w:p>
        </w:tc>
        <w:tc>
          <w:tcPr>
            <w:tcW w:type="dxa" w:w="2376"/>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标准横评</w:t>
            </w:r>
          </w:p>
        </w:tc>
        <w:tc>
          <w:tcPr>
            <w:tcW w:type="dxa" w:w="6480"/>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删除在网车辆等同吞吐的表达，换用完成量、等待、速度和公平性指标</w:t>
            </w:r>
          </w:p>
        </w:tc>
      </w:tr>
      <w:tr>
        <w:tc>
          <w:tcPr>
            <w:tcW w:type="dxa" w:w="792"/>
            <w:shd w:fill="FFFFFF"/>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14</w:t>
            </w:r>
          </w:p>
        </w:tc>
        <w:tc>
          <w:tcPr>
            <w:tcW w:type="dxa" w:w="2376"/>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热点与边界</w:t>
            </w:r>
          </w:p>
        </w:tc>
        <w:tc>
          <w:tcPr>
            <w:tcW w:type="dxa" w:w="6480"/>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把百分比绑定到具体负荷、场景和时间窗口，并说明适用边界</w:t>
            </w:r>
          </w:p>
        </w:tc>
      </w:tr>
      <w:tr>
        <w:tc>
          <w:tcPr>
            <w:tcW w:type="dxa" w:w="792"/>
            <w:shd w:fill="EAF2F8"/>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15</w:t>
            </w:r>
          </w:p>
        </w:tc>
        <w:tc>
          <w:tcPr>
            <w:tcW w:type="dxa" w:w="2376"/>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Webster验证</w:t>
            </w:r>
          </w:p>
        </w:tc>
        <w:tc>
          <w:tcPr>
            <w:tcW w:type="dxa" w:w="6480"/>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移至备份页；主讲页改为故障注入与安全降级</w:t>
            </w:r>
          </w:p>
        </w:tc>
      </w:tr>
      <w:tr>
        <w:tc>
          <w:tcPr>
            <w:tcW w:type="dxa" w:w="792"/>
            <w:shd w:fill="FFFFFF"/>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16</w:t>
            </w:r>
          </w:p>
        </w:tc>
        <w:tc>
          <w:tcPr>
            <w:tcW w:type="dxa" w:w="2376"/>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现场演示</w:t>
            </w:r>
          </w:p>
        </w:tc>
        <w:tc>
          <w:tcPr>
            <w:tcW w:type="dxa" w:w="6480"/>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按场景导入、模型部署、实时控制、基线对比、异常降级组织时间轴</w:t>
            </w:r>
          </w:p>
        </w:tc>
      </w:tr>
      <w:tr>
        <w:tc>
          <w:tcPr>
            <w:tcW w:type="dxa" w:w="792"/>
            <w:shd w:fill="EAF2F8"/>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17</w:t>
            </w:r>
          </w:p>
        </w:tc>
        <w:tc>
          <w:tcPr>
            <w:tcW w:type="dxa" w:w="2376"/>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创新与团队</w:t>
            </w:r>
          </w:p>
        </w:tc>
        <w:tc>
          <w:tcPr>
            <w:tcW w:type="dxa" w:w="6480"/>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压缩为三项创新、推广价值和团队分工，结尾重申量化成果</w:t>
            </w:r>
          </w:p>
        </w:tc>
      </w:tr>
    </w:tbl>
    <w:p>
      <w:pPr>
        <w:spacing w:after="0"/>
      </w:pPr>
    </w:p>
    <w:p>
      <w:pPr>
        <w:pStyle w:val="Heading1"/>
      </w:pPr>
      <w:r>
        <w:rPr>
          <w:rFonts w:ascii="Microsoft YaHei" w:hAnsi="Microsoft YaHei" w:eastAsia="Microsoft YaHei"/>
          <w:color w:val="000000"/>
        </w:rPr>
        <w:t>五 推荐的15页主讲结构</w:t>
      </w:r>
    </w:p>
    <w:p>
      <w:r>
        <w:rPr>
          <w:rFonts w:ascii="Microsoft YaHei" w:hAnsi="Microsoft YaHei" w:eastAsia="Microsoft YaHei"/>
          <w:color w:val="000000"/>
        </w:rPr>
        <w:t>15页结构适合8至10分钟答辩，平均每页约30至40秒。模型细节、接口字段、Webster验证和完整实验表格放入备份页。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792"/>
            <w:shd w:fill="17365D"/>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页码</w:t>
            </w:r>
          </w:p>
        </w:tc>
        <w:tc>
          <w:tcPr>
            <w:tcW w:type="dxa" w:w="3096"/>
            <w:shd w:fill="17365D"/>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页面主题</w:t>
            </w:r>
          </w:p>
        </w:tc>
        <w:tc>
          <w:tcPr>
            <w:tcW w:type="dxa" w:w="5760"/>
            <w:shd w:fill="17365D"/>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核心任务</w:t>
            </w:r>
          </w:p>
        </w:tc>
      </w:tr>
      <w:tr>
        <w:tc>
          <w:tcPr>
            <w:tcW w:type="dxa" w:w="792"/>
            <w:shd w:fill="FFFFFF"/>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1</w:t>
            </w:r>
          </w:p>
        </w:tc>
        <w:tc>
          <w:tcPr>
            <w:tcW w:type="dxa" w:w="3096"/>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项目封面</w:t>
            </w:r>
          </w:p>
        </w:tc>
        <w:tc>
          <w:tcPr>
            <w:tcW w:type="dxa" w:w="5760"/>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建立项目、赛题、团队和学校识别</w:t>
            </w:r>
          </w:p>
        </w:tc>
      </w:tr>
      <w:tr>
        <w:tc>
          <w:tcPr>
            <w:tcW w:type="dxa" w:w="792"/>
            <w:shd w:fill="EAF2F8"/>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2</w:t>
            </w:r>
          </w:p>
        </w:tc>
        <w:tc>
          <w:tcPr>
            <w:tcW w:type="dxa" w:w="3096"/>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雄安问题与赛题需求</w:t>
            </w:r>
          </w:p>
        </w:tc>
        <w:tc>
          <w:tcPr>
            <w:tcW w:type="dxa" w:w="5760"/>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说明为何需要区域协同和轻量化AI</w:t>
            </w:r>
          </w:p>
        </w:tc>
      </w:tr>
      <w:tr>
        <w:tc>
          <w:tcPr>
            <w:tcW w:type="dxa" w:w="792"/>
            <w:shd w:fill="FFFFFF"/>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3</w:t>
            </w:r>
          </w:p>
        </w:tc>
        <w:tc>
          <w:tcPr>
            <w:tcW w:type="dxa" w:w="3096"/>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项目方案与核心成果</w:t>
            </w:r>
          </w:p>
        </w:tc>
        <w:tc>
          <w:tcPr>
            <w:tcW w:type="dxa" w:w="5760"/>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用一句话闭环和三项量化成果先给结论</w:t>
            </w:r>
          </w:p>
        </w:tc>
      </w:tr>
      <w:tr>
        <w:tc>
          <w:tcPr>
            <w:tcW w:type="dxa" w:w="792"/>
            <w:shd w:fill="EAF2F8"/>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4</w:t>
            </w:r>
          </w:p>
        </w:tc>
        <w:tc>
          <w:tcPr>
            <w:tcW w:type="dxa" w:w="3096"/>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车路云架构与控制闭环</w:t>
            </w:r>
          </w:p>
        </w:tc>
        <w:tc>
          <w:tcPr>
            <w:tcW w:type="dxa" w:w="5760"/>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呈现感知、预测、协调、执行、反馈</w:t>
            </w:r>
          </w:p>
        </w:tc>
      </w:tr>
      <w:tr>
        <w:tc>
          <w:tcPr>
            <w:tcW w:type="dxa" w:w="792"/>
            <w:shd w:fill="FFFFFF"/>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5</w:t>
            </w:r>
          </w:p>
        </w:tc>
        <w:tc>
          <w:tcPr>
            <w:tcW w:type="dxa" w:w="3096"/>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20路口仿真环境</w:t>
            </w:r>
          </w:p>
        </w:tc>
        <w:tc>
          <w:tcPr>
            <w:tcW w:type="dxa" w:w="5760"/>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证明构建方法、规模、配置与事件注入</w:t>
            </w:r>
          </w:p>
        </w:tc>
      </w:tr>
      <w:tr>
        <w:tc>
          <w:tcPr>
            <w:tcW w:type="dxa" w:w="792"/>
            <w:shd w:fill="EAF2F8"/>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6</w:t>
            </w:r>
          </w:p>
        </w:tc>
        <w:tc>
          <w:tcPr>
            <w:tcW w:type="dxa" w:w="3096"/>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STGCN与MAPPO分工</w:t>
            </w:r>
          </w:p>
        </w:tc>
        <w:tc>
          <w:tcPr>
            <w:tcW w:type="dxa" w:w="5760"/>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说明预测模型和控制模型如何配合</w:t>
            </w:r>
          </w:p>
        </w:tc>
      </w:tr>
      <w:tr>
        <w:tc>
          <w:tcPr>
            <w:tcW w:type="dxa" w:w="792"/>
            <w:shd w:fill="FFFFFF"/>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7</w:t>
            </w:r>
          </w:p>
        </w:tc>
        <w:tc>
          <w:tcPr>
            <w:tcW w:type="dxa" w:w="3096"/>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数据处理训练与选择</w:t>
            </w:r>
          </w:p>
        </w:tc>
        <w:tc>
          <w:tcPr>
            <w:tcW w:type="dxa" w:w="5760"/>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展示数据、特征、划分、训练、曲线和模型选择</w:t>
            </w:r>
          </w:p>
        </w:tc>
      </w:tr>
      <w:tr>
        <w:tc>
          <w:tcPr>
            <w:tcW w:type="dxa" w:w="792"/>
            <w:shd w:fill="EAF2F8"/>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8</w:t>
            </w:r>
          </w:p>
        </w:tc>
        <w:tc>
          <w:tcPr>
            <w:tcW w:type="dxa" w:w="3096"/>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模型转换与CPU部署</w:t>
            </w:r>
          </w:p>
        </w:tc>
        <w:tc>
          <w:tcPr>
            <w:tcW w:type="dxa" w:w="5760"/>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展示PyTorch到ONNX FP32和INT8的证据及边界</w:t>
            </w:r>
          </w:p>
        </w:tc>
      </w:tr>
      <w:tr>
        <w:tc>
          <w:tcPr>
            <w:tcW w:type="dxa" w:w="792"/>
            <w:shd w:fill="FFFFFF"/>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9</w:t>
            </w:r>
          </w:p>
        </w:tc>
        <w:tc>
          <w:tcPr>
            <w:tcW w:type="dxa" w:w="3096"/>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安全控制与异常降级</w:t>
            </w:r>
          </w:p>
        </w:tc>
        <w:tc>
          <w:tcPr>
            <w:tcW w:type="dxa" w:w="5760"/>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展示安全相位、故障注入和三级降级</w:t>
            </w:r>
          </w:p>
        </w:tc>
      </w:tr>
      <w:tr>
        <w:tc>
          <w:tcPr>
            <w:tcW w:type="dxa" w:w="792"/>
            <w:shd w:fill="EAF2F8"/>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10</w:t>
            </w:r>
          </w:p>
        </w:tc>
        <w:tc>
          <w:tcPr>
            <w:tcW w:type="dxa" w:w="3096"/>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系统实现与现场运行</w:t>
            </w:r>
          </w:p>
        </w:tc>
        <w:tc>
          <w:tcPr>
            <w:tcW w:type="dxa" w:w="5760"/>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展示前后端、SUMO、接口、一键启动和实时界面</w:t>
            </w:r>
          </w:p>
        </w:tc>
      </w:tr>
      <w:tr>
        <w:tc>
          <w:tcPr>
            <w:tcW w:type="dxa" w:w="792"/>
            <w:shd w:fill="FFFFFF"/>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11</w:t>
            </w:r>
          </w:p>
        </w:tc>
        <w:tc>
          <w:tcPr>
            <w:tcW w:type="dxa" w:w="3096"/>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实验设计与复现条件</w:t>
            </w:r>
          </w:p>
        </w:tc>
        <w:tc>
          <w:tcPr>
            <w:tcW w:type="dxa" w:w="5760"/>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说明公平对照、seed、版本、窗口和指标</w:t>
            </w:r>
          </w:p>
        </w:tc>
      </w:tr>
      <w:tr>
        <w:tc>
          <w:tcPr>
            <w:tcW w:type="dxa" w:w="792"/>
            <w:shd w:fill="EAF2F8"/>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12</w:t>
            </w:r>
          </w:p>
        </w:tc>
        <w:tc>
          <w:tcPr>
            <w:tcW w:type="dxa" w:w="3096"/>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标准车流横向对比</w:t>
            </w:r>
          </w:p>
        </w:tc>
        <w:tc>
          <w:tcPr>
            <w:tcW w:type="dxa" w:w="5760"/>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比较Fixed-Time、SCOOT和MAPPO的多指标结果</w:t>
            </w:r>
          </w:p>
        </w:tc>
      </w:tr>
      <w:tr>
        <w:tc>
          <w:tcPr>
            <w:tcW w:type="dxa" w:w="792"/>
            <w:shd w:fill="FFFFFF"/>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13</w:t>
            </w:r>
          </w:p>
        </w:tc>
        <w:tc>
          <w:tcPr>
            <w:tcW w:type="dxa" w:w="3096"/>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热点场景与算法边界</w:t>
            </w:r>
          </w:p>
        </w:tc>
        <w:tc>
          <w:tcPr>
            <w:tcW w:type="dxa" w:w="5760"/>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说明临界负荷收益、超饱和边界和适用范围</w:t>
            </w:r>
          </w:p>
        </w:tc>
      </w:tr>
      <w:tr>
        <w:tc>
          <w:tcPr>
            <w:tcW w:type="dxa" w:w="792"/>
            <w:shd w:fill="EAF2F8"/>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14</w:t>
            </w:r>
          </w:p>
        </w:tc>
        <w:tc>
          <w:tcPr>
            <w:tcW w:type="dxa" w:w="3096"/>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创新标准化与推广价值</w:t>
            </w:r>
          </w:p>
        </w:tc>
        <w:tc>
          <w:tcPr>
            <w:tcW w:type="dxa" w:w="5760"/>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提炼三项创新和基准测试价值</w:t>
            </w:r>
          </w:p>
        </w:tc>
      </w:tr>
      <w:tr>
        <w:tc>
          <w:tcPr>
            <w:tcW w:type="dxa" w:w="792"/>
            <w:shd w:fill="FFFFFF"/>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15</w:t>
            </w:r>
          </w:p>
        </w:tc>
        <w:tc>
          <w:tcPr>
            <w:tcW w:type="dxa" w:w="3096"/>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总结与团队分工</w:t>
            </w:r>
          </w:p>
        </w:tc>
        <w:tc>
          <w:tcPr>
            <w:tcW w:type="dxa" w:w="5760"/>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重申完成度、量化结果和成员责任</w:t>
            </w:r>
          </w:p>
        </w:tc>
      </w:tr>
    </w:tbl>
    <w:p>
      <w:pPr>
        <w:spacing w:after="0"/>
      </w:pPr>
    </w:p>
    <w:p>
      <w:pPr>
        <w:pStyle w:val="Heading1"/>
        <w:pageBreakBefore/>
      </w:pPr>
      <w:r>
        <w:rPr>
          <w:rFonts w:ascii="Microsoft YaHei" w:hAnsi="Microsoft YaHei" w:eastAsia="Microsoft YaHei"/>
          <w:color w:val="000000"/>
        </w:rPr>
        <w:t>六 答辩前证据检查表</w:t>
      </w:r>
    </w:p>
    <w:p>
      <w:pPr>
        <w:pStyle w:val="ListBullet"/>
        <w:spacing w:after="60"/>
      </w:pPr>
      <w:r>
        <w:rPr>
          <w:rFonts w:ascii="Microsoft YaHei" w:hAnsi="Microsoft YaHei" w:eastAsia="Microsoft YaHei"/>
          <w:color w:val="000000"/>
        </w:rPr>
        <w:t>□ 最终MAPPO观测维度、动作输出和权重版本已经统一。</w:t>
      </w:r>
    </w:p>
    <w:p>
      <w:pPr>
        <w:pStyle w:val="ListBullet"/>
        <w:spacing w:after="60"/>
      </w:pPr>
      <w:r>
        <w:rPr>
          <w:rFonts w:ascii="Microsoft YaHei" w:hAnsi="Microsoft YaHei" w:eastAsia="Microsoft YaHei"/>
          <w:color w:val="000000"/>
        </w:rPr>
        <w:t>□ 路网来源、构建过程以及真实、校准、合成数据边界已经标注。</w:t>
      </w:r>
    </w:p>
    <w:p>
      <w:pPr>
        <w:pStyle w:val="ListBullet"/>
        <w:spacing w:after="60"/>
      </w:pPr>
      <w:r>
        <w:rPr>
          <w:rFonts w:ascii="Microsoft YaHei" w:hAnsi="Microsoft YaHei" w:eastAsia="Microsoft YaHei"/>
          <w:color w:val="000000"/>
        </w:rPr>
        <w:t>□ STGCN输入、输出、评价指标和进入控制链路的证据已经准备。</w:t>
      </w:r>
    </w:p>
    <w:p>
      <w:pPr>
        <w:pStyle w:val="ListBullet"/>
        <w:spacing w:after="60"/>
      </w:pPr>
      <w:r>
        <w:rPr>
          <w:rFonts w:ascii="Microsoft YaHei" w:hAnsi="Microsoft YaHei" w:eastAsia="Microsoft YaHei"/>
          <w:color w:val="000000"/>
        </w:rPr>
        <w:t>□ 训练配置、随机种子、训练曲线、最终权重和模型选择理由可以现场打开。</w:t>
      </w:r>
    </w:p>
    <w:p>
      <w:pPr>
        <w:pStyle w:val="ListBullet"/>
        <w:spacing w:after="60"/>
      </w:pPr>
      <w:r>
        <w:rPr>
          <w:rFonts w:ascii="Microsoft YaHei" w:hAnsi="Microsoft YaHei" w:eastAsia="Microsoft YaHei"/>
          <w:color w:val="000000"/>
        </w:rPr>
        <w:t>□ ONNX FP32和INT8的文件体积、误差、一致率、硬件环境及延迟口径完整。</w:t>
      </w:r>
    </w:p>
    <w:p>
      <w:pPr>
        <w:pStyle w:val="ListBullet"/>
        <w:spacing w:after="60"/>
      </w:pPr>
      <w:r>
        <w:rPr>
          <w:rFonts w:ascii="Microsoft YaHei" w:hAnsi="Microsoft YaHei" w:eastAsia="Microsoft YaHei"/>
          <w:color w:val="000000"/>
        </w:rPr>
        <w:t>□ PPT明确说明平台默认PyTorch运行与ONNX轻量化部署形态的区别。</w:t>
      </w:r>
    </w:p>
    <w:p>
      <w:pPr>
        <w:pStyle w:val="ListBullet"/>
        <w:spacing w:after="60"/>
      </w:pPr>
      <w:r>
        <w:rPr>
          <w:rFonts w:ascii="Microsoft YaHei" w:hAnsi="Microsoft YaHei" w:eastAsia="Microsoft YaHei"/>
          <w:color w:val="000000"/>
        </w:rPr>
        <w:t>□ 实验横评使用到达数、完成率、吞吐、旅行时间和等待等可解释指标。</w:t>
      </w:r>
    </w:p>
    <w:p>
      <w:pPr>
        <w:pStyle w:val="ListBullet"/>
        <w:spacing w:after="60"/>
      </w:pPr>
      <w:r>
        <w:rPr>
          <w:rFonts w:ascii="Microsoft YaHei" w:hAnsi="Microsoft YaHei" w:eastAsia="Microsoft YaHei"/>
          <w:color w:val="000000"/>
        </w:rPr>
        <w:t>□ 62.5%和50%以上等百分比均绑定具体场景、负荷、窗口和统计口径。</w:t>
      </w:r>
    </w:p>
    <w:p>
      <w:pPr>
        <w:pStyle w:val="ListBullet"/>
        <w:spacing w:after="60"/>
      </w:pPr>
      <w:r>
        <w:rPr>
          <w:rFonts w:ascii="Microsoft YaHei" w:hAnsi="Microsoft YaHei" w:eastAsia="Microsoft YaHei"/>
          <w:color w:val="000000"/>
        </w:rPr>
        <w:t>□ 20路口场景能够连续运行，模型推理确实进入信号控制链路。</w:t>
      </w:r>
    </w:p>
    <w:p>
      <w:pPr>
        <w:pStyle w:val="ListBullet"/>
        <w:spacing w:after="60"/>
      </w:pPr>
      <w:r>
        <w:rPr>
          <w:rFonts w:ascii="Microsoft YaHei" w:hAnsi="Microsoft YaHei" w:eastAsia="Microsoft YaHei"/>
          <w:color w:val="000000"/>
        </w:rPr>
        <w:t>□ 权重缺失、推理超时、非法动作和通信异常至少完成一次故障注入验证。</w:t>
      </w:r>
    </w:p>
    <w:p>
      <w:pPr>
        <w:pStyle w:val="ListBullet"/>
        <w:spacing w:after="60"/>
      </w:pPr>
      <w:r>
        <w:rPr>
          <w:rFonts w:ascii="Microsoft YaHei" w:hAnsi="Microsoft YaHei" w:eastAsia="Microsoft YaHei"/>
          <w:color w:val="000000"/>
        </w:rPr>
        <w:t>□ 5至8分钟演示覆盖场景导入、算法部署、实时管控、效果对比和安全降级。</w:t>
      </w:r>
    </w:p>
    <w:p>
      <w:pPr>
        <w:pStyle w:val="ListBullet"/>
        <w:spacing w:after="60"/>
      </w:pPr>
      <w:r>
        <w:rPr>
          <w:rFonts w:ascii="Microsoft YaHei" w:hAnsi="Microsoft YaHei" w:eastAsia="Microsoft YaHei"/>
          <w:color w:val="000000"/>
        </w:rPr>
        <w:t>□ 所有主讲页均做到一页一个结论，并以图表、截图或日志支撑。</w:t>
      </w:r>
    </w:p>
    <w:p>
      <w:pPr>
        <w:pStyle w:val="Heading1"/>
      </w:pPr>
      <w:r>
        <w:rPr>
          <w:rFonts w:ascii="Microsoft YaHei" w:hAnsi="Microsoft YaHei" w:eastAsia="Microsoft YaHei"/>
          <w:color w:val="000000"/>
        </w:rPr>
        <w:t>七 建议实施顺序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1152"/>
            <w:shd w:fill="17365D"/>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优先级</w:t>
            </w:r>
          </w:p>
        </w:tc>
        <w:tc>
          <w:tcPr>
            <w:tcW w:type="dxa" w:w="3456"/>
            <w:shd w:fill="17365D"/>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工作内容</w:t>
            </w:r>
          </w:p>
        </w:tc>
        <w:tc>
          <w:tcPr>
            <w:tcW w:type="dxa" w:w="5040"/>
            <w:shd w:fill="17365D"/>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完成标准</w:t>
            </w:r>
          </w:p>
        </w:tc>
      </w:tr>
      <w:tr>
        <w:tc>
          <w:tcPr>
            <w:tcW w:type="dxa" w:w="1152"/>
            <w:shd w:fill="FFFFFF"/>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P0</w:t>
            </w:r>
          </w:p>
        </w:tc>
        <w:tc>
          <w:tcPr>
            <w:tcW w:type="dxa" w:w="3456"/>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统一模型接口和数据口径</w:t>
            </w:r>
          </w:p>
        </w:tc>
        <w:tc>
          <w:tcPr>
            <w:tcW w:type="dxa" w:w="5040"/>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18维与31维冲突消失；吞吐和百分比表述可复算</w:t>
            </w:r>
          </w:p>
        </w:tc>
      </w:tr>
      <w:tr>
        <w:tc>
          <w:tcPr>
            <w:tcW w:type="dxa" w:w="1152"/>
            <w:shd w:fill="EAF2F8"/>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P0</w:t>
            </w:r>
          </w:p>
        </w:tc>
        <w:tc>
          <w:tcPr>
            <w:tcW w:type="dxa" w:w="3456"/>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明确部署及数据边界</w:t>
            </w:r>
          </w:p>
        </w:tc>
        <w:tc>
          <w:tcPr>
            <w:tcW w:type="dxa" w:w="5040"/>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不把备选部署、合成交通流或仿真收益写成生产事实</w:t>
            </w:r>
          </w:p>
        </w:tc>
      </w:tr>
      <w:tr>
        <w:tc>
          <w:tcPr>
            <w:tcW w:type="dxa" w:w="1152"/>
            <w:shd w:fill="FFFFFF"/>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P1</w:t>
            </w:r>
          </w:p>
        </w:tc>
        <w:tc>
          <w:tcPr>
            <w:tcW w:type="dxa" w:w="3456"/>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补齐模型和安全证据</w:t>
            </w:r>
          </w:p>
        </w:tc>
        <w:tc>
          <w:tcPr>
            <w:tcW w:type="dxa" w:w="5040"/>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训练、转换、控制器调用和故障降级均有截图或日志</w:t>
            </w:r>
          </w:p>
        </w:tc>
      </w:tr>
      <w:tr>
        <w:tc>
          <w:tcPr>
            <w:tcW w:type="dxa" w:w="1152"/>
            <w:shd w:fill="EAF2F8"/>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P1</w:t>
            </w:r>
          </w:p>
        </w:tc>
        <w:tc>
          <w:tcPr>
            <w:tcW w:type="dxa" w:w="3456"/>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重排为15页主线</w:t>
            </w:r>
          </w:p>
        </w:tc>
        <w:tc>
          <w:tcPr>
            <w:tcW w:type="dxa" w:w="5040"/>
            <w:shd w:fill="EAF2F8"/>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8至10分钟内能够完整讲完并留出提问时间</w:t>
            </w:r>
          </w:p>
        </w:tc>
      </w:tr>
      <w:tr>
        <w:tc>
          <w:tcPr>
            <w:tcW w:type="dxa" w:w="1152"/>
            <w:shd w:fill="FFFFFF"/>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P2</w:t>
            </w:r>
          </w:p>
        </w:tc>
        <w:tc>
          <w:tcPr>
            <w:tcW w:type="dxa" w:w="3456"/>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制作备份页</w:t>
            </w:r>
          </w:p>
        </w:tc>
        <w:tc>
          <w:tcPr>
            <w:tcW w:type="dxa" w:w="5040"/>
            <w:shd w:fill="FFFFFF"/>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模型参数、接口、实验明细和Webster结果可按问题快速调用</w:t>
            </w:r>
          </w:p>
        </w:tc>
      </w:tr>
    </w:tbl>
    <w:p>
      <w:pPr>
        <w:spacing w:after="0"/>
      </w:pPr>
    </w:p>
    <w:p>
      <w:pPr>
        <w:pStyle w:val="Heading1"/>
      </w:pPr>
      <w:r>
        <w:rPr>
          <w:rFonts w:ascii="Microsoft YaHei" w:hAnsi="Microsoft YaHei" w:eastAsia="Microsoft YaHei"/>
          <w:color w:val="000000"/>
        </w:rPr>
        <w:t>最终建议</w:t>
      </w:r>
    </w:p>
    <w:p>
      <w:r>
        <w:rPr>
          <w:rFonts w:ascii="Microsoft YaHei" w:hAnsi="Microsoft YaHei" w:eastAsia="Microsoft YaHei"/>
          <w:color w:val="000000"/>
        </w:rPr>
        <w:t>现有大纲不需要推倒重写。最有效的优化是把“我们有什么功能”改成“赛题要求什么、系统实现了什么、证据在哪里、结果在什么条件下成立”。完成P0和P1修改后，大纲即可进入正式PPT制作阶段。</w:t>
      </w:r>
    </w:p>
    <w:sectPr w:rsidR="00FC693F" w:rsidRPr="0006063C" w:rsidSect="00034616">
      <w:footerReference w:type="default" r:id="rId9"/>
      <w:pgSz w:w="12240" w:h="15840"/>
      <w:pgMar w:top="1008"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color w:val="666666"/>
        <w:sz w:val="16"/>
      </w:rPr>
      <w:t xml:space="preserve">XH 202613 答辩PPT大纲优化建议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Microsoft YaHei" w:hAnsi="Microsoft YaHei" w:eastAsia="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Microsoft YaHei" w:hAnsi="Microsoft YaHe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Microsoft YaHei" w:hAnsi="Microsoft YaHei" w:eastAsia="Microsoft YaHe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Microsoft YaHei" w:hAnsi="Microsoft YaHei" w:eastAsia="Microsoft YaHe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icrosoft YaHei" w:hAnsi="Microsoft YaHei" w:eastAsia="Microsoft YaHei"/>
      <w:color w:val="000000"/>
    </w:rPr>
  </w:style>
  <w:style w:type="paragraph" w:styleId="ListBullet2">
    <w:name w:val="List Bullet 2"/>
    <w:basedOn w:val="Normal"/>
    <w:uiPriority w:val="99"/>
    <w:unhideWhenUsed/>
    <w:rsid w:val="00326F90"/>
    <w:pPr>
      <w:numPr>
        <w:numId w:val="2"/>
      </w:numPr>
      <w:contextualSpacing/>
    </w:pPr>
    <w:rPr>
      <w:rFonts w:ascii="Microsoft YaHei" w:hAnsi="Microsoft YaHei" w:eastAsia="Microsoft YaHei"/>
      <w:color w:val="00000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答辩PPT大纲优化建议</dc:title>
  <dc:subject>XH 202613 赛道C答辩材料评审与修改建议</dc:subject>
  <dc:creator>项目团队</dc:creator>
  <cp:keywords>XH 202613,赛道C,答辩PPT,优化建议</cp:keywords>
  <dc:description>generated by python-docx</dc:description>
  <cp:lastModifiedBy/>
  <cp:revision>1</cp:revision>
  <dcterms:created xsi:type="dcterms:W3CDTF">2013-12-23T23:15:00Z</dcterms:created>
  <dcterms:modified xsi:type="dcterms:W3CDTF">2013-12-23T23:15:00Z</dcterms:modified>
  <cp:category/>
</cp:coreProperties>
</file>