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400"/>
        <w:jc w:val="left"/>
      </w:pPr>
      <w:r>
        <w:t>雄安路网答辩PPT大纲与逐页排版说明</w:t>
      </w:r>
    </w:p>
    <w:p>
      <w:pPr>
        <w:spacing w:before="0" w:after="360" w:line="269" w:lineRule="auto"/>
      </w:pPr>
      <w:r>
        <w:rPr>
          <w:rFonts w:ascii="WenQuanYi Micro Hei" w:hAnsi="WenQuanYi Micro Hei" w:eastAsia="WenQuanYi Micro Hei"/>
          <w:b/>
          <w:color w:val="16856A"/>
          <w:sz w:val="34"/>
        </w:rPr>
        <w:t>生态智城视觉增强版</w:t>
      </w:r>
    </w:p>
    <w:p>
      <w:pPr>
        <w:spacing w:before="0" w:after="240" w:line="300" w:lineRule="auto"/>
      </w:pPr>
      <w:r>
        <w:rPr>
          <w:rFonts w:ascii="WenQuanYi Micro Hei" w:hAnsi="WenQuanYi Micro Hei" w:eastAsia="WenQuanYi Micro Hei"/>
          <w:b w:val="0"/>
          <w:color w:val="56655E"/>
          <w:sz w:val="24"/>
        </w:rPr>
        <w:t>本文件对应23页答辩PPT，包括15页主讲内容和8页备份材料。每页均给出页面目标、详细上屏内容、排版方式、配图或图表安排、动画建议以及讲解重点，可直接用于后续改稿、素材补齐和正式制作。</w:t>
      </w:r>
    </w:p>
    <w:p>
      <w:pPr>
        <w:spacing w:before="200" w:after="40" w:line="269" w:lineRule="auto"/>
      </w:pPr>
      <w:r>
        <w:rPr>
          <w:rFonts w:ascii="WenQuanYi Micro Hei" w:hAnsi="WenQuanYi Micro Hei" w:eastAsia="WenQuanYi Micro Hei"/>
          <w:b/>
          <w:color w:val="C8913D"/>
          <w:sz w:val="21"/>
        </w:rPr>
        <w:t xml:space="preserve">视觉方向  </w:t>
      </w:r>
      <w:r>
        <w:rPr>
          <w:rFonts w:ascii="WenQuanYi Micro Hei" w:hAnsi="WenQuanYi Micro Hei" w:eastAsia="WenQuanYi Micro Hei"/>
          <w:b w:val="0"/>
          <w:color w:val="000000"/>
          <w:sz w:val="21"/>
        </w:rPr>
        <w:t>暖白  雄安绿  深绿色  低饱和金色</w:t>
      </w:r>
    </w:p>
    <w:p>
      <w:pPr>
        <w:spacing w:before="200" w:after="40" w:line="269" w:lineRule="auto"/>
      </w:pPr>
      <w:r>
        <w:rPr>
          <w:rFonts w:ascii="WenQuanYi Micro Hei" w:hAnsi="WenQuanYi Micro Hei" w:eastAsia="WenQuanYi Micro Hei"/>
          <w:b/>
          <w:color w:val="C8913D"/>
          <w:sz w:val="21"/>
        </w:rPr>
        <w:t xml:space="preserve">正文策略  </w:t>
      </w:r>
      <w:r>
        <w:rPr>
          <w:rFonts w:ascii="WenQuanYi Micro Hei" w:hAnsi="WenQuanYi Micro Hei" w:eastAsia="WenQuanYi Micro Hei"/>
          <w:b w:val="0"/>
          <w:color w:val="000000"/>
          <w:sz w:val="21"/>
        </w:rPr>
        <w:t>图像主导  数据叙事  原生图表  证据边界</w:t>
      </w:r>
    </w:p>
    <w:p>
      <w:pPr>
        <w:spacing w:before="200" w:after="40" w:line="269" w:lineRule="auto"/>
      </w:pPr>
      <w:r>
        <w:rPr>
          <w:rFonts w:ascii="WenQuanYi Micro Hei" w:hAnsi="WenQuanYi Micro Hei" w:eastAsia="WenQuanYi Micro Hei"/>
          <w:b/>
          <w:color w:val="C8913D"/>
          <w:sz w:val="21"/>
        </w:rPr>
        <w:t xml:space="preserve">页面结构  </w:t>
      </w:r>
      <w:r>
        <w:rPr>
          <w:rFonts w:ascii="WenQuanYi Micro Hei" w:hAnsi="WenQuanYi Micro Hei" w:eastAsia="WenQuanYi Micro Hei"/>
          <w:b w:val="0"/>
          <w:color w:val="000000"/>
          <w:sz w:val="21"/>
        </w:rPr>
        <w:t>主讲15页  备份8页  总计23页</w:t>
      </w:r>
    </w:p>
    <w:p>
      <w:pPr>
        <w:spacing w:before="1900"/>
      </w:pPr>
      <w:r>
        <w:rPr>
          <w:rFonts w:ascii="WenQuanYi Micro Hei" w:hAnsi="WenQuanYi Micro Hei" w:eastAsia="WenQuanYi Micro Hei"/>
          <w:b w:val="0"/>
          <w:color w:val="56655E"/>
          <w:sz w:val="20"/>
        </w:rPr>
        <w:t>适用对象  项目答辩成员  PPT制作人员  材料审核人员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主讲页建议控制在8至10分钟内完成。答辩时不逐字朗读页面，应先说结论，再解释图表或流程，最后补充适用边界。备份页不计入主讲时长，只在评委追问时展开。</w:t>
      </w:r>
    </w:p>
    <w:p>
      <w:pPr>
        <w:pStyle w:val="Heading2"/>
      </w:pPr>
      <w:r>
        <w:t>统一视觉规范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整套PPT沿用第四种“生态智城”风格。背景以暖白和深绿色交替，强调色使用雄安绿与低饱和金色。主标题保持左对齐或在封面指定位置排布，正文避免连续使用相同卡片结构。实景照片只承担场景氛围，项目结论必须由真实仿真图、原生图表、日志或配置支撑。</w:t>
      </w:r>
    </w:p>
    <w:p>
      <w:pPr>
        <w:pStyle w:val="Heading2"/>
      </w:pPr>
      <w:r>
        <w:t>统一文字规范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主讲页只保留能够被现场讲解的核心文字。大标题建议34至44磅，关键数字建议32至60磅，正文建议16至23磅，来源和口径说明建议10至13磅。页面中的数据必须写明单位、场景和统计窗口，不能将“在网车辆数”写成“吞吐量”。</w:t>
      </w:r>
    </w:p>
    <w:p>
      <w:pPr>
        <w:pStyle w:val="Heading2"/>
      </w:pPr>
      <w:r>
        <w:t>主讲顺序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叙事顺序为真实场景与任务、项目结果概览、系统架构、仿真环境、预测与控制模型、训练与部署、安全降级、系统运行、实验条件、标准车流结果、热点结果、创新价值和总结。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第01页  主讲内容</w:t>
      </w:r>
    </w:p>
    <w:p>
      <w:pPr>
        <w:pStyle w:val="Heading1"/>
        <w:spacing w:after="140"/>
      </w:pPr>
      <w:r>
        <w:t>封面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建立项目身份与整体气质，在15秒内让评委明确项目对象、技术范围和答辩主体。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主标题为“面向雄安新区城市大脑的车路云一体化协同管控平台”。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副标题为“20路口微观仿真与多路口协同控制”。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页面补充赛道C、项目编号XH 202613、学校、团队、成员和答辩日期。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保留已经确认的第一页设计。标题位于左侧中央偏上，采用两行大号深绿色文字；赛道信息位于左上方，副标题位于标题下方，学校、团队、成员和日期位于左下方。右侧使用生态城市路网主视觉，图片约占页面宽度的一半；左侧覆盖暖白色半透明层，使标题保持清晰。页面不增加额外卡片、图标或数据，避免破坏封面的留白和高级感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继续使用现有生态城市路网主视觉，不更换图片。图片以暖白、绿色和低饱和金色为主，与整套“生态智城”风格一致。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封面不设置复杂动画，只让标题、副标题和团队信息依次淡入，右侧主视觉保持静态。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各位评委好。项目面向雄安新区窄路密网条件下的区域拥堵传播问题，搭建20路口微观仿真平台，把交通预测、多路口信号控制、车辆路径和异常降级接入同一运行闭环。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第02页  主讲内容</w:t>
      </w:r>
    </w:p>
    <w:p>
      <w:pPr>
        <w:pStyle w:val="Heading1"/>
        <w:spacing w:after="140"/>
      </w:pPr>
      <w:r>
        <w:t>雄安场景与赛题任务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用真实雄安场景建立问题背景，并说明为什么需要区域级协同控制。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场景特征是路口间距较小，多个路口的交通状态会相互影响。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控制难点是单点定时方案难以处理空间不均和拥堵传播。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赛题任务包括高保真仿真、轻量化人工智能和量化评估。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主结论是局部排队可能沿短路段向相邻路口传播，因此不能只优化单个路口。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采用左文右图的非对称分栏。左侧约占页面宽度的百分之四十五，使用深绿色背景；“真实场景”标签位于左上方，标题位于左侧上半部，问题结论放在标题下方，三项任务纵向排列在左侧下半部。右侧约占页面宽度的百分之五十五，放置雄安新区容西片区航拍照片。图片与文字之间使用深绿色半透明渐变过渡，不设置白色边框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配一张雄安新区容西片区真实航拍图，重点呈现城市道路、街区和建筑关系。图片保持纪实风格，不使用带有夸张数字界面的智慧城市概念图。图片来源在演讲者备注中注明为雄安新区官网，摄影赵伟彤。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先淡入右侧航拍图，再按“场景特征、控制难点、赛题任务”的顺序逐项出现左侧文字，最后出现主结论。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项目没有把问题限定为单个路口配时。窄路密网中的上游排队会影响下游放行，局部热点还会沿相邻道路扩散，因此方案从区域状态出发组织预测与控制。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图片来源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雄安新区官网《飞“阅”雄安丨走近雄安新区容西片区！》，https://www.xiongan.gov.cn/2022-11/06/c_1211697669.htm。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第03页  主讲内容</w:t>
      </w:r>
    </w:p>
    <w:p>
      <w:pPr>
        <w:pStyle w:val="Heading1"/>
        <w:spacing w:after="140"/>
      </w:pPr>
      <w:r>
        <w:t>项目方案与已验证结果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在正式讲技术路线前，用三组有材料支撑的数字建立项目可信度。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仿真规模为20个信号路口和80条有向边。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ONNX FP32与PyTorch基准模型的动作一致率为100%。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热点场景360至480秒窗口内的后期平均速度达到3.6至4.1 m/s，基线约为2.4至2.6 m/s。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所有性能结论只对对应仿真场景和统计窗口负责。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正文上方放一句引导语，下方横向排列三组大数字，但不使用三个封闭卡片。每组数据由大号数字、细分隔线、指标名称和两行解释组成。右侧背景叠加低对比度路网网格和节点纹理，形成轻量科技感。页面底部横跨全宽放置深绿色结论带，结论带内突出“结论边界”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页面不使用照片。使用可编辑的路网线条、节点和数字排版构成主视觉，三个数字分别使用雄安绿和低饱和金色强调。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三组大数字从左到右依次淡入，底部结论带最后出现；数字不使用跳动、旋转或计数器效果。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先给出三项已经有材料支撑的结果：20路口与80条有向边、ONNX FP32动作一致率100%、热点场景后期速度恢复。后两项结论均限定在报告对应环境和统计口径内。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第04页  主讲内容</w:t>
      </w:r>
    </w:p>
    <w:p>
      <w:pPr>
        <w:pStyle w:val="Heading1"/>
        <w:spacing w:after="140"/>
      </w:pPr>
      <w:r>
        <w:t>车路云架构与控制闭环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解释系统各层职责以及状态、目标和动作如何形成闭环。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Cloud负责状态汇聚、趋势预测和区域协调。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Edge负责MAPPO决策、安全校验和异常降级。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Vehicle负责动态路径执行和状态反馈。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SUMO负责路网、车辆、信号、事件和KPI演化。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REST API负责配置与查询，WebSocket负责实时状态传输。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采用全幅深绿色背景。标题位于顶部左对齐，主体左侧放置自上而下错位排列的四层架构条，每一层宽度逐步收缩，层间使用金色短线连接。右侧上下排列两个圆角信息区，分别说明通信层和执行边界。背景右侧叠加低透明度路网网格，增强空间层次但不干扰文字。页面底部用一条浅绿色提示带说明PyTorch与ONNX的部署关系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使用完全可编辑的四层架构图，不配通用云计算图片。连线只表达状态上行、目标下发和执行反馈，不加入未经系统实现验证的组件。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四层架构自下而上依次出现，通信与执行边界随后淡入，最后用一次路径强调展示状态上行与动作反馈。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平台按Cloud、Edge、Vehicle和SUMO四层组织。云端汇聚状态，边缘侧输出控制动作，车辆侧调整路径，SUMO负责交通演化，新状态继续进入下一轮预测和控制。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第05页  主讲内容</w:t>
      </w:r>
    </w:p>
    <w:p>
      <w:pPr>
        <w:pStyle w:val="Heading1"/>
        <w:spacing w:after="140"/>
      </w:pPr>
      <w:r>
        <w:t>20路口微观仿真环境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证明实验底座具有明确规模、固定拓扑和可复现场景。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路网包含20个信号路口和80条有向边。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场景包括sparse、normal、peak、extreme和hotspot。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构建过程包括路网清洗、相位配置、需求生成和事件注入。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空间结构、校准参数和合成交通流需要分别标注。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正文采用大图加窄栏的七三布局。左侧深绿色大画布占页面主体，以五列四行节点网络表现20路口拓扑，中心热点使用金色节点并标注HOTSPOT，底部用大数字突出20和80。右侧纵向排列SCENARIOS、PIPELINE和BOUNDARY三个信息区，每个信息区使用标签、正文和细分隔线组织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主视觉为可编辑的20节点路网图。若后续取得清晰的SUMO真实路网截图，可以替换左侧示意图，但必须保持节点数量、热点位置和图例清楚。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路网节点和连线整体淡入，热点节点再以一次柔和强调出现，右侧三个信息区按从上到下顺序进入。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这一页说明仿真环境的构成与数据边界。最终路网节点和边数量需要与提交版本的网络文件再次核对，并区分真实空间结构、校准参数和合成交通流。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第06页  主讲内容</w:t>
      </w:r>
    </w:p>
    <w:p>
      <w:pPr>
        <w:pStyle w:val="Heading1"/>
        <w:spacing w:after="140"/>
      </w:pPr>
      <w:r>
        <w:t>STGCN预测与MAPPO控制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区分预测模型与控制模型的职责，并说明模型动作仍受安全约束。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STGCN输入历史流量、速度、占有率和路网邻接关系，用于识别短时趋势。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MAPPO使用31维观测输入，输出2个动作logits。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KEEP表示保持当前绿灯，ADVANCE表示推进相位。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动作执行前检查最小绿、最大绿、黄灯、全红和非法动作。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从中间垂直分为两半。左侧使用暖白背景，放置STGCN标题、输入信息和简化趋势节点图；右侧使用深绿色背景，放置MAPPO标题、31维输入与2动作输出两组大数字、两个动作标签和安全约束说明。顶部总标题跨越左右两侧，底部用浅金色横条说明18维接口属于历史版本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左侧使用可编辑的趋势节点折线，右侧使用数字、标签和文字构成控制界面，不使用模型结构截图。两种模型通过页面左右关系体现分工，不画成一个混合网络。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先出现左侧STGCN输入与趋势，再出现右侧MAPPO输入、动作和安全约束，底部版本说明最后淡入。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STGCN用于识别未来交通趋势，MAPPO将31维观测映射为保持或推进动作。模型动作不会直接执行，安全控制器仍负责动作合法性。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第07页  主讲内容</w:t>
      </w:r>
    </w:p>
    <w:p>
      <w:pPr>
        <w:pStyle w:val="Heading1"/>
        <w:spacing w:after="140"/>
      </w:pPr>
      <w:r>
        <w:t>数据处理训练与模型选择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说明模型从数据准备到交付的证据链，并明确答辩前需要补齐的材料。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数据准备包括场景轮换、固定随机种子和观测归一化。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模型训练采用中心化训练、分散执行和共享Actor。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验证选择使用固定配时和SCOOT作为对照。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最终交付包括配置、日志、训练曲线和模型权重。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答辩前补齐数据集划分、主要超参数、随机种子、真实收敛曲线和权重选择依据。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页面中央放一条横向证据链，四个阶段沿时间线均匀排布，前三个节点使用绿色，最终交付节点使用金色。每个节点下方放阶段标题和三行说明。页面底部放置深绿色横向信息区，集中列出答辩前必须补齐的证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页面不使用虚构训练曲线。当前版本以可编辑时间线作为主视觉；取得最终训练日志后，可在备份页放真实曲线，不建议挤入主讲页。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证据链沿时间方向依次出现四个阶段，底部待补证据区最后整体淡入，不播放虚构的训练曲线动画。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赛道C不仅看模型名称，还看训练和权重选择过程。缺少的证据必须从最终训练日志补齐，不能用算法原理图替代训练结果。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第08页  主讲内容</w:t>
      </w:r>
    </w:p>
    <w:p>
      <w:pPr>
        <w:pStyle w:val="Heading1"/>
        <w:spacing w:after="140"/>
      </w:pPr>
      <w:r>
        <w:t>模型转换与CPU部署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展示模型轻量化结果，同时区分已验证能力和当前平台默认运行形态。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PyTorch FP32体积为84.7 KB，是平台当前默认加载形式。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ONNX FP32体积为82.5 KB，单次推理约0.0074 ms，动作一致率为100%。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ONNX INT8体积为24.9 KB，批量64推理约0.028 ms，动作一致率约99.4%。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FP32单次延迟和INT8批量延迟来自不同测试条件，目标RSU仍需实测。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页面使用全幅深绿色背景。左侧上下放置84.7 KB和24.9 KB两组大数字，并用不同长度的横条直观表现模型收缩。右侧放置四列原生表格，对比模型形态、体积、推理条件和动作一致率。表头使用低饱和金色，表体使用深浅交替的绿色。底部放浅绿色提示条说明测试口径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主视觉由模型体积比例条和原生可编辑表格组成，不使用芯片宣传图。表格数据应与实验报告逐项一致。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模型体积条先从左向右擦除进入，右侧表格按行淡入，底部测试口径说明最后出现。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PyTorch Actor已经转换为ONNX FP32和INT8。FP32动作一致率100%，INT8体积降到24.9 KB且动作一致率约99.4%。不同批量条件下的延迟不能直接比较。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第09页  主讲内容</w:t>
      </w:r>
    </w:p>
    <w:p>
      <w:pPr>
        <w:pStyle w:val="Heading1"/>
        <w:spacing w:after="140"/>
      </w:pPr>
      <w:r>
        <w:t>安全控制与异常降级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形成整套PPT的视觉高点，并让评委明确AI控制受到安全边界约束。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正常情况下系统运行MAPPO。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出现异常时首先降级为SCOOT，再降级为Fixed Time固定配时。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触发条件包括权重缺失、推理超时、通信异常和非法动作。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系统需要显示当前算法、触发原因、降级时间和恢复状态。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安全网补充实验未触发防溢出条件，不能表述为已经产生安全增益。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页面采用夜间交叉口航拍作为全屏背景，并覆盖深绿色半透明蒙版。标题位于左上方。页面中央横向排列MAPPO、SCOOT和FIXED TIME三个半透明状态区，并用一条浅色连线贯穿。页面下半部放置大面积暖白色半透明信息区，分两行说明触发条件和现场证据。底部使用深绿色提示条限定结论。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使用夜间城市交叉口航拍，车辆灯光和道路几何提供强烈视觉冲击。图片仅用于安全控制场景氛围，不作为项目运行证据。来源在演讲者备注中注明为Unsplash摄影作品。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背景保持静态，MAPPO、SCOOT和Fixed Time三个状态按降级顺序依次出现，触发条件与结论边界最后淡入。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AI输出不直接获得信号灯控制权。控制器检查信号安全约束，推理或通信异常时依次降级到SCOOT和固定配时，并记录触发与恢复状态。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图片来源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Unsplash摄影作品，摄影者Altansukh E，https://unsplash.com/photos/high-rise-buildings-during-night-time-0hSCUJN86To。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第10页  主讲内容</w:t>
      </w:r>
    </w:p>
    <w:p>
      <w:pPr>
        <w:pStyle w:val="Heading1"/>
        <w:spacing w:after="140"/>
      </w:pPr>
      <w:r>
        <w:t>系统实现与现场运行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展示系统能够连续运行，并把前端、后端、仿真和报告导出连接起来。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前端采用Vue 3、Canvas和ECharts。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后端采用FastAPI、WebSocket和TraCI。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运行环境支持Docker Compose和Windows启动脚本。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系统输出实时KPI、事件状态和评估报告。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演示顺序为启动、载入路网、注入事件、切换算法和导出报告。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左侧约占页面宽度的百分之六十五，放置一个深绿色控制画布，其中包含简化路网、仿真时间、当前方案和运行状态。右侧纵向排列前端、后端、运行和输出四项工程信息。页面底部居中放置完整演示顺序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当前主视觉是明确标注为控制画布的可编辑界面示意，不冒充真实截图。正式提交前如果系统界面稳定，应替换为带标注的真实运行截图。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左侧控制画布先整体淡入，右侧四项工程信息按从上到下顺序出现，底部演示流程最后进入。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项目不仅包含训练脚本。前端展示路网、车辆、指标和算法状态，后端通过FastAPI、WebSocket和TraCI控制SUMO，演示可以从启动连续运行到报告导出。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第11页  主讲内容</w:t>
      </w:r>
    </w:p>
    <w:p>
      <w:pPr>
        <w:pStyle w:val="Heading1"/>
        <w:spacing w:after="140"/>
      </w:pPr>
      <w:r>
        <w:t>实验设计与复现条件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先说明公平比较的条件，再进入实验结果，增强评测可信度。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控制接管前预热90秒。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策略决策周期为5秒。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指标采样周期为30秒。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对照实验使用相同网络文件、需求文件、扰动配置和采样规则。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定稿时补充代码Commit、模型哈希、SUMO版本和Python版本。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标题位于顶部左对齐。上半部分横向排列三张大数据卡片，依次突出90 s、5 s和30 s，中间卡片使用深绿色反色处理。中部放置实验时间轴，依次标注开始、控制接管、循环决策、循环采样和保存原始数据。下部横向排列四个胶囊标签，说明同一路网、同一需求、同一扰动和版本可追溯。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使用完全可编辑的数字卡片和时间轴，不配实验室照片。时间节点与代码实际设置保持一致。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三张参数卡片从左到右依次出现，时间轴按运行顺序擦除进入，四个复现标签最后同时淡入。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对照实验保持路网、车流、事件和采样规则一致。仿真预热90秒，策略每5秒决策，指标每30秒采样，结束后保存原始数据。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第12页  主讲内容</w:t>
      </w:r>
    </w:p>
    <w:p>
      <w:pPr>
        <w:pStyle w:val="Heading1"/>
        <w:spacing w:after="140"/>
      </w:pPr>
      <w:r>
        <w:t>标准车流横向对比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诚实呈现三种控制方法的横向结果，强调MAPPO相对SCOOT的改善及当前边界。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固定配时平均速度为3.07 m/s，平均等待为25 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SCOOT平均速度为1.71 m/s，平均等待为60 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MAPPO平均速度为1.77 m/s，平均等待为45 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MAPPO相较SCOOT改善等待和速度，但固定配时在该窗口仍然更优。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在网车辆数不等于吞吐，最终排序仍需完成量和P95等指标支持。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使用全幅深绿色背景。标题位于顶部左对齐，平均速度图和平均等待图左右并排，各自占据接近一半页面宽度。两张图均使用原生可编辑柱状图，三种方法采用浅绿、金色和雄安绿区分，数据标签直接显示在柱顶。页面底部放置浅绿色口径说明条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使用两张独立坐标轴的原生柱状图，避免把速度和等待放在同一坐标轴。图表不使用3D效果、阴影和复杂图例。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两张图先同时显示坐标轴，再按固定配时、SCOOT和MAPPO的顺序显示柱体，口径说明最后出现。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标准车流下，MAPPO平均等待45秒，低于SCOOT的60秒，平均速度从1.71提高到1.77 m/s。固定配时在这一窗口更好，因此不宣布MAPPO全面领先。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第13页  主讲内容</w:t>
      </w:r>
    </w:p>
    <w:p>
      <w:pPr>
        <w:pStyle w:val="Heading1"/>
        <w:spacing w:after="140"/>
      </w:pPr>
      <w:r>
        <w:t>热点场景与算法边界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放大项目最有区分度的实验图，解释算法在什么负荷和时间窗口内有效。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约314辆车辆投放时，到达车辆数从8增加到13，场景内增幅为62.5%。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热点场景360至480秒窗口内，平均速度从约2.4至2.6 m/s提高到3.6至4.1 m/s。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低负荷时不同方案差异较小，超饱和后受到路网物理容量限制。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标题位于顶部左对齐。左侧放置峰期密度校准图，右侧放置尺寸更大的热点速度恢复曲线，使右图成为视觉中心。左下方使用深绿色数据区突出62.5%，右下方以大号绿色文字突出3.6至4.1 m/s，并在旁边标注360至480秒统计窗口。两张图均使用白色底和浅灰边框。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使用项目实验报告中的真实图件，保持坐标轴、图例和数据标注可读。不得使用重新生成的虚构曲线替代项目证据。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先显示两张真实实验图，再分别强调62.5%和3.6至4.1 m/s，统计窗口与算法边界最后出现。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约314辆投放时，到达车辆数由8提高到13。热点360至480秒窗口内，平均速度从约2.4至2.6提高到3.6至4.1 m/s。超饱和后仍受物理容量限制。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第14页  主讲内容</w:t>
      </w:r>
    </w:p>
    <w:p>
      <w:pPr>
        <w:pStyle w:val="Heading1"/>
        <w:spacing w:after="140"/>
      </w:pPr>
      <w:r>
        <w:t>创新标准化与推广价值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将创新点落到工程闭环、统一接口和评测规程，而不是堆叠算法名称。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控制闭环贡献是预测进入区域协调，路口动作和车辆路径共同反馈。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工程接口贡献是固定配时、SCOOT和MAPPO使用统一接入方式。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评测规程贡献是同路网、同车流、同事件和同种子完成复现。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项目定位为城市交通AI验证平台和测试规程参考，不表述为真实道路生产部署。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使用全幅深绿色背景。标题位于顶部左对齐。中央横向排列01、02和03三个大编号，每个编号下方依次放贡献标题、具体说明和对应证据标签。三个区域之间依靠留白和短分隔线区分，不使用封闭卡片。底部放置暖白色定位说明带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主视觉由大编号、强排版和证据标签构成，不使用奖杯、火箭、握手或泛化智慧城市图片。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三项贡献按照01、02和03依次淡入，对应证据标签随所属贡献一起出现，底部项目定位最后显示。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项目的贡献在于贯通控制闭环、统一算法评测接口，并把模型转换与安全降级纳入工程验证。当前成果定位为验证平台和测试规程参考。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16856A"/>
          <w:sz w:val="19"/>
        </w:rPr>
        <w:t>第15页  主讲内容</w:t>
      </w:r>
    </w:p>
    <w:p>
      <w:pPr>
        <w:pStyle w:val="Heading1"/>
        <w:spacing w:after="140"/>
      </w:pPr>
      <w:r>
        <w:t>总结与团队分工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收束主讲内容，回顾完整链路并自然进入评委提问。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项目完成20路口微观仿真。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项目使用STGCN进行趋势识别，并使用MAPPO进行多路口控制。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项目完成ONNX转换验证。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项目完成对照实验、安全约束和异常降级设计。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团队成员姓名、责任领域和对应交付物需要最终核实。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沿用封面的视觉语言，但不直接复制封面。左侧约占页面宽度的百分之五十五，放置两行总结标题和四项成果，四项成果采用两列两行排列，并用绿色或金色短竖线强调。右侧使用封面生态城市主视觉，图片边缘以暖白渐变融入正文。左下方写团队分工待填写说明和“谢谢各位评委，欢迎提问”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允许复用封面主视觉作为结束页背景，使首尾形成呼应。除背景外不增加二维码，除非演示视频和仓库链接已经验证可访问。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四项成果采用两列顺序轻淡入，团队分工与致谢最后出现；结束页不设置自动翻页。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项目已经形成从20路口仿真、模型训练与转换，到多算法对照、异常降级和报告导出的完整链路。我们主动限定实验结论的场景和统计窗口。谢谢各位评委，欢迎提问。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第16页  备份材料</w:t>
      </w:r>
    </w:p>
    <w:p>
      <w:pPr>
        <w:pStyle w:val="Heading1"/>
        <w:spacing w:after="140"/>
      </w:pPr>
      <w:r>
        <w:t>MAPPO观测与动作接口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逐字段解释最终31维观测输入和2个动作logits输出，并处理18维旧模型与最终模型之间的版本差异。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当前可以确认最终接口为31维观测输入和2个动作logits输出。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KEEP保持当前绿灯，ADVANCE推进相位。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答辩前导出31个字段名称、范围和归一化方式。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答辩前说明18维模型对应版本和停用原因。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页面采用左文右色块布局，左侧突出当前可以确认的两项内容，右侧使用深绿色大区域放置答辩前需要补齐的两项证据。页面底部放一条浅金色提示，说明本页只在评委追问对应技术细节时展开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第17页  备份材料</w:t>
      </w:r>
    </w:p>
    <w:p>
      <w:pPr>
        <w:pStyle w:val="Heading1"/>
        <w:spacing w:after="140"/>
      </w:pPr>
      <w:r>
        <w:t>MAPPO奖励函数与训练参数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回答评委关于训练方式、奖励设计和权重选择依据的追问。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当前可以确认采用中心化训练、分散执行和Actor参数共享。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对照策略包括固定配时和SCOOT。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答辩前补充奖励项、权重、主要超参数和随机种子。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答辩前补充训练曲线、验证指标和最终权重选择依据。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页面使用全幅深绿色背景，标题位于顶部左对齐。正文左右对半分栏，左侧标题为CURRENT EVIDENCE，右侧标题为TO COMPLETE，中间使用细竖线分隔。两侧各放两段大号文字，右下角使用低透明度问号强化“待补证据”含义。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第18页  备份材料</w:t>
      </w:r>
    </w:p>
    <w:p>
      <w:pPr>
        <w:pStyle w:val="Heading1"/>
        <w:spacing w:after="140"/>
      </w:pPr>
      <w:r>
        <w:t>STGCN输入输出与链路证据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回答预测模型输入、输出、评价指标及其是否真正进入控制链路的问题。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输入包括历史流量、速度、占有率和邻接关系。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模型职责是识别短时交通趋势。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答辩前补充历史窗口、预测步长和验证指标。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答辩前补充预测结果进入区域协调的调用日志或消融结果。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页面采用上下两层结构，上层为当前可确认内容，下层为答辩前补齐内容。每层左右排列两个宽卡片，卡片内使用小编号和一句完整说明。上层使用暖白色，底层使用浅金色，页面底部保留追问提示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第19页  备份材料</w:t>
      </w:r>
    </w:p>
    <w:p>
      <w:pPr>
        <w:pStyle w:val="Heading1"/>
        <w:spacing w:after="140"/>
      </w:pPr>
      <w:r>
        <w:t>ONNX转换误差与推理环境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补充模型转换和推理数据的测试环境，使体积、速度和一致率能够复现。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FP32体积为82.5 KB，单次推理约0.0074 ms，动作一致率100%。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INT8体积为24.9 KB，批量64推理约0.028 ms，动作一致率约99.4%。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答辩前补充CPU型号、运行库版本和完整复现命令。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答辩前补充逐输出误差统计和目标RSU实测结果。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页面采用左文右色块布局，左侧突出当前可以确认的两项内容，右侧使用深绿色大区域放置答辩前需要补齐的两项证据。页面底部放一条浅金色提示，说明本页只在评委追问对应技术细节时展开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第20页  备份材料</w:t>
      </w:r>
    </w:p>
    <w:p>
      <w:pPr>
        <w:pStyle w:val="Heading1"/>
        <w:spacing w:after="140"/>
      </w:pPr>
      <w:r>
        <w:t>安全降级故障日志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通过真实故障记录证明系统能够识别异常、切换算法并恢复。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降级顺序为MAPPO、SCOOT和Fixed Time。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触发条件包括权重缺失、推理超时、通信异常和非法动作。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答辩前补充每类故障的触发时间、原算法和恢复结果。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答辩前准备完整故障注入录屏和同时间戳日志。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页面使用全幅深绿色背景，标题位于顶部左对齐。正文左右对半分栏，左侧标题为CURRENT EVIDENCE，右侧标题为TO COMPLETE，中间使用细竖线分隔。两侧各放两段大号文字，右下角使用低透明度问号强化“待补证据”含义。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第21页  备份材料</w:t>
      </w:r>
    </w:p>
    <w:p>
      <w:pPr>
        <w:pStyle w:val="Heading1"/>
        <w:spacing w:after="140"/>
      </w:pPr>
      <w:r>
        <w:t>完整实验参数与原始数据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集中回答实验如何复现以及关键图表如何追溯到原始数据。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预热时间为90秒，决策周期为5秒，采样周期为30秒。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对照实验保持路网、车流、事件和采样规则一致。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答辩前补充代码Commit、模型哈希、SUMO和Python版本。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答辩前补充原始数据位置、场景配置和作图命令。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页面采用上下两层结构，上层为当前可确认内容，下层为答辩前补齐内容。每层左右排列两个宽卡片，卡片内使用小编号和一句完整说明。上层使用暖白色，底层使用浅金色，页面底部保留追问提示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第22页  备份材料</w:t>
      </w:r>
    </w:p>
    <w:p>
      <w:pPr>
        <w:pStyle w:val="Heading1"/>
        <w:spacing w:after="140"/>
      </w:pPr>
      <w:r>
        <w:t>接口字段与系统状态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说明前后端接口传输哪些字段，以及页面如何展示实时运行和降级状态。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REST API负责配置和查询，WebSocket传输实时状态。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前端显示仿真时间、当前方案、最新动作和降级状态。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答辩前补充最终接口字段字典和示例响应。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答辩前补充带标注的真实系统界面截图。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标题位于顶部左对齐。页面采用左文右色块布局，左侧突出当前可以确认的两项内容，右侧使用深绿色大区域放置答辩前需要补齐的两项证据。页面底部放一条浅金色提示，说明本页只在评委追问对应技术细节时展开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p>
      <w:r>
        <w:br w:type="page"/>
      </w:r>
    </w:p>
    <w:p>
      <w:pPr>
        <w:pStyle w:val="SlideNumber"/>
        <w:spacing w:after="40"/>
      </w:pPr>
      <w:r>
        <w:rPr>
          <w:rFonts w:ascii="WenQuanYi Micro Hei" w:hAnsi="WenQuanYi Micro Hei" w:eastAsia="WenQuanYi Micro Hei"/>
          <w:b/>
          <w:color w:val="C8913D"/>
          <w:sz w:val="19"/>
        </w:rPr>
        <w:t>第23页  备份材料</w:t>
      </w:r>
    </w:p>
    <w:p>
      <w:pPr>
        <w:pStyle w:val="Heading1"/>
        <w:spacing w:after="140"/>
      </w:pPr>
      <w:r>
        <w:t>Webster与跨拓扑验证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页面目标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回答传统配时基线和模型跨路网泛化范围的问题。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详细上屏内容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主材料覆盖四个典型路口的Webster结果。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计划验证grid 9、grid 25和spider 13等未见拓扑。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答辩前补充跨拓扑实验原始数据和对比图。</w:t>
      </w:r>
    </w:p>
    <w:p>
      <w:pPr>
        <w:pStyle w:val="ListBullet"/>
        <w:spacing w:before="0" w:after="40" w:line="252" w:lineRule="auto"/>
        <w:ind w:left="317" w:hanging="187"/>
      </w:pPr>
      <w:r>
        <w:rPr>
          <w:rFonts w:ascii="WenQuanYi Micro Hei" w:hAnsi="WenQuanYi Micro Hei" w:eastAsia="WenQuanYi Micro Hei"/>
          <w:color w:val="000000"/>
          <w:sz w:val="20"/>
        </w:rPr>
        <w:t>答辩前明确主路网模型与路网无关模型的适用范围。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排版方式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页面使用全幅深绿色背景，标题位于顶部左对齐。正文左右对半分栏，左侧标题为CURRENT EVIDENCE，右侧标题为TO COMPLETE，中间使用细竖线分隔。两侧各放两段大号文字，右下角使用低透明度问号强化“待补证据”含义。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配图与图表安排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优先使用真实日志、真实曲线、接口输出或配置截图。若证据尚未生成，保留明确的文字任务，不制作伪造截图或虚构数据。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动画建议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备份页不设置复杂动画，当前证据与待补证据按回答顺序简单淡入；只有评委追问本页时才播放。</w:t>
      </w:r>
    </w:p>
    <w:p>
      <w:pPr>
        <w:spacing w:before="60" w:after="40" w:line="269" w:lineRule="auto"/>
      </w:pPr>
      <w:r>
        <w:rPr>
          <w:rFonts w:ascii="WenQuanYi Micro Hei" w:hAnsi="WenQuanYi Micro Hei" w:eastAsia="WenQuanYi Micro Hei"/>
          <w:b/>
          <w:color w:val="16856A"/>
          <w:sz w:val="19"/>
        </w:rPr>
        <w:t>讲解重点</w:t>
      </w:r>
    </w:p>
    <w:p>
      <w:pPr>
        <w:spacing w:before="0" w:after="100" w:line="269" w:lineRule="auto"/>
      </w:pPr>
      <w:r>
        <w:rPr>
          <w:rFonts w:ascii="WenQuanYi Micro Hei" w:hAnsi="WenQuanYi Micro Hei" w:eastAsia="WenQuanYi Micro Hei"/>
          <w:color w:val="000000"/>
          <w:sz w:val="21"/>
        </w:rPr>
        <w:t>本页属于备份材料，只在评委追问相应技术细节、证据来源或复现方法时展开。回答时先说明当前可以确认的事实，再说明尚需补齐的证据和验证计划。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enQuanYi Micro Hei" w:hAnsi="WenQuanYi Micro Hei" w:eastAsia="WenQuanYi Micro Hei"/>
        <w:b w:val="0"/>
        <w:color w:val="56655E"/>
        <w:sz w:val="17"/>
      </w:rPr>
      <w:t xml:space="preserve">雄安路网答辩PPT 生态智城视觉增强版制作大纲  ·  </w:t>
    </w:r>
    <w:r>
      <w:rPr>
        <w:rFonts w:ascii="WenQuanYi Micro Hei" w:hAnsi="WenQuanYi Micro Hei" w:eastAsia="WenQuanYi Micro Hei"/>
        <w:b w:val="0"/>
        <w:color w:val="56655E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WenQuanYi Micro Hei" w:hAnsi="WenQuanYi Micro Hei" w:eastAsia="WenQuanYi Micro 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WenQuanYi Micro Hei" w:hAnsi="WenQuanYi Micro Hei" w:eastAsia="WenQuanYi Micro 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WenQuanYi Micro Hei" w:hAnsi="WenQuanYi Micro Hei" w:eastAsia="WenQuanYi Micro 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Number">
    <w:name w:val="Slide Number"/>
    <w:rPr>
      <w:rFonts w:ascii="WenQuanYi Micro Hei" w:hAnsi="WenQuanYi Micro Hei" w:eastAsia="WenQuanYi Micro Hei"/>
      <w:b/>
      <w:color w:val="1685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雄安路网答辩PPT大纲与逐页排版说明</dc:title>
  <dc:subject>生态智城视觉增强版23页答辩PPT制作大纲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