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5D7B3" w14:textId="7D97148F" w:rsidR="00AE1CF7" w:rsidRPr="00AE1CF7" w:rsidRDefault="00AE1CF7" w:rsidP="0049225F">
      <w:pPr>
        <w:widowControl w:val="0"/>
        <w:autoSpaceDE w:val="0"/>
        <w:autoSpaceDN w:val="0"/>
        <w:spacing w:before="89" w:after="0"/>
        <w:outlineLvl w:val="0"/>
        <w:rPr>
          <w:rFonts w:ascii="Arial" w:eastAsia="Arial" w:hAnsi="Arial" w:cs="Arial"/>
          <w:sz w:val="32"/>
          <w:szCs w:val="32"/>
          <w:lang w:bidi="en-US"/>
        </w:rPr>
      </w:pPr>
      <w:r w:rsidRPr="00AE1CF7">
        <w:rPr>
          <w:rFonts w:ascii="Arial" w:eastAsia="Arial" w:hAnsi="Arial" w:cs="Arial"/>
          <w:color w:val="00528A"/>
          <w:sz w:val="32"/>
          <w:szCs w:val="32"/>
          <w:lang w:bidi="en-US"/>
        </w:rPr>
        <w:t xml:space="preserve">Deliverable Submission, </w:t>
      </w:r>
      <w:r w:rsidR="00D04CC1">
        <w:rPr>
          <w:rFonts w:ascii="Arial" w:eastAsia="Arial" w:hAnsi="Arial" w:cs="Arial"/>
          <w:color w:val="00528A"/>
          <w:sz w:val="32"/>
          <w:szCs w:val="32"/>
          <w:lang w:bidi="en-US"/>
        </w:rPr>
        <w:t>December 15</w:t>
      </w:r>
      <w:r w:rsidRPr="00AE1CF7">
        <w:rPr>
          <w:rFonts w:ascii="Arial" w:eastAsia="Arial" w:hAnsi="Arial" w:cs="Arial"/>
          <w:color w:val="00528A"/>
          <w:sz w:val="32"/>
          <w:szCs w:val="32"/>
          <w:lang w:bidi="en-US"/>
        </w:rPr>
        <w:t>, 2022</w:t>
      </w:r>
    </w:p>
    <w:p w14:paraId="0700CED7" w14:textId="77E6B899" w:rsidR="00AE1CF7" w:rsidRPr="00AE1CF7" w:rsidRDefault="00687B16" w:rsidP="0049225F">
      <w:pPr>
        <w:widowControl w:val="0"/>
        <w:autoSpaceDE w:val="0"/>
        <w:autoSpaceDN w:val="0"/>
        <w:spacing w:before="175" w:after="0" w:line="352" w:lineRule="auto"/>
        <w:rPr>
          <w:rFonts w:ascii="Arial" w:eastAsia="Garamond" w:hAnsi="Garamond" w:cs="Garamond"/>
          <w:sz w:val="32"/>
          <w:szCs w:val="22"/>
          <w:lang w:bidi="en-US"/>
        </w:rPr>
      </w:pPr>
      <w:r>
        <w:rPr>
          <w:rFonts w:ascii="Garamond" w:eastAsia="Garamond" w:hAnsi="Garamond" w:cs="Garamond"/>
          <w:noProof/>
          <w:sz w:val="22"/>
          <w:szCs w:val="22"/>
          <w:lang w:bidi="en-US"/>
        </w:rPr>
        <mc:AlternateContent>
          <mc:Choice Requires="wpg">
            <w:drawing>
              <wp:anchor distT="0" distB="0" distL="114300" distR="114300" simplePos="0" relativeHeight="251658242" behindDoc="0" locked="0" layoutInCell="1" allowOverlap="1" wp14:anchorId="79B7FA90">
                <wp:simplePos x="0" y="0"/>
                <wp:positionH relativeFrom="page">
                  <wp:posOffset>0</wp:posOffset>
                </wp:positionH>
                <wp:positionV relativeFrom="paragraph">
                  <wp:posOffset>871220</wp:posOffset>
                </wp:positionV>
                <wp:extent cx="7772400" cy="2986405"/>
                <wp:effectExtent l="0" t="1270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986405"/>
                          <a:chOff x="0" y="1372"/>
                          <a:chExt cx="12240" cy="4703"/>
                        </a:xfrm>
                      </wpg:grpSpPr>
                      <wps:wsp>
                        <wps:cNvPr id="4" name="Rectangle 3"/>
                        <wps:cNvSpPr>
                          <a:spLocks/>
                        </wps:cNvSpPr>
                        <wps:spPr bwMode="auto">
                          <a:xfrm>
                            <a:off x="0" y="1371"/>
                            <a:ext cx="12240" cy="4703"/>
                          </a:xfrm>
                          <a:prstGeom prst="rect">
                            <a:avLst/>
                          </a:prstGeom>
                          <a:solidFill>
                            <a:srgbClr val="00528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Text Box 4"/>
                        <wps:cNvSpPr txBox="1">
                          <a:spLocks/>
                        </wps:cNvSpPr>
                        <wps:spPr bwMode="auto">
                          <a:xfrm>
                            <a:off x="0" y="1371"/>
                            <a:ext cx="12240" cy="4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46E9C" w14:textId="77777777" w:rsidR="00AE1CF7" w:rsidRDefault="00AE1CF7" w:rsidP="00AE1CF7">
                              <w:pPr>
                                <w:rPr>
                                  <w:rFonts w:ascii="Arial"/>
                                  <w:sz w:val="28"/>
                                </w:rPr>
                              </w:pPr>
                            </w:p>
                            <w:p w14:paraId="04E419BD" w14:textId="77777777" w:rsidR="00AE1CF7" w:rsidRDefault="00AE1CF7" w:rsidP="00AE1CF7">
                              <w:pPr>
                                <w:rPr>
                                  <w:rFonts w:ascii="Arial"/>
                                  <w:sz w:val="28"/>
                                </w:rPr>
                              </w:pPr>
                            </w:p>
                            <w:p w14:paraId="3DBC0A94" w14:textId="77777777" w:rsidR="00AE1CF7" w:rsidRDefault="00AE1CF7" w:rsidP="00AE1CF7">
                              <w:pPr>
                                <w:rPr>
                                  <w:rFonts w:ascii="Arial"/>
                                  <w:sz w:val="28"/>
                                </w:rPr>
                              </w:pPr>
                            </w:p>
                            <w:p w14:paraId="71EE9BF7" w14:textId="77777777" w:rsidR="00AE1CF7" w:rsidRDefault="00AE1CF7" w:rsidP="00AE1CF7">
                              <w:pPr>
                                <w:rPr>
                                  <w:rFonts w:ascii="Arial"/>
                                  <w:sz w:val="28"/>
                                </w:rPr>
                              </w:pPr>
                            </w:p>
                            <w:p w14:paraId="69E24884" w14:textId="77777777" w:rsidR="00AE1CF7" w:rsidRDefault="00AE1CF7" w:rsidP="00AE1CF7">
                              <w:pPr>
                                <w:spacing w:before="7"/>
                                <w:rPr>
                                  <w:rFonts w:ascii="Arial"/>
                                  <w:sz w:val="25"/>
                                </w:rPr>
                              </w:pPr>
                            </w:p>
                            <w:p w14:paraId="2904DE79" w14:textId="77777777" w:rsidR="00AE1CF7" w:rsidRDefault="00AE1CF7" w:rsidP="00AE1CF7">
                              <w:pPr>
                                <w:ind w:left="595"/>
                                <w:rPr>
                                  <w:rFonts w:ascii="Calibri"/>
                                  <w:sz w:val="28"/>
                                </w:rPr>
                              </w:pPr>
                              <w:r>
                                <w:rPr>
                                  <w:rFonts w:ascii="Calibri"/>
                                  <w:color w:val="FFFFFF"/>
                                  <w:sz w:val="28"/>
                                </w:rPr>
                                <w:t>Centers for Disease Control and Prevention</w:t>
                              </w:r>
                            </w:p>
                            <w:p w14:paraId="3AD79EBA" w14:textId="77777777" w:rsidR="00AE1CF7" w:rsidRDefault="00AE1CF7" w:rsidP="00AE1CF7">
                              <w:pPr>
                                <w:spacing w:before="6"/>
                                <w:rPr>
                                  <w:rFonts w:ascii="Calibri"/>
                                  <w:sz w:val="21"/>
                                </w:rPr>
                              </w:pPr>
                            </w:p>
                            <w:p w14:paraId="7CF10615" w14:textId="77777777" w:rsidR="00AE1CF7" w:rsidRDefault="00AE1CF7" w:rsidP="00AE1CF7">
                              <w:pPr>
                                <w:ind w:left="595"/>
                                <w:rPr>
                                  <w:rFonts w:ascii="Calibri"/>
                                  <w:sz w:val="50"/>
                                </w:rPr>
                              </w:pPr>
                              <w:r>
                                <w:rPr>
                                  <w:rFonts w:ascii="Calibri"/>
                                  <w:color w:val="FFFFFF"/>
                                  <w:sz w:val="50"/>
                                </w:rPr>
                                <w:t>Evaluating School Strategies for COVID-19 Mitigation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B7FA90" id="Group 2" o:spid="_x0000_s1026" style="position:absolute;margin-left:0;margin-top:68.6pt;width:612pt;height:235.15pt;z-index:251658242;mso-position-horizontal-relative:page" coordorigin=",1372" coordsize="12240,47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">
                <v:rect id="Rectangle 3" o:spid="_x0000_s1027" style="position:absolute;top:1371;width:12240;height:47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" fillcolor="#00528a" stroked="f">
                  <v:path arrowok="t"/>
                </v:rect>
                <v:shapetype id="_x0000_t202" coordsize="21600,21600" o:spt="202" path="m,l,21600r21600,l21600,xe">
                  <v:stroke joinstyle="miter"/>
                  <v:path gradientshapeok="t" o:connecttype="rect"/>
                </v:shapetype>
                <v:shape id="Text Box 4" o:spid="_x0000_s1028" type="#_x0000_t202" style="position:absolute;top:1371;width:12240;height:47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" filled="f" stroked="f">
                  <v:path arrowok="t"/>
                  <v:textbox inset="0,0,0,0">
                    <w:txbxContent>
                      <w:p w14:paraId="22146E9C" w14:textId="77777777" w:rsidR="00AE1CF7" w:rsidRDefault="00AE1CF7" w:rsidP="00AE1CF7">
                        <w:pPr>
                          <w:rPr>
                            <w:rFonts w:ascii="Arial"/>
                            <w:sz w:val="28"/>
                          </w:rPr>
                        </w:pPr>
                      </w:p>
                      <w:p w14:paraId="04E419BD" w14:textId="77777777" w:rsidR="00AE1CF7" w:rsidRDefault="00AE1CF7" w:rsidP="00AE1CF7">
                        <w:pPr>
                          <w:rPr>
                            <w:rFonts w:ascii="Arial"/>
                            <w:sz w:val="28"/>
                          </w:rPr>
                        </w:pPr>
                      </w:p>
                      <w:p w14:paraId="3DBC0A94" w14:textId="77777777" w:rsidR="00AE1CF7" w:rsidRDefault="00AE1CF7" w:rsidP="00AE1CF7">
                        <w:pPr>
                          <w:rPr>
                            <w:rFonts w:ascii="Arial"/>
                            <w:sz w:val="28"/>
                          </w:rPr>
                        </w:pPr>
                      </w:p>
                      <w:p w14:paraId="71EE9BF7" w14:textId="77777777" w:rsidR="00AE1CF7" w:rsidRDefault="00AE1CF7" w:rsidP="00AE1CF7">
                        <w:pPr>
                          <w:rPr>
                            <w:rFonts w:ascii="Arial"/>
                            <w:sz w:val="28"/>
                          </w:rPr>
                        </w:pPr>
                      </w:p>
                      <w:p w14:paraId="69E24884" w14:textId="77777777" w:rsidR="00AE1CF7" w:rsidRDefault="00AE1CF7" w:rsidP="00AE1CF7">
                        <w:pPr>
                          <w:spacing w:before="7"/>
                          <w:rPr>
                            <w:rFonts w:ascii="Arial"/>
                            <w:sz w:val="25"/>
                          </w:rPr>
                        </w:pPr>
                      </w:p>
                      <w:p w14:paraId="2904DE79" w14:textId="77777777" w:rsidR="00AE1CF7" w:rsidRDefault="00AE1CF7" w:rsidP="00AE1CF7">
                        <w:pPr>
                          <w:ind w:left="595"/>
                          <w:rPr>
                            <w:rFonts w:ascii="Calibri"/>
                            <w:sz w:val="28"/>
                          </w:rPr>
                        </w:pPr>
                        <w:r>
                          <w:rPr>
                            <w:rFonts w:ascii="Calibri"/>
                            <w:color w:val="FFFFFF"/>
                            <w:sz w:val="28"/>
                          </w:rPr>
                          <w:t>Centers for Disease Control and Prevention</w:t>
                        </w:r>
                      </w:p>
                      <w:p w14:paraId="3AD79EBA" w14:textId="77777777" w:rsidR="00AE1CF7" w:rsidRDefault="00AE1CF7" w:rsidP="00AE1CF7">
                        <w:pPr>
                          <w:spacing w:before="6"/>
                          <w:rPr>
                            <w:rFonts w:ascii="Calibri"/>
                            <w:sz w:val="21"/>
                          </w:rPr>
                        </w:pPr>
                      </w:p>
                      <w:p w14:paraId="7CF10615" w14:textId="77777777" w:rsidR="00AE1CF7" w:rsidRDefault="00AE1CF7" w:rsidP="00AE1CF7">
                        <w:pPr>
                          <w:ind w:left="595"/>
                          <w:rPr>
                            <w:rFonts w:ascii="Calibri"/>
                            <w:sz w:val="50"/>
                          </w:rPr>
                        </w:pPr>
                        <w:r>
                          <w:rPr>
                            <w:rFonts w:ascii="Calibri"/>
                            <w:color w:val="FFFFFF"/>
                            <w:sz w:val="50"/>
                          </w:rPr>
                          <w:t>Evaluating School Strategies for COVID-19 Mitigation</w:t>
                        </w:r>
                      </w:p>
                    </w:txbxContent>
                  </v:textbox>
                </v:shape>
                <w10:wrap anchorx="page"/>
              </v:group>
            </w:pict>
          </mc:Fallback>
        </mc:AlternateContent>
      </w:r>
      <w:r w:rsidR="00D04CC1">
        <w:rPr>
          <w:rFonts w:ascii="Arial" w:eastAsia="Garamond" w:hAnsi="Garamond" w:cs="Garamond"/>
          <w:color w:val="00528A"/>
          <w:sz w:val="32"/>
          <w:szCs w:val="22"/>
          <w:lang w:bidi="en-US"/>
        </w:rPr>
        <w:t>Draft Manuscript of Peer-Reviewed Publication, Deliverable 9.5</w:t>
      </w:r>
    </w:p>
    <w:p w14:paraId="450BB54B" w14:textId="77777777" w:rsidR="00AE1CF7" w:rsidRPr="00AE1CF7" w:rsidRDefault="00AE1CF7" w:rsidP="00AE1CF7">
      <w:pPr>
        <w:widowControl w:val="0"/>
        <w:autoSpaceDE w:val="0"/>
        <w:autoSpaceDN w:val="0"/>
        <w:spacing w:after="0"/>
        <w:rPr>
          <w:rFonts w:ascii="Arial" w:eastAsia="Garamond" w:hAnsi="Garamond" w:cs="Garamond"/>
          <w:sz w:val="20"/>
          <w:lang w:bidi="en-US"/>
        </w:rPr>
      </w:pPr>
    </w:p>
    <w:p w14:paraId="6D36D802" w14:textId="77777777" w:rsidR="00AE1CF7" w:rsidRPr="00AE1CF7" w:rsidRDefault="00AE1CF7" w:rsidP="00AE1CF7">
      <w:pPr>
        <w:widowControl w:val="0"/>
        <w:autoSpaceDE w:val="0"/>
        <w:autoSpaceDN w:val="0"/>
        <w:spacing w:after="0"/>
        <w:rPr>
          <w:rFonts w:ascii="Arial" w:eastAsia="Garamond" w:hAnsi="Garamond" w:cs="Garamond"/>
          <w:sz w:val="20"/>
          <w:lang w:bidi="en-US"/>
        </w:rPr>
      </w:pPr>
    </w:p>
    <w:p w14:paraId="6C09B5CA" w14:textId="77777777" w:rsidR="00AE1CF7" w:rsidRPr="00AE1CF7" w:rsidRDefault="00AE1CF7" w:rsidP="00AE1CF7">
      <w:pPr>
        <w:widowControl w:val="0"/>
        <w:autoSpaceDE w:val="0"/>
        <w:autoSpaceDN w:val="0"/>
        <w:spacing w:after="0"/>
        <w:rPr>
          <w:rFonts w:ascii="Arial" w:eastAsia="Garamond" w:hAnsi="Garamond" w:cs="Garamond"/>
          <w:sz w:val="20"/>
          <w:lang w:bidi="en-US"/>
        </w:rPr>
      </w:pPr>
    </w:p>
    <w:p w14:paraId="4B900A55" w14:textId="77777777" w:rsidR="00AE1CF7" w:rsidRPr="00AE1CF7" w:rsidRDefault="00AE1CF7" w:rsidP="00AE1CF7">
      <w:pPr>
        <w:widowControl w:val="0"/>
        <w:autoSpaceDE w:val="0"/>
        <w:autoSpaceDN w:val="0"/>
        <w:spacing w:after="0"/>
        <w:rPr>
          <w:rFonts w:ascii="Arial" w:eastAsia="Garamond" w:hAnsi="Garamond" w:cs="Garamond"/>
          <w:sz w:val="20"/>
          <w:lang w:bidi="en-US"/>
        </w:rPr>
      </w:pPr>
    </w:p>
    <w:p w14:paraId="6FE933C5" w14:textId="77777777" w:rsidR="00AE1CF7" w:rsidRPr="00AE1CF7" w:rsidRDefault="00AE1CF7" w:rsidP="00AE1CF7">
      <w:pPr>
        <w:widowControl w:val="0"/>
        <w:autoSpaceDE w:val="0"/>
        <w:autoSpaceDN w:val="0"/>
        <w:spacing w:after="0"/>
        <w:rPr>
          <w:rFonts w:ascii="Arial" w:eastAsia="Garamond" w:hAnsi="Garamond" w:cs="Garamond"/>
          <w:sz w:val="20"/>
          <w:lang w:bidi="en-US"/>
        </w:rPr>
      </w:pPr>
    </w:p>
    <w:p w14:paraId="6074050D" w14:textId="77777777" w:rsidR="00AE1CF7" w:rsidRPr="00AE1CF7" w:rsidRDefault="00AE1CF7" w:rsidP="00AE1CF7">
      <w:pPr>
        <w:widowControl w:val="0"/>
        <w:autoSpaceDE w:val="0"/>
        <w:autoSpaceDN w:val="0"/>
        <w:spacing w:after="0"/>
        <w:rPr>
          <w:rFonts w:ascii="Arial" w:eastAsia="Garamond" w:hAnsi="Garamond" w:cs="Garamond"/>
          <w:sz w:val="20"/>
          <w:lang w:bidi="en-US"/>
        </w:rPr>
      </w:pPr>
    </w:p>
    <w:p w14:paraId="5DF2A08F" w14:textId="77777777" w:rsidR="00AE1CF7" w:rsidRPr="00AE1CF7" w:rsidRDefault="00AE1CF7" w:rsidP="00AE1CF7">
      <w:pPr>
        <w:widowControl w:val="0"/>
        <w:autoSpaceDE w:val="0"/>
        <w:autoSpaceDN w:val="0"/>
        <w:spacing w:after="0"/>
        <w:rPr>
          <w:rFonts w:ascii="Arial" w:eastAsia="Garamond" w:hAnsi="Garamond" w:cs="Garamond"/>
          <w:sz w:val="20"/>
          <w:lang w:bidi="en-US"/>
        </w:rPr>
      </w:pPr>
    </w:p>
    <w:p w14:paraId="400669D0" w14:textId="77777777" w:rsidR="00AE1CF7" w:rsidRPr="00AE1CF7" w:rsidRDefault="00AE1CF7" w:rsidP="00AE1CF7">
      <w:pPr>
        <w:widowControl w:val="0"/>
        <w:autoSpaceDE w:val="0"/>
        <w:autoSpaceDN w:val="0"/>
        <w:spacing w:after="0"/>
        <w:rPr>
          <w:rFonts w:ascii="Arial" w:eastAsia="Garamond" w:hAnsi="Garamond" w:cs="Garamond"/>
          <w:sz w:val="20"/>
          <w:lang w:bidi="en-US"/>
        </w:rPr>
      </w:pPr>
    </w:p>
    <w:p w14:paraId="51161E90" w14:textId="77777777" w:rsidR="00AE1CF7" w:rsidRPr="00AE1CF7" w:rsidRDefault="00AE1CF7" w:rsidP="00AE1CF7">
      <w:pPr>
        <w:widowControl w:val="0"/>
        <w:autoSpaceDE w:val="0"/>
        <w:autoSpaceDN w:val="0"/>
        <w:spacing w:after="0"/>
        <w:rPr>
          <w:rFonts w:ascii="Arial" w:eastAsia="Garamond" w:hAnsi="Garamond" w:cs="Garamond"/>
          <w:sz w:val="20"/>
          <w:lang w:bidi="en-US"/>
        </w:rPr>
      </w:pPr>
    </w:p>
    <w:p w14:paraId="589F5786" w14:textId="77777777" w:rsidR="00AE1CF7" w:rsidRPr="00AE1CF7" w:rsidRDefault="00AE1CF7" w:rsidP="00AE1CF7">
      <w:pPr>
        <w:widowControl w:val="0"/>
        <w:autoSpaceDE w:val="0"/>
        <w:autoSpaceDN w:val="0"/>
        <w:spacing w:after="0"/>
        <w:rPr>
          <w:rFonts w:ascii="Arial" w:eastAsia="Garamond" w:hAnsi="Garamond" w:cs="Garamond"/>
          <w:sz w:val="20"/>
          <w:lang w:bidi="en-US"/>
        </w:rPr>
      </w:pPr>
    </w:p>
    <w:p w14:paraId="73ED8804" w14:textId="77777777" w:rsidR="00AE1CF7" w:rsidRPr="00AE1CF7" w:rsidRDefault="00AE1CF7" w:rsidP="00AE1CF7">
      <w:pPr>
        <w:widowControl w:val="0"/>
        <w:autoSpaceDE w:val="0"/>
        <w:autoSpaceDN w:val="0"/>
        <w:spacing w:after="0"/>
        <w:rPr>
          <w:rFonts w:ascii="Arial" w:eastAsia="Garamond" w:hAnsi="Garamond" w:cs="Garamond"/>
          <w:sz w:val="20"/>
          <w:lang w:bidi="en-US"/>
        </w:rPr>
      </w:pPr>
    </w:p>
    <w:p w14:paraId="7A880792" w14:textId="77777777" w:rsidR="00AE1CF7" w:rsidRPr="00AE1CF7" w:rsidRDefault="00AE1CF7" w:rsidP="00AE1CF7">
      <w:pPr>
        <w:widowControl w:val="0"/>
        <w:autoSpaceDE w:val="0"/>
        <w:autoSpaceDN w:val="0"/>
        <w:spacing w:after="0"/>
        <w:rPr>
          <w:rFonts w:ascii="Arial" w:eastAsia="Garamond" w:hAnsi="Garamond" w:cs="Garamond"/>
          <w:sz w:val="20"/>
          <w:lang w:bidi="en-US"/>
        </w:rPr>
      </w:pPr>
    </w:p>
    <w:p w14:paraId="4F9771A3" w14:textId="77777777" w:rsidR="00AE1CF7" w:rsidRPr="00AE1CF7" w:rsidRDefault="00AE1CF7" w:rsidP="00AE1CF7">
      <w:pPr>
        <w:widowControl w:val="0"/>
        <w:autoSpaceDE w:val="0"/>
        <w:autoSpaceDN w:val="0"/>
        <w:spacing w:after="0"/>
        <w:rPr>
          <w:rFonts w:ascii="Arial" w:eastAsia="Garamond" w:hAnsi="Garamond" w:cs="Garamond"/>
          <w:sz w:val="20"/>
          <w:lang w:bidi="en-US"/>
        </w:rPr>
      </w:pPr>
    </w:p>
    <w:p w14:paraId="7FEF4EF5" w14:textId="77777777" w:rsidR="00AE1CF7" w:rsidRPr="00AE1CF7" w:rsidRDefault="00AE1CF7" w:rsidP="00AE1CF7">
      <w:pPr>
        <w:widowControl w:val="0"/>
        <w:autoSpaceDE w:val="0"/>
        <w:autoSpaceDN w:val="0"/>
        <w:spacing w:after="0"/>
        <w:rPr>
          <w:rFonts w:ascii="Arial" w:eastAsia="Garamond" w:hAnsi="Garamond" w:cs="Garamond"/>
          <w:sz w:val="20"/>
          <w:lang w:bidi="en-US"/>
        </w:rPr>
      </w:pPr>
    </w:p>
    <w:p w14:paraId="1AB4F78E" w14:textId="77777777" w:rsidR="00AE1CF7" w:rsidRPr="00AE1CF7" w:rsidRDefault="00AE1CF7" w:rsidP="00AE1CF7">
      <w:pPr>
        <w:widowControl w:val="0"/>
        <w:autoSpaceDE w:val="0"/>
        <w:autoSpaceDN w:val="0"/>
        <w:spacing w:after="0"/>
        <w:rPr>
          <w:rFonts w:ascii="Arial" w:eastAsia="Garamond" w:hAnsi="Garamond" w:cs="Garamond"/>
          <w:sz w:val="20"/>
          <w:lang w:bidi="en-US"/>
        </w:rPr>
      </w:pPr>
    </w:p>
    <w:p w14:paraId="2B89C174" w14:textId="77777777" w:rsidR="00AE1CF7" w:rsidRPr="00AE1CF7" w:rsidRDefault="00AE1CF7" w:rsidP="00AE1CF7">
      <w:pPr>
        <w:widowControl w:val="0"/>
        <w:autoSpaceDE w:val="0"/>
        <w:autoSpaceDN w:val="0"/>
        <w:spacing w:after="0"/>
        <w:rPr>
          <w:rFonts w:ascii="Arial" w:eastAsia="Garamond" w:hAnsi="Garamond" w:cs="Garamond"/>
          <w:sz w:val="20"/>
          <w:lang w:bidi="en-US"/>
        </w:rPr>
      </w:pPr>
    </w:p>
    <w:p w14:paraId="5ECF41D3" w14:textId="77777777" w:rsidR="00AE1CF7" w:rsidRPr="00AE1CF7" w:rsidRDefault="00AE1CF7" w:rsidP="00AE1CF7">
      <w:pPr>
        <w:widowControl w:val="0"/>
        <w:autoSpaceDE w:val="0"/>
        <w:autoSpaceDN w:val="0"/>
        <w:spacing w:after="0"/>
        <w:rPr>
          <w:rFonts w:ascii="Arial" w:eastAsia="Garamond" w:hAnsi="Garamond" w:cs="Garamond"/>
          <w:sz w:val="20"/>
          <w:lang w:bidi="en-US"/>
        </w:rPr>
      </w:pPr>
    </w:p>
    <w:p w14:paraId="501D2ED1" w14:textId="77777777" w:rsidR="00AE1CF7" w:rsidRPr="00AE1CF7" w:rsidRDefault="00AE1CF7" w:rsidP="00AE1CF7">
      <w:pPr>
        <w:widowControl w:val="0"/>
        <w:autoSpaceDE w:val="0"/>
        <w:autoSpaceDN w:val="0"/>
        <w:spacing w:after="0"/>
        <w:rPr>
          <w:rFonts w:ascii="Arial" w:eastAsia="Garamond" w:hAnsi="Garamond" w:cs="Garamond"/>
          <w:sz w:val="20"/>
          <w:lang w:bidi="en-US"/>
        </w:rPr>
      </w:pPr>
    </w:p>
    <w:p w14:paraId="0A99E8BD" w14:textId="77777777" w:rsidR="00AE1CF7" w:rsidRPr="00AE1CF7" w:rsidRDefault="00AE1CF7" w:rsidP="00AE1CF7">
      <w:pPr>
        <w:widowControl w:val="0"/>
        <w:autoSpaceDE w:val="0"/>
        <w:autoSpaceDN w:val="0"/>
        <w:spacing w:after="0"/>
        <w:rPr>
          <w:rFonts w:ascii="Arial" w:eastAsia="Garamond" w:hAnsi="Garamond" w:cs="Garamond"/>
          <w:sz w:val="20"/>
          <w:lang w:bidi="en-US"/>
        </w:rPr>
      </w:pPr>
    </w:p>
    <w:p w14:paraId="4D8241D9" w14:textId="77777777" w:rsidR="00AE1CF7" w:rsidRPr="00AE1CF7" w:rsidRDefault="00AE1CF7" w:rsidP="00AE1CF7">
      <w:pPr>
        <w:widowControl w:val="0"/>
        <w:autoSpaceDE w:val="0"/>
        <w:autoSpaceDN w:val="0"/>
        <w:spacing w:after="0"/>
        <w:rPr>
          <w:rFonts w:ascii="Arial" w:eastAsia="Garamond" w:hAnsi="Garamond" w:cs="Garamond"/>
          <w:sz w:val="20"/>
          <w:lang w:bidi="en-US"/>
        </w:rPr>
      </w:pPr>
    </w:p>
    <w:p w14:paraId="1924FB99" w14:textId="77777777" w:rsidR="00AE1CF7" w:rsidRPr="00AE1CF7" w:rsidRDefault="00AE1CF7" w:rsidP="00AE1CF7">
      <w:pPr>
        <w:widowControl w:val="0"/>
        <w:autoSpaceDE w:val="0"/>
        <w:autoSpaceDN w:val="0"/>
        <w:spacing w:before="10" w:after="0"/>
        <w:rPr>
          <w:rFonts w:ascii="Arial" w:eastAsia="Garamond" w:hAnsi="Garamond" w:cs="Garamond"/>
          <w:lang w:bidi="en-US"/>
        </w:rPr>
      </w:pPr>
      <w:r w:rsidRPr="00AE1CF7">
        <w:rPr>
          <w:rFonts w:ascii="Garamond" w:eastAsia="Garamond" w:hAnsi="Garamond" w:cs="Garamond"/>
          <w:noProof/>
          <w:lang w:bidi="en-US"/>
        </w:rPr>
        <w:drawing>
          <wp:anchor distT="0" distB="0" distL="0" distR="0" simplePos="0" relativeHeight="251658240" behindDoc="0" locked="0" layoutInCell="1" allowOverlap="1" wp14:anchorId="207C1417" wp14:editId="531B7080">
            <wp:simplePos x="0" y="0"/>
            <wp:positionH relativeFrom="page">
              <wp:posOffset>0</wp:posOffset>
            </wp:positionH>
            <wp:positionV relativeFrom="paragraph">
              <wp:posOffset>206469</wp:posOffset>
            </wp:positionV>
            <wp:extent cx="7456745" cy="72923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7456745" cy="729234"/>
                    </a:xfrm>
                    <a:prstGeom prst="rect">
                      <a:avLst/>
                    </a:prstGeom>
                  </pic:spPr>
                </pic:pic>
              </a:graphicData>
            </a:graphic>
          </wp:anchor>
        </w:drawing>
      </w:r>
    </w:p>
    <w:p w14:paraId="3AD4E749" w14:textId="77777777" w:rsidR="00AE1CF7" w:rsidRPr="00AE1CF7" w:rsidRDefault="00AE1CF7" w:rsidP="00AE1CF7">
      <w:pPr>
        <w:widowControl w:val="0"/>
        <w:autoSpaceDE w:val="0"/>
        <w:autoSpaceDN w:val="0"/>
        <w:spacing w:after="0"/>
        <w:rPr>
          <w:rFonts w:ascii="Arial" w:eastAsia="Garamond" w:hAnsi="Garamond" w:cs="Garamond"/>
          <w:sz w:val="20"/>
          <w:lang w:bidi="en-US"/>
        </w:rPr>
      </w:pPr>
    </w:p>
    <w:p w14:paraId="14B9B908" w14:textId="77777777" w:rsidR="00AE1CF7" w:rsidRPr="00AE1CF7" w:rsidRDefault="00AE1CF7" w:rsidP="00AE1CF7">
      <w:pPr>
        <w:widowControl w:val="0"/>
        <w:autoSpaceDE w:val="0"/>
        <w:autoSpaceDN w:val="0"/>
        <w:spacing w:after="0"/>
        <w:rPr>
          <w:rFonts w:ascii="Arial" w:eastAsia="Garamond" w:hAnsi="Garamond" w:cs="Garamond"/>
          <w:sz w:val="20"/>
          <w:lang w:bidi="en-US"/>
        </w:rPr>
      </w:pPr>
    </w:p>
    <w:tbl>
      <w:tblPr>
        <w:tblpPr w:leftFromText="180" w:rightFromText="180" w:vertAnchor="text" w:horzAnchor="margin" w:tblpY="48"/>
        <w:tblW w:w="10125" w:type="dxa"/>
        <w:tblLayout w:type="fixed"/>
        <w:tblCellMar>
          <w:left w:w="0" w:type="dxa"/>
          <w:right w:w="0" w:type="dxa"/>
        </w:tblCellMar>
        <w:tblLook w:val="01E0" w:firstRow="1" w:lastRow="1" w:firstColumn="1" w:lastColumn="1" w:noHBand="0" w:noVBand="0"/>
      </w:tblPr>
      <w:tblGrid>
        <w:gridCol w:w="4871"/>
        <w:gridCol w:w="2855"/>
        <w:gridCol w:w="2399"/>
      </w:tblGrid>
      <w:tr w:rsidR="00AE1CF7" w:rsidRPr="00AE1CF7" w14:paraId="77507631" w14:textId="77777777" w:rsidTr="00AE1CF7">
        <w:trPr>
          <w:trHeight w:val="1991"/>
        </w:trPr>
        <w:tc>
          <w:tcPr>
            <w:tcW w:w="4871" w:type="dxa"/>
          </w:tcPr>
          <w:p w14:paraId="2AB6A0B6" w14:textId="77777777" w:rsidR="00AE1CF7" w:rsidRPr="00AE1CF7" w:rsidRDefault="00AE1CF7" w:rsidP="00AE1CF7">
            <w:pPr>
              <w:widowControl w:val="0"/>
              <w:autoSpaceDE w:val="0"/>
              <w:autoSpaceDN w:val="0"/>
              <w:spacing w:after="0" w:line="247" w:lineRule="exact"/>
              <w:ind w:left="200"/>
              <w:rPr>
                <w:rFonts w:ascii="Arial" w:eastAsia="Arial" w:hAnsi="Arial" w:cs="Arial"/>
                <w:b/>
                <w:sz w:val="22"/>
                <w:szCs w:val="22"/>
                <w:lang w:bidi="en-US"/>
              </w:rPr>
            </w:pPr>
            <w:r w:rsidRPr="00AE1CF7">
              <w:rPr>
                <w:rFonts w:ascii="Arial" w:eastAsia="Arial" w:hAnsi="Arial" w:cs="Arial"/>
                <w:b/>
                <w:sz w:val="22"/>
                <w:szCs w:val="22"/>
                <w:lang w:bidi="en-US"/>
              </w:rPr>
              <w:t>Submitted to:</w:t>
            </w:r>
          </w:p>
          <w:p w14:paraId="3B403970" w14:textId="77777777" w:rsidR="00AE1CF7" w:rsidRPr="00AE1CF7" w:rsidRDefault="00AE1CF7" w:rsidP="00AE1CF7">
            <w:pPr>
              <w:widowControl w:val="0"/>
              <w:autoSpaceDE w:val="0"/>
              <w:autoSpaceDN w:val="0"/>
              <w:spacing w:before="37" w:after="0" w:line="276" w:lineRule="auto"/>
              <w:ind w:left="200" w:right="261"/>
              <w:rPr>
                <w:rFonts w:ascii="Arial" w:eastAsia="Arial" w:hAnsi="Arial" w:cs="Arial"/>
                <w:sz w:val="22"/>
                <w:szCs w:val="22"/>
                <w:lang w:bidi="en-US"/>
              </w:rPr>
            </w:pPr>
            <w:r w:rsidRPr="00AE1CF7">
              <w:rPr>
                <w:rFonts w:ascii="Arial" w:eastAsia="Arial" w:hAnsi="Arial" w:cs="Arial"/>
                <w:color w:val="201E1F"/>
                <w:sz w:val="22"/>
                <w:szCs w:val="22"/>
                <w:lang w:bidi="en-US"/>
              </w:rPr>
              <w:t>Centers for Disease Control and Prevention Division of Adolescent and School Health National Center for HIV/AIDS, Viral Hepatitis, STD, and TB Prevention</w:t>
            </w:r>
          </w:p>
          <w:p w14:paraId="29E856EE" w14:textId="77777777" w:rsidR="00AE1CF7" w:rsidRPr="00AE1CF7" w:rsidRDefault="00AE1CF7" w:rsidP="00AE1CF7">
            <w:pPr>
              <w:widowControl w:val="0"/>
              <w:autoSpaceDE w:val="0"/>
              <w:autoSpaceDN w:val="0"/>
              <w:spacing w:after="0"/>
              <w:ind w:left="200"/>
              <w:rPr>
                <w:rFonts w:ascii="Arial" w:eastAsia="Arial" w:hAnsi="Arial" w:cs="Arial"/>
                <w:sz w:val="22"/>
                <w:szCs w:val="22"/>
                <w:lang w:bidi="en-US"/>
              </w:rPr>
            </w:pPr>
            <w:r w:rsidRPr="00AE1CF7">
              <w:rPr>
                <w:rFonts w:ascii="Arial" w:eastAsia="Arial" w:hAnsi="Arial" w:cs="Arial"/>
                <w:color w:val="201E1F"/>
                <w:sz w:val="22"/>
                <w:szCs w:val="22"/>
                <w:lang w:bidi="en-US"/>
              </w:rPr>
              <w:t>1600 Clifton Road, MS E-75</w:t>
            </w:r>
          </w:p>
          <w:p w14:paraId="515BA8C0" w14:textId="77777777" w:rsidR="00AE1CF7" w:rsidRPr="00AE1CF7" w:rsidRDefault="00AE1CF7" w:rsidP="00AE1CF7">
            <w:pPr>
              <w:widowControl w:val="0"/>
              <w:autoSpaceDE w:val="0"/>
              <w:autoSpaceDN w:val="0"/>
              <w:spacing w:before="38" w:after="0" w:line="233" w:lineRule="exact"/>
              <w:ind w:left="200"/>
              <w:rPr>
                <w:rFonts w:ascii="Arial" w:eastAsia="Arial" w:hAnsi="Arial" w:cs="Arial"/>
                <w:sz w:val="22"/>
                <w:szCs w:val="22"/>
                <w:lang w:bidi="en-US"/>
              </w:rPr>
            </w:pPr>
            <w:r w:rsidRPr="00AE1CF7">
              <w:rPr>
                <w:rFonts w:ascii="Arial" w:eastAsia="Arial" w:hAnsi="Arial" w:cs="Arial"/>
                <w:color w:val="201E1F"/>
                <w:sz w:val="22"/>
                <w:szCs w:val="22"/>
                <w:lang w:bidi="en-US"/>
              </w:rPr>
              <w:t>Atlanta, GA 30329</w:t>
            </w:r>
          </w:p>
        </w:tc>
        <w:tc>
          <w:tcPr>
            <w:tcW w:w="2855" w:type="dxa"/>
          </w:tcPr>
          <w:p w14:paraId="4465A1BF" w14:textId="77777777" w:rsidR="00AE1CF7" w:rsidRPr="00AE1CF7" w:rsidRDefault="00AE1CF7" w:rsidP="00AE1CF7">
            <w:pPr>
              <w:widowControl w:val="0"/>
              <w:autoSpaceDE w:val="0"/>
              <w:autoSpaceDN w:val="0"/>
              <w:spacing w:after="0" w:line="247" w:lineRule="exact"/>
              <w:ind w:left="280"/>
              <w:rPr>
                <w:rFonts w:ascii="Arial" w:eastAsia="Arial" w:hAnsi="Arial" w:cs="Arial"/>
                <w:b/>
                <w:sz w:val="22"/>
                <w:szCs w:val="22"/>
                <w:lang w:bidi="en-US"/>
              </w:rPr>
            </w:pPr>
            <w:r w:rsidRPr="00AE1CF7">
              <w:rPr>
                <w:rFonts w:ascii="Arial" w:eastAsia="Arial" w:hAnsi="Arial" w:cs="Arial"/>
                <w:b/>
                <w:sz w:val="22"/>
                <w:szCs w:val="22"/>
                <w:lang w:bidi="en-US"/>
              </w:rPr>
              <w:t>Submitted by:</w:t>
            </w:r>
          </w:p>
          <w:p w14:paraId="09FAE79E" w14:textId="77777777" w:rsidR="00AE1CF7" w:rsidRPr="00AE1CF7" w:rsidRDefault="00AE1CF7" w:rsidP="00AE1CF7">
            <w:pPr>
              <w:widowControl w:val="0"/>
              <w:autoSpaceDE w:val="0"/>
              <w:autoSpaceDN w:val="0"/>
              <w:spacing w:before="37" w:after="0" w:line="276" w:lineRule="auto"/>
              <w:ind w:left="280" w:right="195"/>
              <w:rPr>
                <w:rFonts w:ascii="Arial" w:eastAsia="Arial" w:hAnsi="Arial" w:cs="Arial"/>
                <w:sz w:val="22"/>
                <w:szCs w:val="22"/>
                <w:lang w:bidi="en-US"/>
              </w:rPr>
            </w:pPr>
            <w:r w:rsidRPr="00AE1CF7">
              <w:rPr>
                <w:rFonts w:ascii="Arial" w:eastAsia="Arial" w:hAnsi="Arial" w:cs="Arial"/>
                <w:sz w:val="22"/>
                <w:szCs w:val="22"/>
                <w:lang w:bidi="en-US"/>
              </w:rPr>
              <w:t>ICF Incorporated, L.L.C. 9300 Lee Highway</w:t>
            </w:r>
          </w:p>
          <w:p w14:paraId="799459F5" w14:textId="77777777" w:rsidR="00AE1CF7" w:rsidRPr="00AE1CF7" w:rsidRDefault="00AE1CF7" w:rsidP="00AE1CF7">
            <w:pPr>
              <w:widowControl w:val="0"/>
              <w:autoSpaceDE w:val="0"/>
              <w:autoSpaceDN w:val="0"/>
              <w:spacing w:after="0" w:line="252" w:lineRule="exact"/>
              <w:ind w:left="280"/>
              <w:rPr>
                <w:rFonts w:ascii="Arial" w:eastAsia="Arial" w:hAnsi="Arial" w:cs="Arial"/>
                <w:sz w:val="22"/>
                <w:szCs w:val="22"/>
                <w:lang w:bidi="en-US"/>
              </w:rPr>
            </w:pPr>
            <w:r w:rsidRPr="00AE1CF7">
              <w:rPr>
                <w:rFonts w:ascii="Arial" w:eastAsia="Arial" w:hAnsi="Arial" w:cs="Arial"/>
                <w:sz w:val="22"/>
                <w:szCs w:val="22"/>
                <w:lang w:bidi="en-US"/>
              </w:rPr>
              <w:t>Fairfax, VA 22031</w:t>
            </w:r>
          </w:p>
        </w:tc>
        <w:tc>
          <w:tcPr>
            <w:tcW w:w="2399" w:type="dxa"/>
          </w:tcPr>
          <w:p w14:paraId="4B4C09BC" w14:textId="77777777" w:rsidR="00AE1CF7" w:rsidRPr="00AE1CF7" w:rsidRDefault="00AE1CF7" w:rsidP="00AE1CF7">
            <w:pPr>
              <w:widowControl w:val="0"/>
              <w:autoSpaceDE w:val="0"/>
              <w:autoSpaceDN w:val="0"/>
              <w:spacing w:after="0" w:line="247" w:lineRule="exact"/>
              <w:ind w:left="213"/>
              <w:rPr>
                <w:rFonts w:ascii="Arial" w:eastAsia="Arial" w:hAnsi="Arial" w:cs="Arial"/>
                <w:b/>
                <w:sz w:val="22"/>
                <w:szCs w:val="22"/>
                <w:lang w:bidi="en-US"/>
              </w:rPr>
            </w:pPr>
            <w:r w:rsidRPr="00AE1CF7">
              <w:rPr>
                <w:rFonts w:ascii="Arial" w:eastAsia="Arial" w:hAnsi="Arial" w:cs="Arial"/>
                <w:b/>
                <w:sz w:val="22"/>
                <w:szCs w:val="22"/>
                <w:lang w:bidi="en-US"/>
              </w:rPr>
              <w:t>Contract #</w:t>
            </w:r>
          </w:p>
          <w:p w14:paraId="3F1E4358" w14:textId="77777777" w:rsidR="00AE1CF7" w:rsidRPr="00AE1CF7" w:rsidRDefault="00AE1CF7" w:rsidP="00AE1CF7">
            <w:pPr>
              <w:widowControl w:val="0"/>
              <w:autoSpaceDE w:val="0"/>
              <w:autoSpaceDN w:val="0"/>
              <w:spacing w:before="37" w:after="0"/>
              <w:ind w:left="213"/>
              <w:rPr>
                <w:rFonts w:ascii="Arial" w:eastAsia="Arial" w:hAnsi="Arial" w:cs="Arial"/>
                <w:sz w:val="22"/>
                <w:szCs w:val="22"/>
                <w:lang w:bidi="en-US"/>
              </w:rPr>
            </w:pPr>
            <w:r w:rsidRPr="00AE1CF7">
              <w:rPr>
                <w:rFonts w:ascii="Arial" w:eastAsia="Arial" w:hAnsi="Arial" w:cs="Arial"/>
                <w:sz w:val="22"/>
                <w:szCs w:val="22"/>
                <w:lang w:bidi="en-US"/>
              </w:rPr>
              <w:t>GS00F010CA</w:t>
            </w:r>
          </w:p>
          <w:p w14:paraId="070A5CD7" w14:textId="77777777" w:rsidR="00AE1CF7" w:rsidRPr="00AE1CF7" w:rsidRDefault="00AE1CF7" w:rsidP="00AE1CF7">
            <w:pPr>
              <w:widowControl w:val="0"/>
              <w:autoSpaceDE w:val="0"/>
              <w:autoSpaceDN w:val="0"/>
              <w:spacing w:before="38" w:after="0"/>
              <w:ind w:left="213"/>
              <w:rPr>
                <w:rFonts w:ascii="Arial" w:eastAsia="Arial" w:hAnsi="Arial" w:cs="Arial"/>
                <w:b/>
                <w:sz w:val="22"/>
                <w:szCs w:val="22"/>
                <w:lang w:bidi="en-US"/>
              </w:rPr>
            </w:pPr>
            <w:r w:rsidRPr="00AE1CF7">
              <w:rPr>
                <w:rFonts w:ascii="Arial" w:eastAsia="Arial" w:hAnsi="Arial" w:cs="Arial"/>
                <w:b/>
                <w:sz w:val="22"/>
                <w:szCs w:val="22"/>
                <w:lang w:bidi="en-US"/>
              </w:rPr>
              <w:t>Task order #</w:t>
            </w:r>
          </w:p>
          <w:p w14:paraId="33985DBA" w14:textId="77777777" w:rsidR="00AE1CF7" w:rsidRPr="00AE1CF7" w:rsidRDefault="00AE1CF7" w:rsidP="00AE1CF7">
            <w:pPr>
              <w:widowControl w:val="0"/>
              <w:autoSpaceDE w:val="0"/>
              <w:autoSpaceDN w:val="0"/>
              <w:spacing w:before="37" w:after="0"/>
              <w:ind w:left="213"/>
              <w:rPr>
                <w:rFonts w:ascii="Arial" w:eastAsia="Arial" w:hAnsi="Arial" w:cs="Arial"/>
                <w:sz w:val="22"/>
                <w:szCs w:val="22"/>
                <w:lang w:bidi="en-US"/>
              </w:rPr>
            </w:pPr>
            <w:r w:rsidRPr="00AE1CF7">
              <w:rPr>
                <w:rFonts w:ascii="Arial" w:eastAsia="Arial" w:hAnsi="Arial" w:cs="Arial"/>
                <w:sz w:val="22"/>
                <w:szCs w:val="22"/>
                <w:lang w:bidi="en-US"/>
              </w:rPr>
              <w:t>75D301-21-F-10577</w:t>
            </w:r>
          </w:p>
        </w:tc>
      </w:tr>
    </w:tbl>
    <w:p w14:paraId="33FC35C2" w14:textId="77777777" w:rsidR="00AE1CF7" w:rsidRPr="00AE1CF7" w:rsidRDefault="00AE1CF7" w:rsidP="00AE1CF7">
      <w:pPr>
        <w:widowControl w:val="0"/>
        <w:autoSpaceDE w:val="0"/>
        <w:autoSpaceDN w:val="0"/>
        <w:spacing w:after="0"/>
        <w:rPr>
          <w:rFonts w:ascii="Arial" w:eastAsia="Garamond" w:hAnsi="Garamond" w:cs="Garamond"/>
          <w:sz w:val="20"/>
          <w:lang w:bidi="en-US"/>
        </w:rPr>
      </w:pPr>
    </w:p>
    <w:p w14:paraId="7124CBC1" w14:textId="77777777" w:rsidR="00D1486A" w:rsidRDefault="00D1486A" w:rsidP="004F3D87">
      <w:pPr>
        <w:spacing w:after="0" w:line="480" w:lineRule="auto"/>
        <w:jc w:val="center"/>
        <w:rPr>
          <w:rFonts w:ascii="Times New Roman" w:hAnsi="Times New Roman" w:cs="Times New Roman"/>
          <w:i/>
        </w:rPr>
      </w:pPr>
    </w:p>
    <w:p w14:paraId="4A0F1BB0" w14:textId="77777777" w:rsidR="00D1486A" w:rsidRDefault="00D1486A" w:rsidP="004F3D87">
      <w:pPr>
        <w:spacing w:after="0" w:line="480" w:lineRule="auto"/>
        <w:jc w:val="center"/>
        <w:rPr>
          <w:rFonts w:ascii="Times New Roman" w:hAnsi="Times New Roman" w:cs="Times New Roman"/>
          <w:i/>
        </w:rPr>
      </w:pPr>
    </w:p>
    <w:p w14:paraId="49E8032B" w14:textId="1B9E505E" w:rsidR="00D1486A" w:rsidRDefault="00D1486A" w:rsidP="00D1486A">
      <w:pPr>
        <w:spacing w:after="0" w:line="480" w:lineRule="auto"/>
        <w:jc w:val="center"/>
        <w:rPr>
          <w:rFonts w:ascii="Times New Roman" w:hAnsi="Times New Roman" w:cs="Times New Roman"/>
          <w:i/>
        </w:rPr>
      </w:pPr>
      <w:r>
        <w:rPr>
          <w:noProof/>
        </w:rPr>
        <w:drawing>
          <wp:anchor distT="0" distB="0" distL="0" distR="0" simplePos="0" relativeHeight="251658241" behindDoc="1" locked="0" layoutInCell="1" allowOverlap="1" wp14:anchorId="237DE5EA" wp14:editId="4323B2F6">
            <wp:simplePos x="0" y="0"/>
            <wp:positionH relativeFrom="page">
              <wp:posOffset>3378467</wp:posOffset>
            </wp:positionH>
            <wp:positionV relativeFrom="page">
              <wp:posOffset>8565348</wp:posOffset>
            </wp:positionV>
            <wp:extent cx="1015466" cy="822299"/>
            <wp:effectExtent l="0" t="0" r="0" b="0"/>
            <wp:wrapNone/>
            <wp:docPr id="2"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Icon&#10;&#10;Description automatically generated"/>
                    <pic:cNvPicPr/>
                  </pic:nvPicPr>
                  <pic:blipFill>
                    <a:blip r:embed="rId11" cstate="print"/>
                    <a:stretch>
                      <a:fillRect/>
                    </a:stretch>
                  </pic:blipFill>
                  <pic:spPr>
                    <a:xfrm>
                      <a:off x="0" y="0"/>
                      <a:ext cx="1015466" cy="822299"/>
                    </a:xfrm>
                    <a:prstGeom prst="rect">
                      <a:avLst/>
                    </a:prstGeom>
                  </pic:spPr>
                </pic:pic>
              </a:graphicData>
            </a:graphic>
            <wp14:sizeRelH relativeFrom="margin">
              <wp14:pctWidth>0</wp14:pctWidth>
            </wp14:sizeRelH>
            <wp14:sizeRelV relativeFrom="margin">
              <wp14:pctHeight>0</wp14:pctHeight>
            </wp14:sizeRelV>
          </wp:anchor>
        </w:drawing>
      </w:r>
    </w:p>
    <w:p w14:paraId="3860B70B" w14:textId="77777777" w:rsidR="00D1486A" w:rsidRDefault="00D1486A" w:rsidP="004F3D87">
      <w:pPr>
        <w:spacing w:after="0" w:line="480" w:lineRule="auto"/>
        <w:jc w:val="center"/>
        <w:rPr>
          <w:rFonts w:ascii="Times New Roman" w:hAnsi="Times New Roman" w:cs="Times New Roman"/>
          <w:i/>
        </w:rPr>
      </w:pPr>
    </w:p>
    <w:p w14:paraId="78750567" w14:textId="77777777" w:rsidR="00D320E1" w:rsidRDefault="00D320E1" w:rsidP="0049225F">
      <w:pPr>
        <w:spacing w:after="0" w:line="480" w:lineRule="auto"/>
        <w:jc w:val="center"/>
        <w:rPr>
          <w:rFonts w:ascii="Times New Roman" w:hAnsi="Times New Roman" w:cs="Times New Roman"/>
          <w:i/>
        </w:rPr>
      </w:pPr>
    </w:p>
    <w:p w14:paraId="7F6D23EB" w14:textId="001DB312" w:rsidR="0049225F" w:rsidRPr="000E0652" w:rsidRDefault="0049225F" w:rsidP="0049225F">
      <w:pPr>
        <w:spacing w:after="0" w:line="480" w:lineRule="auto"/>
        <w:jc w:val="center"/>
        <w:rPr>
          <w:rFonts w:ascii="Times New Roman" w:hAnsi="Times New Roman" w:cs="Times New Roman"/>
          <w:i/>
        </w:rPr>
      </w:pPr>
      <w:r w:rsidRPr="006F7507">
        <w:rPr>
          <w:rFonts w:ascii="Times New Roman" w:hAnsi="Times New Roman" w:cs="Times New Roman"/>
          <w:i/>
        </w:rPr>
        <w:lastRenderedPageBreak/>
        <w:t xml:space="preserve">Formatted for Submission to: </w:t>
      </w:r>
      <w:r w:rsidRPr="00D320E1">
        <w:rPr>
          <w:rFonts w:ascii="Times New Roman" w:hAnsi="Times New Roman" w:cs="Times New Roman"/>
          <w:i/>
          <w:highlight w:val="yellow"/>
        </w:rPr>
        <w:t>Journal to be determined</w:t>
      </w:r>
    </w:p>
    <w:p w14:paraId="1907E3A3" w14:textId="77777777" w:rsidR="0049225F" w:rsidRDefault="0049225F" w:rsidP="006D51EC">
      <w:pPr>
        <w:spacing w:after="0" w:line="480" w:lineRule="auto"/>
        <w:jc w:val="center"/>
        <w:rPr>
          <w:rFonts w:ascii="Times New Roman" w:hAnsi="Times New Roman" w:cs="Times New Roman"/>
          <w:b/>
        </w:rPr>
      </w:pPr>
    </w:p>
    <w:p w14:paraId="54B5DA90" w14:textId="77777777" w:rsidR="0049225F" w:rsidRDefault="0049225F" w:rsidP="006D51EC">
      <w:pPr>
        <w:spacing w:after="0" w:line="480" w:lineRule="auto"/>
        <w:jc w:val="center"/>
        <w:rPr>
          <w:rFonts w:ascii="Times New Roman" w:hAnsi="Times New Roman" w:cs="Times New Roman"/>
          <w:b/>
        </w:rPr>
      </w:pPr>
      <w:r w:rsidRPr="0049225F">
        <w:rPr>
          <w:rFonts w:ascii="Times New Roman" w:hAnsi="Times New Roman" w:cs="Times New Roman"/>
          <w:b/>
        </w:rPr>
        <w:t>School district policy guidance as a tool for mitigating the spread of COVID-19</w:t>
      </w:r>
    </w:p>
    <w:p w14:paraId="5B0F9257" w14:textId="77777777" w:rsidR="006D51EC" w:rsidRDefault="006D51EC" w:rsidP="006D51EC">
      <w:pPr>
        <w:spacing w:after="0" w:line="480" w:lineRule="auto"/>
        <w:jc w:val="center"/>
        <w:rPr>
          <w:rFonts w:ascii="Times New Roman" w:hAnsi="Times New Roman" w:cs="Times New Roman"/>
          <w:b/>
        </w:rPr>
      </w:pPr>
    </w:p>
    <w:p w14:paraId="52B8E120" w14:textId="2C4FC106" w:rsidR="0049225F" w:rsidRPr="00686BD1" w:rsidRDefault="0049225F" w:rsidP="0049225F">
      <w:pPr>
        <w:spacing w:after="0" w:line="480" w:lineRule="auto"/>
        <w:rPr>
          <w:rFonts w:ascii="Times New Roman" w:hAnsi="Times New Roman" w:cs="Times New Roman"/>
        </w:rPr>
      </w:pPr>
      <w:r>
        <w:rPr>
          <w:rFonts w:ascii="Times New Roman" w:hAnsi="Times New Roman" w:cs="Times New Roman"/>
          <w:bCs/>
        </w:rPr>
        <w:t>Zach Timpe</w:t>
      </w:r>
      <w:r w:rsidR="00383567" w:rsidRPr="00383567">
        <w:rPr>
          <w:rFonts w:ascii="Times New Roman" w:hAnsi="Times New Roman" w:cs="Times New Roman"/>
          <w:bCs/>
          <w:vertAlign w:val="superscript"/>
        </w:rPr>
        <w:t>1</w:t>
      </w:r>
      <w:r>
        <w:rPr>
          <w:rFonts w:ascii="Times New Roman" w:hAnsi="Times New Roman" w:cs="Times New Roman"/>
          <w:bCs/>
        </w:rPr>
        <w:t xml:space="preserve">, </w:t>
      </w:r>
      <w:r w:rsidR="00991860">
        <w:rPr>
          <w:rFonts w:ascii="Times New Roman" w:hAnsi="Times New Roman" w:cs="Times New Roman"/>
          <w:bCs/>
        </w:rPr>
        <w:t>Luke McConnell</w:t>
      </w:r>
      <w:r w:rsidR="00AB1302" w:rsidRPr="00AB1302">
        <w:rPr>
          <w:rFonts w:ascii="Times New Roman" w:hAnsi="Times New Roman" w:cs="Times New Roman"/>
          <w:bCs/>
          <w:vertAlign w:val="superscript"/>
        </w:rPr>
        <w:t>1</w:t>
      </w:r>
      <w:r w:rsidR="00991860">
        <w:rPr>
          <w:rFonts w:ascii="Times New Roman" w:hAnsi="Times New Roman" w:cs="Times New Roman"/>
          <w:bCs/>
        </w:rPr>
        <w:t xml:space="preserve">, </w:t>
      </w:r>
      <w:r w:rsidR="00AB1302">
        <w:rPr>
          <w:rFonts w:ascii="Times New Roman" w:hAnsi="Times New Roman" w:cs="Times New Roman"/>
          <w:bCs/>
        </w:rPr>
        <w:t>Ronaldo Iachan</w:t>
      </w:r>
      <w:r w:rsidR="00AB1302" w:rsidRPr="00AB1302">
        <w:rPr>
          <w:rFonts w:ascii="Times New Roman" w:hAnsi="Times New Roman" w:cs="Times New Roman"/>
          <w:bCs/>
          <w:vertAlign w:val="superscript"/>
        </w:rPr>
        <w:t>1</w:t>
      </w:r>
      <w:r w:rsidR="00991860">
        <w:rPr>
          <w:rFonts w:ascii="Times New Roman" w:hAnsi="Times New Roman" w:cs="Times New Roman"/>
          <w:bCs/>
        </w:rPr>
        <w:t xml:space="preserve">, </w:t>
      </w:r>
      <w:r w:rsidR="00BA6415">
        <w:rPr>
          <w:rFonts w:ascii="Times New Roman" w:hAnsi="Times New Roman" w:cs="Times New Roman"/>
          <w:bCs/>
        </w:rPr>
        <w:t>Catherine</w:t>
      </w:r>
      <w:r w:rsidR="00040A5D">
        <w:rPr>
          <w:rFonts w:ascii="Times New Roman" w:hAnsi="Times New Roman" w:cs="Times New Roman"/>
          <w:bCs/>
        </w:rPr>
        <w:t xml:space="preserve"> Rasberry</w:t>
      </w:r>
      <w:r w:rsidR="00383567" w:rsidRPr="00383567">
        <w:rPr>
          <w:rFonts w:ascii="Times New Roman" w:hAnsi="Times New Roman" w:cs="Times New Roman"/>
          <w:bCs/>
          <w:vertAlign w:val="superscript"/>
        </w:rPr>
        <w:t>2</w:t>
      </w:r>
      <w:r w:rsidR="00040A5D">
        <w:rPr>
          <w:rFonts w:ascii="Times New Roman" w:hAnsi="Times New Roman" w:cs="Times New Roman"/>
          <w:bCs/>
        </w:rPr>
        <w:t xml:space="preserve">, </w:t>
      </w:r>
      <w:r>
        <w:rPr>
          <w:rFonts w:ascii="Times New Roman" w:hAnsi="Times New Roman" w:cs="Times New Roman"/>
          <w:bCs/>
        </w:rPr>
        <w:t>Colleen Murray</w:t>
      </w:r>
      <w:r w:rsidR="00383567" w:rsidRPr="00383567">
        <w:rPr>
          <w:rFonts w:ascii="Times New Roman" w:hAnsi="Times New Roman" w:cs="Times New Roman"/>
          <w:bCs/>
          <w:vertAlign w:val="superscript"/>
        </w:rPr>
        <w:t>1</w:t>
      </w:r>
      <w:r>
        <w:rPr>
          <w:rFonts w:ascii="Times New Roman" w:hAnsi="Times New Roman" w:cs="Times New Roman"/>
          <w:bCs/>
        </w:rPr>
        <w:t xml:space="preserve">, </w:t>
      </w:r>
      <w:r w:rsidR="00040A5D">
        <w:rPr>
          <w:rFonts w:ascii="Times New Roman" w:hAnsi="Times New Roman" w:cs="Times New Roman"/>
          <w:bCs/>
        </w:rPr>
        <w:t xml:space="preserve">Sanjana </w:t>
      </w:r>
      <w:r w:rsidR="006D51EC">
        <w:rPr>
          <w:rFonts w:ascii="Times New Roman" w:hAnsi="Times New Roman" w:cs="Times New Roman"/>
          <w:bCs/>
        </w:rPr>
        <w:t>Pampati</w:t>
      </w:r>
      <w:r w:rsidR="00383567" w:rsidRPr="000B0DE3">
        <w:rPr>
          <w:rFonts w:ascii="Times New Roman" w:hAnsi="Times New Roman" w:cs="Times New Roman"/>
          <w:vertAlign w:val="superscript"/>
        </w:rPr>
        <w:t>2</w:t>
      </w:r>
      <w:r w:rsidR="00383567">
        <w:rPr>
          <w:rFonts w:ascii="Times New Roman" w:hAnsi="Times New Roman" w:cs="Times New Roman"/>
          <w:bCs/>
        </w:rPr>
        <w:t xml:space="preserve">, [additional </w:t>
      </w:r>
      <w:r w:rsidR="000B0DE3">
        <w:rPr>
          <w:rFonts w:ascii="Times New Roman" w:hAnsi="Times New Roman" w:cs="Times New Roman"/>
          <w:bCs/>
        </w:rPr>
        <w:t xml:space="preserve">ICF/CDC </w:t>
      </w:r>
      <w:r w:rsidR="00383567">
        <w:rPr>
          <w:rFonts w:ascii="Times New Roman" w:hAnsi="Times New Roman" w:cs="Times New Roman"/>
          <w:bCs/>
        </w:rPr>
        <w:t>authors]</w:t>
      </w:r>
    </w:p>
    <w:p w14:paraId="19A168C3" w14:textId="77777777" w:rsidR="0049225F" w:rsidRPr="00686BD1" w:rsidRDefault="0049225F" w:rsidP="0049225F">
      <w:pPr>
        <w:spacing w:after="0" w:line="480" w:lineRule="auto"/>
        <w:rPr>
          <w:rFonts w:ascii="Times New Roman" w:hAnsi="Times New Roman" w:cs="Times New Roman"/>
        </w:rPr>
      </w:pPr>
      <w:r w:rsidRPr="00686BD1">
        <w:rPr>
          <w:rFonts w:ascii="Times New Roman" w:hAnsi="Times New Roman" w:cs="Times New Roman"/>
          <w:b/>
        </w:rPr>
        <w:t xml:space="preserve">Author affiliations: </w:t>
      </w:r>
      <w:r w:rsidRPr="00686BD1">
        <w:rPr>
          <w:rFonts w:ascii="Times New Roman" w:hAnsi="Times New Roman" w:cs="Times New Roman"/>
          <w:vertAlign w:val="superscript"/>
        </w:rPr>
        <w:t>1</w:t>
      </w:r>
      <w:r w:rsidRPr="00686BD1">
        <w:rPr>
          <w:rFonts w:ascii="Times New Roman" w:hAnsi="Times New Roman" w:cs="Times New Roman"/>
        </w:rPr>
        <w:t xml:space="preserve"> ICF, Atlanta, GA; </w:t>
      </w:r>
      <w:r w:rsidRPr="00686BD1">
        <w:rPr>
          <w:rFonts w:ascii="Times New Roman" w:hAnsi="Times New Roman" w:cs="Times New Roman"/>
          <w:vertAlign w:val="superscript"/>
        </w:rPr>
        <w:t>2</w:t>
      </w:r>
      <w:r w:rsidRPr="00686BD1">
        <w:rPr>
          <w:rFonts w:ascii="Times New Roman" w:hAnsi="Times New Roman" w:cs="Times New Roman"/>
        </w:rPr>
        <w:t xml:space="preserve"> Centers for Disease Control and Prevention, Division of Adolescent and School Health, Atlanta, GA</w:t>
      </w:r>
    </w:p>
    <w:p w14:paraId="3C6070F5" w14:textId="5B896A5E" w:rsidR="0049225F" w:rsidRPr="004C59AA" w:rsidRDefault="0049225F" w:rsidP="0049225F">
      <w:pPr>
        <w:spacing w:after="0" w:line="480" w:lineRule="auto"/>
        <w:rPr>
          <w:rFonts w:ascii="Times New Roman" w:hAnsi="Times New Roman" w:cs="Times New Roman"/>
          <w:spacing w:val="-2"/>
        </w:rPr>
      </w:pPr>
      <w:r w:rsidRPr="00686BD1">
        <w:rPr>
          <w:rFonts w:ascii="Times New Roman" w:hAnsi="Times New Roman" w:cs="Times New Roman"/>
          <w:b/>
        </w:rPr>
        <w:t xml:space="preserve">Funding: </w:t>
      </w:r>
      <w:r w:rsidR="004C59AA" w:rsidRPr="004C59AA">
        <w:rPr>
          <w:rFonts w:ascii="Times New Roman" w:hAnsi="Times New Roman" w:cs="Times New Roman"/>
          <w:spacing w:val="-2"/>
        </w:rPr>
        <w:t>Funding for this</w:t>
      </w:r>
      <w:r w:rsidR="0058346C" w:rsidRPr="004C59AA">
        <w:rPr>
          <w:rFonts w:ascii="Times New Roman" w:hAnsi="Times New Roman" w:cs="Times New Roman"/>
          <w:spacing w:val="-2"/>
        </w:rPr>
        <w:t xml:space="preserve"> study was </w:t>
      </w:r>
      <w:r w:rsidR="004C59AA" w:rsidRPr="004C59AA">
        <w:rPr>
          <w:rFonts w:ascii="Times New Roman" w:hAnsi="Times New Roman" w:cs="Times New Roman"/>
          <w:spacing w:val="-2"/>
        </w:rPr>
        <w:t>provided through contract delivery</w:t>
      </w:r>
      <w:r w:rsidR="0058346C" w:rsidRPr="004C59AA">
        <w:rPr>
          <w:rFonts w:ascii="Times New Roman" w:hAnsi="Times New Roman" w:cs="Times New Roman"/>
          <w:spacing w:val="-2"/>
        </w:rPr>
        <w:t xml:space="preserve"> order </w:t>
      </w:r>
      <w:r w:rsidR="004C59AA" w:rsidRPr="004C59AA">
        <w:rPr>
          <w:rFonts w:ascii="Times New Roman" w:hAnsi="Times New Roman" w:cs="Times New Roman"/>
          <w:spacing w:val="-2"/>
        </w:rPr>
        <w:t>#</w:t>
      </w:r>
      <w:r w:rsidR="0058346C" w:rsidRPr="004C59AA">
        <w:rPr>
          <w:rFonts w:ascii="Times New Roman" w:hAnsi="Times New Roman" w:cs="Times New Roman"/>
          <w:spacing w:val="-2"/>
        </w:rPr>
        <w:t xml:space="preserve">75D30121F10577 from the </w:t>
      </w:r>
      <w:r w:rsidR="004C59AA" w:rsidRPr="004C59AA">
        <w:rPr>
          <w:rFonts w:ascii="Times New Roman" w:hAnsi="Times New Roman" w:cs="Times New Roman"/>
          <w:spacing w:val="-2"/>
        </w:rPr>
        <w:t>Center</w:t>
      </w:r>
      <w:r w:rsidR="0058346C" w:rsidRPr="004C59AA">
        <w:rPr>
          <w:rFonts w:ascii="Times New Roman" w:hAnsi="Times New Roman" w:cs="Times New Roman"/>
          <w:spacing w:val="-2"/>
        </w:rPr>
        <w:t xml:space="preserve"> for Disease Control and </w:t>
      </w:r>
      <w:r w:rsidR="004C59AA" w:rsidRPr="004C59AA">
        <w:rPr>
          <w:rFonts w:ascii="Times New Roman" w:hAnsi="Times New Roman" w:cs="Times New Roman"/>
          <w:spacing w:val="-2"/>
        </w:rPr>
        <w:t>Prevention’s</w:t>
      </w:r>
      <w:r w:rsidRPr="004C59AA">
        <w:rPr>
          <w:rFonts w:ascii="Times New Roman" w:hAnsi="Times New Roman" w:cs="Times New Roman"/>
          <w:spacing w:val="-2"/>
        </w:rPr>
        <w:t xml:space="preserve"> Division of Adole</w:t>
      </w:r>
      <w:r w:rsidRPr="00686BD1">
        <w:rPr>
          <w:rFonts w:ascii="Times New Roman" w:hAnsi="Times New Roman" w:cs="Times New Roman"/>
          <w:spacing w:val="-2"/>
        </w:rPr>
        <w:t>s</w:t>
      </w:r>
      <w:r w:rsidRPr="004C59AA">
        <w:rPr>
          <w:rFonts w:ascii="Times New Roman" w:hAnsi="Times New Roman" w:cs="Times New Roman"/>
          <w:spacing w:val="-2"/>
        </w:rPr>
        <w:t xml:space="preserve">cent and School Health </w:t>
      </w:r>
      <w:r w:rsidR="004C59AA" w:rsidRPr="004C59AA">
        <w:rPr>
          <w:rFonts w:ascii="Times New Roman" w:hAnsi="Times New Roman" w:cs="Times New Roman"/>
          <w:spacing w:val="-2"/>
        </w:rPr>
        <w:t>to ICF.</w:t>
      </w:r>
    </w:p>
    <w:p w14:paraId="5ADA3DD8" w14:textId="77777777" w:rsidR="0049225F" w:rsidRDefault="0049225F" w:rsidP="0049225F">
      <w:pPr>
        <w:tabs>
          <w:tab w:val="left" w:pos="2736"/>
        </w:tabs>
        <w:spacing w:after="0" w:line="480" w:lineRule="auto"/>
        <w:rPr>
          <w:rFonts w:ascii="Times New Roman" w:hAnsi="Times New Roman" w:cs="Times New Roman"/>
        </w:rPr>
      </w:pPr>
      <w:r w:rsidRPr="00686BD1">
        <w:rPr>
          <w:rFonts w:ascii="Times New Roman" w:hAnsi="Times New Roman" w:cs="Times New Roman"/>
          <w:b/>
        </w:rPr>
        <w:t xml:space="preserve"> Conflicting Interests: </w:t>
      </w:r>
      <w:r w:rsidRPr="00686BD1">
        <w:rPr>
          <w:rFonts w:ascii="Times New Roman" w:hAnsi="Times New Roman" w:cs="Times New Roman"/>
        </w:rPr>
        <w:t xml:space="preserve">The authors declared no potential conflicts of interest with respect to the research, authorship, and/or publication of this article. </w:t>
      </w:r>
    </w:p>
    <w:p w14:paraId="01837551" w14:textId="32F66445" w:rsidR="0049225F" w:rsidRPr="00FC2365" w:rsidRDefault="0049225F" w:rsidP="0049225F">
      <w:pPr>
        <w:tabs>
          <w:tab w:val="left" w:pos="2736"/>
        </w:tabs>
        <w:spacing w:after="0" w:line="480" w:lineRule="auto"/>
        <w:rPr>
          <w:rFonts w:ascii="Times New Roman" w:hAnsi="Times New Roman" w:cs="Times New Roman"/>
        </w:rPr>
      </w:pPr>
      <w:r w:rsidRPr="00FC2365">
        <w:rPr>
          <w:rFonts w:ascii="Times New Roman" w:hAnsi="Times New Roman" w:cs="Times New Roman"/>
          <w:b/>
        </w:rPr>
        <w:t xml:space="preserve">Disclaimer: </w:t>
      </w:r>
      <w:r w:rsidRPr="00FC2365">
        <w:rPr>
          <w:rFonts w:ascii="Times New Roman" w:hAnsi="Times New Roman" w:cs="Times New Roman"/>
        </w:rPr>
        <w:t xml:space="preserve">The findings and conclusions in the </w:t>
      </w:r>
      <w:r w:rsidR="00D745A4" w:rsidRPr="00D745A4">
        <w:rPr>
          <w:rFonts w:ascii="Times New Roman" w:hAnsi="Times New Roman" w:cs="Times New Roman"/>
        </w:rPr>
        <w:t>article</w:t>
      </w:r>
      <w:r w:rsidRPr="00FC2365">
        <w:rPr>
          <w:rFonts w:ascii="Times New Roman" w:hAnsi="Times New Roman" w:cs="Times New Roman"/>
        </w:rPr>
        <w:t xml:space="preserve"> are those of the authors and do not necessarily represent the official position of the Centers for Disease Control and Prevention.</w:t>
      </w:r>
    </w:p>
    <w:p w14:paraId="69B6490E" w14:textId="77777777" w:rsidR="004C59AA" w:rsidRPr="00686BD1" w:rsidRDefault="004C59AA" w:rsidP="004C59AA">
      <w:pPr>
        <w:spacing w:after="0" w:line="480" w:lineRule="auto"/>
        <w:rPr>
          <w:rFonts w:ascii="Times New Roman" w:hAnsi="Times New Roman"/>
        </w:rPr>
      </w:pPr>
      <w:r w:rsidRPr="00686BD1">
        <w:rPr>
          <w:rFonts w:ascii="Times New Roman" w:hAnsi="Times New Roman"/>
          <w:b/>
        </w:rPr>
        <w:t>Acknowledgements:</w:t>
      </w:r>
      <w:r w:rsidRPr="00686BD1">
        <w:rPr>
          <w:rFonts w:ascii="Times New Roman" w:hAnsi="Times New Roman"/>
        </w:rPr>
        <w:t xml:space="preserve"> </w:t>
      </w:r>
      <w:r w:rsidRPr="0058346C">
        <w:rPr>
          <w:rFonts w:ascii="Times New Roman" w:hAnsi="Times New Roman"/>
        </w:rPr>
        <w:t xml:space="preserve">This study was funded, in part, by task order 75D30121F10577 from the Centers for Disease Control and Prevention to ICF. We acknowledge the contributions of the school staff participants, as well as Sarah Conklin, James Demery, </w:t>
      </w:r>
      <w:proofErr w:type="spellStart"/>
      <w:r w:rsidRPr="0058346C">
        <w:rPr>
          <w:rFonts w:ascii="Times New Roman" w:hAnsi="Times New Roman"/>
        </w:rPr>
        <w:t>Cherrelle</w:t>
      </w:r>
      <w:proofErr w:type="spellEnd"/>
      <w:r w:rsidRPr="0058346C">
        <w:rPr>
          <w:rFonts w:ascii="Times New Roman" w:hAnsi="Times New Roman"/>
        </w:rPr>
        <w:t xml:space="preserve"> </w:t>
      </w:r>
      <w:proofErr w:type="spellStart"/>
      <w:r w:rsidRPr="0058346C">
        <w:rPr>
          <w:rFonts w:ascii="Times New Roman" w:hAnsi="Times New Roman"/>
        </w:rPr>
        <w:t>Dorleans</w:t>
      </w:r>
      <w:proofErr w:type="spellEnd"/>
      <w:r w:rsidRPr="0058346C">
        <w:rPr>
          <w:rFonts w:ascii="Times New Roman" w:hAnsi="Times New Roman"/>
        </w:rPr>
        <w:t xml:space="preserve">, </w:t>
      </w:r>
      <w:proofErr w:type="spellStart"/>
      <w:r w:rsidRPr="0058346C">
        <w:rPr>
          <w:rFonts w:ascii="Times New Roman" w:hAnsi="Times New Roman"/>
        </w:rPr>
        <w:t>Brandee</w:t>
      </w:r>
      <w:proofErr w:type="spellEnd"/>
      <w:r w:rsidRPr="0058346C">
        <w:rPr>
          <w:rFonts w:ascii="Times New Roman" w:hAnsi="Times New Roman"/>
        </w:rPr>
        <w:t xml:space="preserve"> Hicks, Adrian King, Erica McCoy, Leah Powell, </w:t>
      </w:r>
      <w:proofErr w:type="spellStart"/>
      <w:r w:rsidRPr="0058346C">
        <w:rPr>
          <w:rFonts w:ascii="Times New Roman" w:hAnsi="Times New Roman"/>
        </w:rPr>
        <w:t>Lynnea</w:t>
      </w:r>
      <w:proofErr w:type="spellEnd"/>
      <w:r w:rsidRPr="0058346C">
        <w:rPr>
          <w:rFonts w:ascii="Times New Roman" w:hAnsi="Times New Roman"/>
        </w:rPr>
        <w:t xml:space="preserve"> Roberts, India Rose, April Carswell, Syreeta Skelton-Wilson; Carmen Ashley, </w:t>
      </w:r>
      <w:proofErr w:type="spellStart"/>
      <w:r w:rsidRPr="0058346C">
        <w:rPr>
          <w:rFonts w:ascii="Times New Roman" w:hAnsi="Times New Roman"/>
        </w:rPr>
        <w:t>Lorin</w:t>
      </w:r>
      <w:proofErr w:type="spellEnd"/>
      <w:r w:rsidRPr="0058346C">
        <w:rPr>
          <w:rFonts w:ascii="Times New Roman" w:hAnsi="Times New Roman"/>
        </w:rPr>
        <w:t xml:space="preserve"> Boyce, Nancy </w:t>
      </w:r>
      <w:proofErr w:type="spellStart"/>
      <w:r w:rsidRPr="0058346C">
        <w:rPr>
          <w:rFonts w:ascii="Times New Roman" w:hAnsi="Times New Roman"/>
        </w:rPr>
        <w:t>Brener</w:t>
      </w:r>
      <w:proofErr w:type="spellEnd"/>
      <w:r w:rsidRPr="0058346C">
        <w:rPr>
          <w:rFonts w:ascii="Times New Roman" w:hAnsi="Times New Roman"/>
        </w:rPr>
        <w:t xml:space="preserve">, Michelle Carman-McClanahan, </w:t>
      </w:r>
      <w:proofErr w:type="spellStart"/>
      <w:r w:rsidRPr="0058346C">
        <w:rPr>
          <w:rFonts w:ascii="Times New Roman" w:hAnsi="Times New Roman"/>
        </w:rPr>
        <w:t>Xiaoyi</w:t>
      </w:r>
      <w:proofErr w:type="spellEnd"/>
      <w:r w:rsidRPr="0058346C">
        <w:rPr>
          <w:rFonts w:ascii="Times New Roman" w:hAnsi="Times New Roman"/>
        </w:rPr>
        <w:t xml:space="preserve"> Deng, Neha </w:t>
      </w:r>
      <w:proofErr w:type="spellStart"/>
      <w:r w:rsidRPr="0058346C">
        <w:rPr>
          <w:rFonts w:ascii="Times New Roman" w:hAnsi="Times New Roman"/>
        </w:rPr>
        <w:t>Kanade</w:t>
      </w:r>
      <w:proofErr w:type="spellEnd"/>
      <w:r w:rsidRPr="0058346C">
        <w:rPr>
          <w:rFonts w:ascii="Times New Roman" w:hAnsi="Times New Roman"/>
        </w:rPr>
        <w:t xml:space="preserve"> Cramer, Dana Keener Mast, Catherine Lesesne, Seraphine Pitt Barnes, Leah Robin, Lucas Godoy </w:t>
      </w:r>
      <w:proofErr w:type="spellStart"/>
      <w:r w:rsidRPr="0058346C">
        <w:rPr>
          <w:rFonts w:ascii="Times New Roman" w:hAnsi="Times New Roman"/>
        </w:rPr>
        <w:t>Garraza</w:t>
      </w:r>
      <w:proofErr w:type="spellEnd"/>
      <w:r w:rsidRPr="0058346C">
        <w:rPr>
          <w:rFonts w:ascii="Times New Roman" w:hAnsi="Times New Roman"/>
        </w:rPr>
        <w:t>, Nicole Gonzalez, Christine Walrath, and the rest of the National School COVID-19 Prevention Study team.</w:t>
      </w:r>
    </w:p>
    <w:p w14:paraId="0D89085E" w14:textId="77777777" w:rsidR="006D00F6" w:rsidRDefault="0049225F" w:rsidP="006D00F6">
      <w:pPr>
        <w:spacing w:after="0" w:line="480" w:lineRule="auto"/>
        <w:jc w:val="center"/>
        <w:rPr>
          <w:rFonts w:ascii="Times New Roman" w:hAnsi="Times New Roman" w:cs="Times New Roman"/>
          <w:b/>
        </w:rPr>
      </w:pPr>
      <w:r w:rsidRPr="0049225F">
        <w:rPr>
          <w:rFonts w:ascii="Times New Roman" w:hAnsi="Times New Roman" w:cs="Times New Roman"/>
          <w:b/>
        </w:rPr>
        <w:lastRenderedPageBreak/>
        <w:t>School district policy guidance as a tool for mitigating the spread of COVID-19</w:t>
      </w:r>
    </w:p>
    <w:p w14:paraId="3373BDA1" w14:textId="17895C8C" w:rsidR="00996F40" w:rsidRPr="00FC2365" w:rsidRDefault="006D00F6" w:rsidP="00F175C5">
      <w:pPr>
        <w:tabs>
          <w:tab w:val="left" w:pos="2736"/>
        </w:tabs>
        <w:spacing w:after="0" w:line="480" w:lineRule="auto"/>
        <w:jc w:val="center"/>
        <w:rPr>
          <w:rFonts w:ascii="Times New Roman" w:hAnsi="Times New Roman" w:cs="Times New Roman"/>
        </w:rPr>
      </w:pPr>
      <w:r w:rsidRPr="00F175C5">
        <w:rPr>
          <w:rFonts w:ascii="Times New Roman" w:hAnsi="Times New Roman" w:cs="Times New Roman"/>
          <w:b/>
        </w:rPr>
        <w:t>Abstract</w:t>
      </w:r>
    </w:p>
    <w:p w14:paraId="4F2985A9" w14:textId="3B7A39F7" w:rsidR="007677EA" w:rsidRDefault="00B56D1F" w:rsidP="00F175C5">
      <w:pPr>
        <w:pStyle w:val="FirstParagraph"/>
        <w:spacing w:line="480" w:lineRule="auto"/>
      </w:pPr>
      <w:bookmarkStart w:id="0" w:name="abstract"/>
      <w:r>
        <w:t xml:space="preserve">Students in the United States have been severely affected by the COVID-19 pandemic. </w:t>
      </w:r>
      <w:r w:rsidR="00EA1561">
        <w:t xml:space="preserve">Schools </w:t>
      </w:r>
      <w:r w:rsidR="00723322">
        <w:t>serve as</w:t>
      </w:r>
      <w:r w:rsidR="00EA1561">
        <w:t xml:space="preserve"> a critical environment for children, youth, families, and communities. </w:t>
      </w:r>
      <w:r w:rsidR="00F71DEE">
        <w:t xml:space="preserve">Emerging research </w:t>
      </w:r>
      <w:r w:rsidR="00460C7B">
        <w:t>sugg</w:t>
      </w:r>
      <w:r w:rsidR="00C97A71">
        <w:t xml:space="preserve">ests </w:t>
      </w:r>
      <w:r w:rsidR="00A14312">
        <w:t>the effectiveness of COVID-19 mitigation strategies, allowing schools to reopen and operate safely.</w:t>
      </w:r>
      <w:r w:rsidR="00F71DEE">
        <w:t xml:space="preserve"> </w:t>
      </w:r>
      <w:r w:rsidR="00EA1561">
        <w:t xml:space="preserve">Districts’ guidance of </w:t>
      </w:r>
      <w:r w:rsidR="00C32DFE">
        <w:t>COVID-19</w:t>
      </w:r>
      <w:r w:rsidR="00EA1561">
        <w:t xml:space="preserve"> mitigation strategies, however, has received very little attention, an important gap given their role in establishing universal policies and practices. The purpose of this study was to assess the association between districts’ COVID-19 prevention policies, aligned with the Centers for Disease Control and Prevention’s </w:t>
      </w:r>
      <w:r w:rsidR="00D148ED" w:rsidRPr="00D148ED">
        <w:t>Operational Guidance for K-12 Schools</w:t>
      </w:r>
      <w:r w:rsidR="00EA1561">
        <w:t>, and subsequent COVID-19 case counts in schools during the 2021-2022 school year</w:t>
      </w:r>
      <w:r w:rsidR="00B178E0">
        <w:t>.</w:t>
      </w:r>
      <w:r w:rsidR="00EA1561">
        <w:t xml:space="preserve"> </w:t>
      </w:r>
      <w:r w:rsidR="00054024">
        <w:t xml:space="preserve">Data </w:t>
      </w:r>
      <w:proofErr w:type="gramStart"/>
      <w:r w:rsidR="00054024">
        <w:t>analysis</w:t>
      </w:r>
      <w:proofErr w:type="gramEnd"/>
      <w:r w:rsidR="00054024">
        <w:t xml:space="preserve"> were conducted </w:t>
      </w:r>
      <w:r w:rsidR="00B00239">
        <w:t xml:space="preserve">sing survey data from </w:t>
      </w:r>
      <w:r w:rsidR="00835752">
        <w:t>a</w:t>
      </w:r>
      <w:r w:rsidR="00B00239">
        <w:t xml:space="preserve"> </w:t>
      </w:r>
      <w:r w:rsidR="00B00239" w:rsidRPr="00A31851">
        <w:t>stratified random sample of</w:t>
      </w:r>
      <w:r w:rsidR="00B00239">
        <w:t xml:space="preserve"> 1,602</w:t>
      </w:r>
      <w:r w:rsidR="00B00239" w:rsidRPr="00A31851">
        <w:t xml:space="preserve"> K-12 public schools </w:t>
      </w:r>
      <w:r w:rsidR="00B00239">
        <w:t xml:space="preserve">across 1,286 school districts </w:t>
      </w:r>
      <w:r w:rsidR="00900D38">
        <w:t xml:space="preserve">and publicly available </w:t>
      </w:r>
      <w:r w:rsidR="000B297A" w:rsidRPr="000B297A">
        <w:t>district-level COVID-19 guidance (e.g., policies, reopening plans, prevention guidance)</w:t>
      </w:r>
      <w:r w:rsidR="00054024">
        <w:t xml:space="preserve">. </w:t>
      </w:r>
      <w:r w:rsidR="00EA1561">
        <w:t>Over</w:t>
      </w:r>
      <w:r w:rsidR="0026340A">
        <w:t xml:space="preserve">all findings indicate </w:t>
      </w:r>
      <w:r w:rsidR="00EA1561">
        <w:t xml:space="preserve">that a layered approach to prevention in the form of five mitigation strategies, including upkeep of HVAC systems, requiring physical distancing, encouraging that students stay home when sick, quarantining, and offering screening and testing for students, was associated with a smaller increase in </w:t>
      </w:r>
      <w:r w:rsidR="0026340A">
        <w:t xml:space="preserve">COVID-19 </w:t>
      </w:r>
      <w:r w:rsidR="00EA1561">
        <w:t xml:space="preserve">case rates between the fall and spring. </w:t>
      </w:r>
      <w:r w:rsidR="003A5753">
        <w:t xml:space="preserve">These findings align with </w:t>
      </w:r>
      <w:r w:rsidR="00E3440F">
        <w:t xml:space="preserve">previous research that </w:t>
      </w:r>
      <w:r w:rsidR="20C303FE">
        <w:t>found</w:t>
      </w:r>
      <w:r w:rsidR="00E3440F">
        <w:t xml:space="preserve"> the effectiveness of layering and promoting </w:t>
      </w:r>
      <w:r w:rsidR="00CA7930">
        <w:t>the implementation of</w:t>
      </w:r>
      <w:r w:rsidR="00E3440F">
        <w:t xml:space="preserve"> multiple COVID-19 </w:t>
      </w:r>
      <w:r w:rsidR="00CA7930">
        <w:t>mitigation</w:t>
      </w:r>
      <w:r w:rsidR="00E3440F">
        <w:t xml:space="preserve"> strategies in</w:t>
      </w:r>
      <w:r w:rsidR="003A5753">
        <w:t xml:space="preserve"> </w:t>
      </w:r>
      <w:r w:rsidR="00CA7930">
        <w:t>school</w:t>
      </w:r>
      <w:r w:rsidR="225ED45F">
        <w:t>s</w:t>
      </w:r>
      <w:r w:rsidR="00CA7930">
        <w:t xml:space="preserve">. </w:t>
      </w:r>
    </w:p>
    <w:p w14:paraId="006854A2" w14:textId="4DCD503F" w:rsidR="00054024" w:rsidRPr="00054024" w:rsidRDefault="00054024" w:rsidP="00F175C5">
      <w:pPr>
        <w:pStyle w:val="BodyText"/>
      </w:pPr>
      <w:r>
        <w:t>Key</w:t>
      </w:r>
      <w:r w:rsidR="00CD46CF">
        <w:t>words: COVID-19</w:t>
      </w:r>
      <w:r w:rsidR="004C68D1">
        <w:t>, school</w:t>
      </w:r>
      <w:r w:rsidR="00D46211">
        <w:t xml:space="preserve"> districts</w:t>
      </w:r>
      <w:r w:rsidR="004C68D1">
        <w:t>,</w:t>
      </w:r>
      <w:r w:rsidR="00D46211">
        <w:t xml:space="preserve"> mitigation strategies</w:t>
      </w:r>
      <w:r w:rsidR="004C68D1">
        <w:t xml:space="preserve">, policy, </w:t>
      </w:r>
      <w:r w:rsidR="00645950">
        <w:t>COVID case data</w:t>
      </w:r>
    </w:p>
    <w:p w14:paraId="02617B93" w14:textId="56573141" w:rsidR="006D00F6" w:rsidRDefault="006D00F6">
      <w:pPr>
        <w:rPr>
          <w:rFonts w:ascii="Times New Roman" w:hAnsi="Times New Roman"/>
        </w:rPr>
      </w:pPr>
      <w:r>
        <w:br w:type="page"/>
      </w:r>
    </w:p>
    <w:p w14:paraId="6A09802C" w14:textId="7F85BE0A" w:rsidR="006D00F6" w:rsidRPr="00D52678" w:rsidRDefault="006D00F6" w:rsidP="00F175C5">
      <w:pPr>
        <w:pStyle w:val="BodyText"/>
        <w:spacing w:line="480" w:lineRule="auto"/>
        <w:jc w:val="center"/>
        <w:rPr>
          <w:b/>
        </w:rPr>
      </w:pPr>
      <w:r w:rsidRPr="00D52678">
        <w:rPr>
          <w:b/>
        </w:rPr>
        <w:lastRenderedPageBreak/>
        <w:t>Introduction</w:t>
      </w:r>
    </w:p>
    <w:p w14:paraId="4F2985AB" w14:textId="6E0063C4" w:rsidR="007677EA" w:rsidRDefault="00EA1561" w:rsidP="00F175C5">
      <w:pPr>
        <w:pStyle w:val="FirstParagraph"/>
        <w:spacing w:line="480" w:lineRule="auto"/>
        <w:ind w:firstLine="720"/>
      </w:pPr>
      <w:bookmarkStart w:id="1" w:name="introduction"/>
      <w:bookmarkEnd w:id="0"/>
      <w:r>
        <w:t>Safe schools are essential to the healthy development of children and youth, a foundational context providing services beyond education, including food and nutritional support, after-school programming, and multidisciplinary health care services extending to families and communities (</w:t>
      </w:r>
      <w:proofErr w:type="spellStart"/>
      <w:r>
        <w:t>Verlenden</w:t>
      </w:r>
      <w:proofErr w:type="spellEnd"/>
      <w:r>
        <w:t xml:space="preserve"> et al.</w:t>
      </w:r>
      <w:r w:rsidR="00A17777">
        <w:t>,</w:t>
      </w:r>
      <w:r>
        <w:t xml:space="preserve"> 2021). Due to the school environment’s indelible position in the social context, strategies intended to address public health emergencies must be tailored to minimize disruption of services while also effectively addressing potential emergency events. The onset of the COVID-19 pandemic led to school closures and an abrupt shift to virtual educational models, eliminating many of the benefits to in-person attendance (Zimmerman, Jackman, </w:t>
      </w:r>
      <w:r w:rsidR="00A17777">
        <w:t>&amp;</w:t>
      </w:r>
      <w:r>
        <w:t xml:space="preserve"> Benjamin 2022). Moreover, school-based closures disproportionately affected children of low-income families and widened disparities in achievement by socioeconomic status as well as digital access among Black and Latinx communities </w:t>
      </w:r>
      <w:r w:rsidR="0079401D">
        <w:t>(</w:t>
      </w:r>
      <w:proofErr w:type="spellStart"/>
      <w:r>
        <w:t>Kuhfeld</w:t>
      </w:r>
      <w:proofErr w:type="spellEnd"/>
      <w:r>
        <w:t xml:space="preserve"> et al.</w:t>
      </w:r>
      <w:r w:rsidR="0079401D">
        <w:t xml:space="preserve">, </w:t>
      </w:r>
      <w:r>
        <w:t>2020</w:t>
      </w:r>
      <w:r w:rsidR="0079401D">
        <w:t xml:space="preserve">; </w:t>
      </w:r>
      <w:r>
        <w:t>Nicola et al.</w:t>
      </w:r>
      <w:r w:rsidR="008D444D">
        <w:t>,</w:t>
      </w:r>
      <w:r>
        <w:t xml:space="preserve"> 2020</w:t>
      </w:r>
      <w:r w:rsidR="008D444D">
        <w:t xml:space="preserve">; </w:t>
      </w:r>
      <w:r>
        <w:t>Oster et al.</w:t>
      </w:r>
      <w:r w:rsidR="008D444D">
        <w:t>,</w:t>
      </w:r>
      <w:r>
        <w:t xml:space="preserve"> 2021). In addition, families of children with underlying health conditions, physical or developmental disabilities, or neurodivergent learning differences struggled to get the necessary support and accommodations (</w:t>
      </w:r>
      <w:proofErr w:type="spellStart"/>
      <w:r>
        <w:t>Cernich</w:t>
      </w:r>
      <w:proofErr w:type="spellEnd"/>
      <w:r>
        <w:t xml:space="preserve">, Lee, </w:t>
      </w:r>
      <w:r w:rsidR="00F175C5">
        <w:t>&amp;</w:t>
      </w:r>
      <w:r>
        <w:t xml:space="preserve"> Bianchi 2022). Among other costs, parents and caregivers suffered from emotional distress and worried about job security and teachers contemplated retirement in mass </w:t>
      </w:r>
      <w:r w:rsidR="00D52678">
        <w:t xml:space="preserve">(Gillani et al, 2022; Lambert, Trott, &amp; Baugh, 2020; </w:t>
      </w:r>
      <w:proofErr w:type="spellStart"/>
      <w:r>
        <w:t>Verlenden</w:t>
      </w:r>
      <w:proofErr w:type="spellEnd"/>
      <w:r>
        <w:t xml:space="preserve"> et al.</w:t>
      </w:r>
      <w:r w:rsidR="00D52678">
        <w:t>, 2021;</w:t>
      </w:r>
      <w:r>
        <w:t xml:space="preserve"> Zimmerman, Jackman, </w:t>
      </w:r>
      <w:r w:rsidR="00D52678">
        <w:t>&amp;</w:t>
      </w:r>
      <w:r>
        <w:t xml:space="preserve"> Benjamin 2022</w:t>
      </w:r>
      <w:r w:rsidR="00D52678">
        <w:t>)</w:t>
      </w:r>
    </w:p>
    <w:p w14:paraId="4F2985AC" w14:textId="120D4C87" w:rsidR="007677EA" w:rsidRDefault="00EA1561" w:rsidP="00F175C5">
      <w:pPr>
        <w:pStyle w:val="BodyText"/>
        <w:spacing w:line="480" w:lineRule="auto"/>
        <w:ind w:firstLine="720"/>
      </w:pPr>
      <w:r>
        <w:t>The Centers for Disease Control and Prevention (CDC) published operational guidance for in-person learning (</w:t>
      </w:r>
      <w:proofErr w:type="spellStart"/>
      <w:r>
        <w:t>Honein</w:t>
      </w:r>
      <w:proofErr w:type="spellEnd"/>
      <w:r>
        <w:t xml:space="preserve">, Barrios, </w:t>
      </w:r>
      <w:r w:rsidR="00F175C5">
        <w:t>&amp;</w:t>
      </w:r>
      <w:r>
        <w:t xml:space="preserve"> Brooks 2021). While these recommendations were modified as researchers better understood effective methods to mitigating COVID-19 in communities and schools, overall a layered approach to prevention has endured to include multiple recommendations, such as recommending and/or requiring any of universal masking, </w:t>
      </w:r>
      <w:r>
        <w:lastRenderedPageBreak/>
        <w:t>physical distancing, students staying home when sick, quarantining for those exposed to COVID-19, contact tracing, improving cleaning practices, screening and testing for students, and improving air quality via filtration methods, such as HEPA filters and HVAC systems (</w:t>
      </w:r>
      <w:proofErr w:type="spellStart"/>
      <w:r>
        <w:t>Honein</w:t>
      </w:r>
      <w:proofErr w:type="spellEnd"/>
      <w:r>
        <w:t xml:space="preserve">, Barrios, </w:t>
      </w:r>
      <w:r w:rsidR="00F175C5">
        <w:t>&amp;</w:t>
      </w:r>
      <w:r>
        <w:t xml:space="preserve"> Brooks 2021). Emerging research suggests the effectiveness of these individual and layered approaches to mitigating the spread of COVID-19 in schools, though there is less information regarding school districts’ role in implementation.</w:t>
      </w:r>
    </w:p>
    <w:p w14:paraId="4F2985AD" w14:textId="257883D0" w:rsidR="007677EA" w:rsidRDefault="00EA1561" w:rsidP="00F175C5">
      <w:pPr>
        <w:pStyle w:val="BodyText"/>
        <w:spacing w:line="480" w:lineRule="auto"/>
        <w:ind w:firstLine="720"/>
      </w:pPr>
      <w:r>
        <w:t>School districts are an important governing body in determining the curricula schools offer and distribution of federal funding across schools. School districts also play a role in implementation of health-promoting policies (Li et al.</w:t>
      </w:r>
      <w:r w:rsidR="002F2B9B">
        <w:t>,</w:t>
      </w:r>
      <w:r>
        <w:t xml:space="preserve"> 2022), and during the pandemic many published their COVID-19 mitigation strategies for the public to follow (</w:t>
      </w:r>
      <w:proofErr w:type="spellStart"/>
      <w:r>
        <w:t>Honein</w:t>
      </w:r>
      <w:proofErr w:type="spellEnd"/>
      <w:r>
        <w:t xml:space="preserve">, Barrios, </w:t>
      </w:r>
      <w:r w:rsidR="00F175C5">
        <w:t>&amp;</w:t>
      </w:r>
      <w:r w:rsidR="00A17777">
        <w:t xml:space="preserve"> </w:t>
      </w:r>
      <w:r>
        <w:t>Brooks 2021). However, to our knowledge there has not been any research evaluating whether these guidance materials are followed by schools to the extent that COVID-19 spread is mitigated. Therefore, the purpose of this study was to assess the following research question: what is the association between districts’ COVID-19 prevention policies and subsequent COVID-19 case counts in schools? School districts are an important determinant of school practices, and as such may be an important facilitator of federal guidance. Understanding the extent to which district guidance may influence cases could help improve public health emergency preparedness and response capabilities.</w:t>
      </w:r>
    </w:p>
    <w:p w14:paraId="4F2985AE" w14:textId="77777777" w:rsidR="007677EA" w:rsidRPr="00972CFF" w:rsidRDefault="00EA1561" w:rsidP="00F175C5">
      <w:pPr>
        <w:pStyle w:val="BodyText"/>
        <w:spacing w:line="480" w:lineRule="auto"/>
        <w:ind w:firstLine="720"/>
        <w:jc w:val="center"/>
      </w:pPr>
      <w:bookmarkStart w:id="2" w:name="methods"/>
      <w:bookmarkEnd w:id="1"/>
      <w:r w:rsidRPr="00F175C5">
        <w:rPr>
          <w:b/>
        </w:rPr>
        <w:t>Methods</w:t>
      </w:r>
    </w:p>
    <w:p w14:paraId="4F2985AF" w14:textId="77777777" w:rsidR="007677EA" w:rsidRPr="00972CFF" w:rsidRDefault="00EA1561" w:rsidP="00F175C5">
      <w:pPr>
        <w:pStyle w:val="FirstParagraph"/>
        <w:spacing w:line="480" w:lineRule="auto"/>
      </w:pPr>
      <w:bookmarkStart w:id="3" w:name="data"/>
      <w:r w:rsidRPr="00F175C5">
        <w:rPr>
          <w:b/>
        </w:rPr>
        <w:t>Data</w:t>
      </w:r>
    </w:p>
    <w:p w14:paraId="3FEE9C43" w14:textId="5126AE3D" w:rsidR="00963CF8" w:rsidRPr="0001094A" w:rsidRDefault="00EA1561" w:rsidP="0001094A">
      <w:pPr>
        <w:pStyle w:val="FirstParagraph"/>
        <w:ind w:firstLine="720"/>
        <w:rPr>
          <w:rFonts w:ascii="Arial" w:hAnsi="Arial" w:cs="Arial"/>
          <w:sz w:val="21"/>
          <w:szCs w:val="21"/>
        </w:rPr>
      </w:pPr>
      <w:r w:rsidRPr="0001094A">
        <w:rPr>
          <w:rFonts w:ascii="Arial" w:hAnsi="Arial" w:cs="Arial"/>
          <w:sz w:val="21"/>
          <w:szCs w:val="21"/>
        </w:rPr>
        <w:t xml:space="preserve">This research utilizes </w:t>
      </w:r>
      <w:r w:rsidR="006B46E8" w:rsidRPr="0001094A">
        <w:rPr>
          <w:rFonts w:ascii="Arial" w:hAnsi="Arial" w:cs="Arial"/>
          <w:sz w:val="21"/>
          <w:szCs w:val="21"/>
        </w:rPr>
        <w:t xml:space="preserve">school </w:t>
      </w:r>
      <w:r w:rsidRPr="0001094A">
        <w:rPr>
          <w:rFonts w:ascii="Arial" w:hAnsi="Arial" w:cs="Arial"/>
          <w:sz w:val="21"/>
          <w:szCs w:val="21"/>
        </w:rPr>
        <w:t>district</w:t>
      </w:r>
      <w:r w:rsidRPr="0001094A" w:rsidDel="006B46E8">
        <w:rPr>
          <w:rFonts w:ascii="Arial" w:hAnsi="Arial" w:cs="Arial"/>
          <w:sz w:val="21"/>
          <w:szCs w:val="21"/>
        </w:rPr>
        <w:t xml:space="preserve"> </w:t>
      </w:r>
      <w:r w:rsidR="006B46E8" w:rsidRPr="0001094A">
        <w:rPr>
          <w:rFonts w:ascii="Arial" w:hAnsi="Arial" w:cs="Arial"/>
          <w:sz w:val="21"/>
          <w:szCs w:val="21"/>
        </w:rPr>
        <w:t xml:space="preserve">COVID-19 </w:t>
      </w:r>
      <w:r w:rsidRPr="0001094A">
        <w:rPr>
          <w:rFonts w:ascii="Arial" w:hAnsi="Arial" w:cs="Arial"/>
          <w:sz w:val="21"/>
          <w:szCs w:val="21"/>
        </w:rPr>
        <w:t>guidance and school-level COVID-19 case counts collected as part of the National School COVID-19 Prevention Study (NSCPS), funded by the Centers for Disease Control and Prevention (CDC)</w:t>
      </w:r>
      <w:r w:rsidR="000C6673" w:rsidRPr="0001094A">
        <w:rPr>
          <w:rFonts w:ascii="Arial" w:hAnsi="Arial" w:cs="Arial"/>
          <w:sz w:val="21"/>
          <w:szCs w:val="21"/>
        </w:rPr>
        <w:t>.</w:t>
      </w:r>
      <w:r w:rsidRPr="0001094A">
        <w:rPr>
          <w:rFonts w:ascii="Arial" w:hAnsi="Arial" w:cs="Arial"/>
          <w:sz w:val="21"/>
          <w:szCs w:val="21"/>
        </w:rPr>
        <w:t xml:space="preserve"> </w:t>
      </w:r>
      <w:r w:rsidR="00963CF8" w:rsidRPr="0001094A">
        <w:rPr>
          <w:rFonts w:ascii="Arial" w:hAnsi="Arial" w:cs="Arial"/>
          <w:sz w:val="21"/>
          <w:szCs w:val="21"/>
        </w:rPr>
        <w:t xml:space="preserve">The National School COVID-19 Prevention Study (NSCPS) was initiated to better understand the implementation and effectiveness of infection prevention strategies in K-12 school settings. NSCPS is a population-based, longitudinal study </w:t>
      </w:r>
      <w:r w:rsidR="00963CF8" w:rsidRPr="0001094A">
        <w:rPr>
          <w:rFonts w:ascii="Arial" w:hAnsi="Arial" w:cs="Arial"/>
          <w:sz w:val="21"/>
          <w:szCs w:val="21"/>
        </w:rPr>
        <w:lastRenderedPageBreak/>
        <w:t>designed to be representative of K-12 public schools in the United States. The study used a stratified random sample of 1,602 K-12 public schools across 1,286 school districts with strata defined by region (Northeast, South, Midwest, West), school level (elementary, middle, high), and NCES locale (city, town, suburb, rural). The comprehensive sampling frame of K-12 public schools for NSCPS was based on the National Center for Education Statistics (NCES)’s Common Core of Data (CCD) for public schools, and enriched with data files obtained from MDR Inc. (Market Data Retrieval, Inc.) The MDR data files contained school information including enrollments, grades, race distributions within the school, district, and county, and other contact information for schools across the nation. </w:t>
      </w:r>
    </w:p>
    <w:p w14:paraId="6D30C433" w14:textId="65D6C4EB" w:rsidR="00963CF8" w:rsidRPr="0001094A" w:rsidRDefault="00963CF8" w:rsidP="0001094A">
      <w:pPr>
        <w:pStyle w:val="FirstParagraph"/>
        <w:ind w:firstLine="720"/>
        <w:rPr>
          <w:rFonts w:ascii="Arial" w:hAnsi="Arial" w:cs="Arial"/>
          <w:sz w:val="21"/>
          <w:szCs w:val="21"/>
        </w:rPr>
      </w:pPr>
      <w:r w:rsidRPr="0001094A">
        <w:rPr>
          <w:rFonts w:ascii="Arial" w:hAnsi="Arial" w:cs="Arial"/>
          <w:sz w:val="21"/>
          <w:szCs w:val="21"/>
        </w:rPr>
        <w:t xml:space="preserve">The cohort of schools was followed for </w:t>
      </w:r>
      <w:r w:rsidR="005A1E0C" w:rsidRPr="0001094A">
        <w:rPr>
          <w:rFonts w:ascii="Arial" w:hAnsi="Arial" w:cs="Arial"/>
          <w:sz w:val="21"/>
          <w:szCs w:val="21"/>
        </w:rPr>
        <w:t>four</w:t>
      </w:r>
      <w:r w:rsidRPr="0001094A">
        <w:rPr>
          <w:rFonts w:ascii="Arial" w:hAnsi="Arial" w:cs="Arial"/>
          <w:sz w:val="21"/>
          <w:szCs w:val="21"/>
        </w:rPr>
        <w:t xml:space="preserve"> waves of data collection from </w:t>
      </w:r>
      <w:r w:rsidR="00966F20" w:rsidRPr="0001094A">
        <w:rPr>
          <w:rFonts w:ascii="Arial" w:hAnsi="Arial" w:cs="Arial"/>
          <w:sz w:val="21"/>
          <w:szCs w:val="21"/>
        </w:rPr>
        <w:t xml:space="preserve">October </w:t>
      </w:r>
      <w:r w:rsidRPr="0001094A">
        <w:rPr>
          <w:rFonts w:ascii="Arial" w:hAnsi="Arial" w:cs="Arial"/>
          <w:sz w:val="21"/>
          <w:szCs w:val="21"/>
        </w:rPr>
        <w:t>2021 through May 2022</w:t>
      </w:r>
      <w:r w:rsidR="00EA1561" w:rsidRPr="0001094A">
        <w:rPr>
          <w:rFonts w:ascii="Arial" w:hAnsi="Arial" w:cs="Arial"/>
          <w:sz w:val="21"/>
          <w:szCs w:val="21"/>
        </w:rPr>
        <w:t xml:space="preserve"> to better understand schools’ response to the pandemic </w:t>
      </w:r>
      <w:r w:rsidR="009A4542" w:rsidRPr="0001094A">
        <w:rPr>
          <w:rFonts w:ascii="Arial" w:hAnsi="Arial" w:cs="Arial"/>
          <w:sz w:val="21"/>
          <w:szCs w:val="21"/>
        </w:rPr>
        <w:t xml:space="preserve">during </w:t>
      </w:r>
      <w:r w:rsidR="00EA1561" w:rsidRPr="0001094A">
        <w:rPr>
          <w:rFonts w:ascii="Arial" w:hAnsi="Arial" w:cs="Arial"/>
          <w:sz w:val="21"/>
          <w:szCs w:val="21"/>
        </w:rPr>
        <w:t xml:space="preserve">the 2021-2022 school year and associated outcomes, including the extent to which prevention strategies were effective in mitigating the spread of COVID-19 among students. </w:t>
      </w:r>
    </w:p>
    <w:p w14:paraId="4F2985B0" w14:textId="7439FE63" w:rsidR="007677EA" w:rsidRPr="0001094A" w:rsidRDefault="00EA1561" w:rsidP="0001094A">
      <w:pPr>
        <w:pStyle w:val="FirstParagraph"/>
        <w:ind w:firstLine="720"/>
        <w:rPr>
          <w:rFonts w:ascii="Arial" w:hAnsi="Arial" w:cs="Arial"/>
          <w:sz w:val="21"/>
          <w:szCs w:val="21"/>
        </w:rPr>
      </w:pPr>
      <w:r w:rsidRPr="0001094A">
        <w:rPr>
          <w:rFonts w:ascii="Arial" w:hAnsi="Arial" w:cs="Arial"/>
          <w:sz w:val="21"/>
          <w:szCs w:val="21"/>
        </w:rPr>
        <w:t xml:space="preserve">As part of the NSCPS, </w:t>
      </w:r>
      <w:bookmarkStart w:id="4" w:name="_Hlk122016698"/>
      <w:r w:rsidRPr="0001094A">
        <w:rPr>
          <w:rFonts w:ascii="Arial" w:hAnsi="Arial" w:cs="Arial"/>
          <w:sz w:val="21"/>
          <w:szCs w:val="21"/>
        </w:rPr>
        <w:t>publicly</w:t>
      </w:r>
      <w:r w:rsidR="00DD28C1" w:rsidRPr="0001094A">
        <w:rPr>
          <w:rFonts w:ascii="Arial" w:hAnsi="Arial" w:cs="Arial"/>
          <w:sz w:val="21"/>
          <w:szCs w:val="21"/>
        </w:rPr>
        <w:t xml:space="preserve"> available</w:t>
      </w:r>
      <w:r w:rsidRPr="0001094A">
        <w:rPr>
          <w:rFonts w:ascii="Arial" w:hAnsi="Arial" w:cs="Arial"/>
          <w:sz w:val="21"/>
          <w:szCs w:val="21"/>
        </w:rPr>
        <w:t xml:space="preserve"> district-level COVID-19</w:t>
      </w:r>
      <w:r w:rsidR="00DD28C1" w:rsidRPr="0001094A">
        <w:rPr>
          <w:rFonts w:ascii="Arial" w:hAnsi="Arial" w:cs="Arial"/>
          <w:sz w:val="21"/>
          <w:szCs w:val="21"/>
        </w:rPr>
        <w:t xml:space="preserve"> guidance (e.g., policies, reopening plans, prevention guidance)</w:t>
      </w:r>
      <w:r w:rsidRPr="0001094A">
        <w:rPr>
          <w:rFonts w:ascii="Arial" w:hAnsi="Arial" w:cs="Arial"/>
          <w:sz w:val="21"/>
          <w:szCs w:val="21"/>
        </w:rPr>
        <w:t xml:space="preserve"> </w:t>
      </w:r>
      <w:bookmarkEnd w:id="4"/>
      <w:r w:rsidR="00DD28C1" w:rsidRPr="0001094A">
        <w:rPr>
          <w:rFonts w:ascii="Arial" w:hAnsi="Arial" w:cs="Arial"/>
          <w:sz w:val="21"/>
          <w:szCs w:val="21"/>
        </w:rPr>
        <w:t>were retrieved</w:t>
      </w:r>
      <w:r w:rsidRPr="0001094A">
        <w:rPr>
          <w:rFonts w:ascii="Arial" w:hAnsi="Arial" w:cs="Arial"/>
          <w:sz w:val="21"/>
          <w:szCs w:val="21"/>
        </w:rPr>
        <w:t xml:space="preserve"> from district websites and analyzed to identify prevention strategies that were </w:t>
      </w:r>
      <w:r w:rsidR="005A1E0C" w:rsidRPr="0001094A">
        <w:rPr>
          <w:rFonts w:ascii="Arial" w:hAnsi="Arial" w:cs="Arial"/>
          <w:sz w:val="21"/>
          <w:szCs w:val="21"/>
        </w:rPr>
        <w:t>required or recommended at the district-level.</w:t>
      </w:r>
      <w:r w:rsidRPr="0001094A">
        <w:rPr>
          <w:rFonts w:ascii="Arial" w:hAnsi="Arial" w:cs="Arial"/>
          <w:sz w:val="21"/>
          <w:szCs w:val="21"/>
        </w:rPr>
        <w:t xml:space="preserve"> In addition, health departments representing all 50 states and the District of Columbia were contacted and invited to provide available school-level COVID-19 case count data</w:t>
      </w:r>
      <w:r w:rsidR="009A4542" w:rsidRPr="0001094A">
        <w:rPr>
          <w:rFonts w:ascii="Arial" w:hAnsi="Arial" w:cs="Arial"/>
          <w:sz w:val="21"/>
          <w:szCs w:val="21"/>
        </w:rPr>
        <w:t xml:space="preserve"> for sample schools (N=1,602)</w:t>
      </w:r>
      <w:r w:rsidRPr="0001094A">
        <w:rPr>
          <w:rFonts w:ascii="Arial" w:hAnsi="Arial" w:cs="Arial"/>
          <w:sz w:val="21"/>
          <w:szCs w:val="21"/>
        </w:rPr>
        <w:t xml:space="preserve"> for the 2021-2022 school year.</w:t>
      </w:r>
    </w:p>
    <w:p w14:paraId="7835FB7F" w14:textId="1CFE5EF5" w:rsidR="00D14BEE" w:rsidRPr="00F175C5" w:rsidRDefault="00D14BEE" w:rsidP="00F175C5">
      <w:pPr>
        <w:pStyle w:val="BodyText"/>
        <w:spacing w:line="480" w:lineRule="auto"/>
        <w:rPr>
          <w:b/>
          <w:bCs/>
        </w:rPr>
      </w:pPr>
      <w:r w:rsidRPr="00F175C5">
        <w:rPr>
          <w:b/>
          <w:bCs/>
        </w:rPr>
        <w:t>Measures</w:t>
      </w:r>
    </w:p>
    <w:p w14:paraId="5EEB6601" w14:textId="6EC82F60" w:rsidR="00392F62" w:rsidRPr="0001094A" w:rsidRDefault="00D14BEE" w:rsidP="0001094A">
      <w:pPr>
        <w:pStyle w:val="FirstParagraph"/>
        <w:rPr>
          <w:rFonts w:asciiTheme="majorHAnsi" w:hAnsiTheme="majorHAnsi" w:cstheme="majorHAnsi"/>
          <w:sz w:val="21"/>
          <w:szCs w:val="21"/>
        </w:rPr>
      </w:pPr>
      <w:bookmarkStart w:id="5" w:name="measures"/>
      <w:bookmarkEnd w:id="3"/>
      <w:r>
        <w:tab/>
      </w:r>
      <w:r w:rsidR="0062376B" w:rsidRPr="0001094A">
        <w:rPr>
          <w:rFonts w:asciiTheme="majorHAnsi" w:hAnsiTheme="majorHAnsi" w:cstheme="majorHAnsi"/>
          <w:sz w:val="21"/>
          <w:szCs w:val="21"/>
        </w:rPr>
        <w:t>For this analysis, the dependent variable was defined as the difference between schools’ spring and fall monthly average COVID-19 case counts, characterized as the average of schools’ monthly number of cases per 100 students across January, February, and March 2022 minus the average of October, November, and December 2021 monthly cases per 100 students. This outcome is hereafter referred to as “change in case rate.”</w:t>
      </w:r>
    </w:p>
    <w:p w14:paraId="5FBC412D" w14:textId="019C9108" w:rsidR="005B48DB" w:rsidRPr="0001094A" w:rsidRDefault="0062376B" w:rsidP="0001094A">
      <w:pPr>
        <w:pStyle w:val="FirstParagraph"/>
        <w:ind w:firstLine="720"/>
        <w:rPr>
          <w:rFonts w:asciiTheme="majorHAnsi" w:hAnsiTheme="majorHAnsi" w:cstheme="majorHAnsi"/>
          <w:sz w:val="21"/>
          <w:szCs w:val="21"/>
        </w:rPr>
      </w:pPr>
      <w:r w:rsidRPr="0001094A">
        <w:rPr>
          <w:rFonts w:asciiTheme="majorHAnsi" w:hAnsiTheme="majorHAnsi" w:cstheme="majorHAnsi"/>
          <w:sz w:val="21"/>
          <w:szCs w:val="21"/>
        </w:rPr>
        <w:t>Predictors</w:t>
      </w:r>
      <w:r w:rsidR="00EA1561" w:rsidRPr="0001094A">
        <w:rPr>
          <w:rFonts w:asciiTheme="majorHAnsi" w:hAnsiTheme="majorHAnsi" w:cstheme="majorHAnsi"/>
          <w:sz w:val="21"/>
          <w:szCs w:val="21"/>
        </w:rPr>
        <w:t xml:space="preserve"> of interest consisted of 10 dichotomous indicators of districts’ COVID-19 prevention strategy guidance that were aligned to represent adherence to CDC’s operational guidance for K-12 schools published </w:t>
      </w:r>
      <w:r w:rsidR="0001094A" w:rsidRPr="0001094A">
        <w:rPr>
          <w:rFonts w:asciiTheme="majorHAnsi" w:hAnsiTheme="majorHAnsi" w:cstheme="majorHAnsi"/>
          <w:sz w:val="21"/>
          <w:szCs w:val="21"/>
        </w:rPr>
        <w:t>on</w:t>
      </w:r>
      <w:r w:rsidR="00EA1561" w:rsidRPr="0001094A">
        <w:rPr>
          <w:rFonts w:asciiTheme="majorHAnsi" w:hAnsiTheme="majorHAnsi" w:cstheme="majorHAnsi"/>
          <w:sz w:val="21"/>
          <w:szCs w:val="21"/>
        </w:rPr>
        <w:t xml:space="preserve"> July 9, 2021 </w:t>
      </w:r>
      <w:r w:rsidR="00D14BEE" w:rsidRPr="0001094A">
        <w:rPr>
          <w:rFonts w:asciiTheme="majorHAnsi" w:hAnsiTheme="majorHAnsi" w:cstheme="majorHAnsi"/>
          <w:sz w:val="21"/>
          <w:szCs w:val="21"/>
        </w:rPr>
        <w:t>(CDC, 2021)</w:t>
      </w:r>
      <w:r w:rsidR="00EA1561" w:rsidRPr="0001094A">
        <w:rPr>
          <w:rFonts w:asciiTheme="majorHAnsi" w:hAnsiTheme="majorHAnsi" w:cstheme="majorHAnsi"/>
          <w:sz w:val="21"/>
          <w:szCs w:val="21"/>
        </w:rPr>
        <w:t xml:space="preserve">. </w:t>
      </w:r>
    </w:p>
    <w:p w14:paraId="580B6942" w14:textId="0F5B4A92" w:rsidR="00715AC8" w:rsidRPr="0001094A" w:rsidRDefault="00CA65F7" w:rsidP="0001094A">
      <w:pPr>
        <w:pStyle w:val="FirstParagraph"/>
        <w:ind w:firstLine="720"/>
        <w:rPr>
          <w:rFonts w:asciiTheme="majorHAnsi" w:hAnsiTheme="majorHAnsi" w:cstheme="majorHAnsi"/>
          <w:sz w:val="21"/>
          <w:szCs w:val="21"/>
        </w:rPr>
      </w:pPr>
      <w:r w:rsidRPr="0001094A">
        <w:rPr>
          <w:rFonts w:asciiTheme="majorHAnsi" w:hAnsiTheme="majorHAnsi" w:cstheme="majorHAnsi"/>
          <w:sz w:val="21"/>
          <w:szCs w:val="21"/>
        </w:rPr>
        <w:t>Policy guidance was scored using a combination of human scoring and machine learning (ML)</w:t>
      </w:r>
      <w:r w:rsidR="00234442" w:rsidRPr="0001094A">
        <w:rPr>
          <w:rFonts w:asciiTheme="majorHAnsi" w:hAnsiTheme="majorHAnsi" w:cstheme="majorHAnsi"/>
          <w:sz w:val="21"/>
          <w:szCs w:val="21"/>
        </w:rPr>
        <w:t xml:space="preserve"> methods</w:t>
      </w:r>
      <w:r w:rsidRPr="0001094A">
        <w:rPr>
          <w:rFonts w:asciiTheme="majorHAnsi" w:hAnsiTheme="majorHAnsi" w:cstheme="majorHAnsi"/>
          <w:sz w:val="21"/>
          <w:szCs w:val="21"/>
        </w:rPr>
        <w:t xml:space="preserve">. </w:t>
      </w:r>
      <w:r w:rsidR="00EA1561" w:rsidRPr="0001094A">
        <w:rPr>
          <w:rFonts w:asciiTheme="majorHAnsi" w:hAnsiTheme="majorHAnsi" w:cstheme="majorHAnsi"/>
          <w:sz w:val="21"/>
          <w:szCs w:val="21"/>
        </w:rPr>
        <w:t xml:space="preserve"> </w:t>
      </w:r>
      <w:r w:rsidRPr="0001094A">
        <w:rPr>
          <w:rFonts w:asciiTheme="majorHAnsi" w:hAnsiTheme="majorHAnsi" w:cstheme="majorHAnsi"/>
          <w:sz w:val="21"/>
          <w:szCs w:val="21"/>
        </w:rPr>
        <w:t>H</w:t>
      </w:r>
      <w:r w:rsidR="00EA1561" w:rsidRPr="0001094A">
        <w:rPr>
          <w:rFonts w:asciiTheme="majorHAnsi" w:hAnsiTheme="majorHAnsi" w:cstheme="majorHAnsi"/>
          <w:sz w:val="21"/>
          <w:szCs w:val="21"/>
        </w:rPr>
        <w:t xml:space="preserve">uman raters met to standardize how to categorize and rate </w:t>
      </w:r>
      <w:r w:rsidRPr="0001094A">
        <w:rPr>
          <w:rFonts w:asciiTheme="majorHAnsi" w:hAnsiTheme="majorHAnsi" w:cstheme="majorHAnsi"/>
          <w:sz w:val="21"/>
          <w:szCs w:val="21"/>
        </w:rPr>
        <w:t>COVID-19 prevention guidance</w:t>
      </w:r>
      <w:r w:rsidR="00EA1561" w:rsidRPr="0001094A">
        <w:rPr>
          <w:rFonts w:asciiTheme="majorHAnsi" w:hAnsiTheme="majorHAnsi" w:cstheme="majorHAnsi"/>
          <w:sz w:val="21"/>
          <w:szCs w:val="21"/>
        </w:rPr>
        <w:t xml:space="preserve"> using a 41-item scoring rubric assessing the extent to which school district guidance documents required or recommended </w:t>
      </w:r>
      <w:r w:rsidR="00E248EB" w:rsidRPr="0001094A">
        <w:rPr>
          <w:rFonts w:asciiTheme="majorHAnsi" w:hAnsiTheme="majorHAnsi" w:cstheme="majorHAnsi"/>
          <w:sz w:val="21"/>
          <w:szCs w:val="21"/>
        </w:rPr>
        <w:t>implementation of</w:t>
      </w:r>
      <w:r w:rsidR="00EA1561" w:rsidRPr="0001094A">
        <w:rPr>
          <w:rFonts w:asciiTheme="majorHAnsi" w:hAnsiTheme="majorHAnsi" w:cstheme="majorHAnsi"/>
          <w:sz w:val="21"/>
          <w:szCs w:val="21"/>
        </w:rPr>
        <w:t xml:space="preserve"> 10 key COVID-19 prevention strategies</w:t>
      </w:r>
      <w:r w:rsidRPr="0001094A">
        <w:rPr>
          <w:rFonts w:asciiTheme="majorHAnsi" w:hAnsiTheme="majorHAnsi" w:cstheme="majorHAnsi"/>
          <w:sz w:val="21"/>
          <w:szCs w:val="21"/>
        </w:rPr>
        <w:t xml:space="preserve"> (Table 1)</w:t>
      </w:r>
      <w:r w:rsidR="00EA1561" w:rsidRPr="0001094A">
        <w:rPr>
          <w:rFonts w:asciiTheme="majorHAnsi" w:hAnsiTheme="majorHAnsi" w:cstheme="majorHAnsi"/>
          <w:sz w:val="21"/>
          <w:szCs w:val="21"/>
        </w:rPr>
        <w:t xml:space="preserve">. Once raters agreed on the requirements and scoring criteria, they reviewed </w:t>
      </w:r>
      <w:r w:rsidR="00635AAF" w:rsidRPr="0001094A">
        <w:rPr>
          <w:rFonts w:asciiTheme="majorHAnsi" w:hAnsiTheme="majorHAnsi" w:cstheme="majorHAnsi"/>
          <w:sz w:val="21"/>
          <w:szCs w:val="21"/>
        </w:rPr>
        <w:t>427</w:t>
      </w:r>
      <w:r w:rsidR="00A0364B" w:rsidRPr="0001094A">
        <w:rPr>
          <w:rFonts w:asciiTheme="majorHAnsi" w:hAnsiTheme="majorHAnsi" w:cstheme="majorHAnsi"/>
          <w:sz w:val="21"/>
          <w:szCs w:val="21"/>
        </w:rPr>
        <w:t xml:space="preserve"> guidance documents containing image files</w:t>
      </w:r>
      <w:r w:rsidR="000318C9" w:rsidRPr="0001094A">
        <w:rPr>
          <w:rFonts w:asciiTheme="majorHAnsi" w:hAnsiTheme="majorHAnsi" w:cstheme="majorHAnsi"/>
          <w:sz w:val="21"/>
          <w:szCs w:val="21"/>
        </w:rPr>
        <w:t xml:space="preserve"> and infographics</w:t>
      </w:r>
      <w:r w:rsidR="00A0364B" w:rsidRPr="0001094A">
        <w:rPr>
          <w:rFonts w:asciiTheme="majorHAnsi" w:hAnsiTheme="majorHAnsi" w:cstheme="majorHAnsi"/>
          <w:sz w:val="21"/>
          <w:szCs w:val="21"/>
        </w:rPr>
        <w:t xml:space="preserve"> </w:t>
      </w:r>
      <w:r w:rsidR="00EA1561" w:rsidRPr="0001094A">
        <w:rPr>
          <w:rFonts w:asciiTheme="majorHAnsi" w:hAnsiTheme="majorHAnsi" w:cstheme="majorHAnsi"/>
          <w:sz w:val="21"/>
          <w:szCs w:val="21"/>
        </w:rPr>
        <w:t xml:space="preserve">and recorded their </w:t>
      </w:r>
      <w:r w:rsidR="00A0364B" w:rsidRPr="0001094A">
        <w:rPr>
          <w:rFonts w:asciiTheme="majorHAnsi" w:hAnsiTheme="majorHAnsi" w:cstheme="majorHAnsi"/>
          <w:sz w:val="21"/>
          <w:szCs w:val="21"/>
        </w:rPr>
        <w:t>scores</w:t>
      </w:r>
      <w:r w:rsidR="00EA1561" w:rsidRPr="0001094A">
        <w:rPr>
          <w:rFonts w:asciiTheme="majorHAnsi" w:hAnsiTheme="majorHAnsi" w:cstheme="majorHAnsi"/>
          <w:sz w:val="21"/>
          <w:szCs w:val="21"/>
        </w:rPr>
        <w:t xml:space="preserve">. Criteria for scoring were also used to train a </w:t>
      </w:r>
      <w:r w:rsidR="006D6E94" w:rsidRPr="0001094A">
        <w:rPr>
          <w:rFonts w:asciiTheme="majorHAnsi" w:hAnsiTheme="majorHAnsi" w:cstheme="majorHAnsi"/>
          <w:sz w:val="21"/>
          <w:szCs w:val="21"/>
        </w:rPr>
        <w:t xml:space="preserve">keyword matching model </w:t>
      </w:r>
      <w:r w:rsidR="00EA1561" w:rsidRPr="0001094A">
        <w:rPr>
          <w:rFonts w:asciiTheme="majorHAnsi" w:hAnsiTheme="majorHAnsi" w:cstheme="majorHAnsi"/>
          <w:sz w:val="21"/>
          <w:szCs w:val="21"/>
        </w:rPr>
        <w:t xml:space="preserve">machine learning algorithm that was used to assess and score </w:t>
      </w:r>
      <w:r w:rsidR="00183114" w:rsidRPr="0001094A">
        <w:rPr>
          <w:rFonts w:asciiTheme="majorHAnsi" w:hAnsiTheme="majorHAnsi" w:cstheme="majorHAnsi"/>
          <w:sz w:val="21"/>
          <w:szCs w:val="21"/>
        </w:rPr>
        <w:t xml:space="preserve">757 </w:t>
      </w:r>
      <w:r w:rsidR="00EA1561" w:rsidRPr="0001094A">
        <w:rPr>
          <w:rFonts w:asciiTheme="majorHAnsi" w:hAnsiTheme="majorHAnsi" w:cstheme="majorHAnsi"/>
          <w:sz w:val="21"/>
          <w:szCs w:val="21"/>
        </w:rPr>
        <w:t>guidance documents</w:t>
      </w:r>
      <w:r w:rsidR="00A0364B" w:rsidRPr="0001094A">
        <w:rPr>
          <w:rFonts w:asciiTheme="majorHAnsi" w:hAnsiTheme="majorHAnsi" w:cstheme="majorHAnsi"/>
          <w:sz w:val="21"/>
          <w:szCs w:val="21"/>
        </w:rPr>
        <w:t xml:space="preserve"> in pdf and Microsoft Word format</w:t>
      </w:r>
      <w:r w:rsidR="00EA1561" w:rsidRPr="0001094A">
        <w:rPr>
          <w:rFonts w:asciiTheme="majorHAnsi" w:hAnsiTheme="majorHAnsi" w:cstheme="majorHAnsi"/>
          <w:sz w:val="21"/>
          <w:szCs w:val="21"/>
        </w:rPr>
        <w:t xml:space="preserve">. </w:t>
      </w:r>
    </w:p>
    <w:p w14:paraId="4F2985B2" w14:textId="580721A7" w:rsidR="007677EA" w:rsidRPr="0001094A" w:rsidRDefault="00715AC8" w:rsidP="0001094A">
      <w:pPr>
        <w:pStyle w:val="FirstParagraph"/>
        <w:ind w:firstLine="720"/>
        <w:rPr>
          <w:rFonts w:asciiTheme="majorHAnsi" w:hAnsiTheme="majorHAnsi" w:cstheme="majorHAnsi"/>
          <w:b/>
          <w:bCs/>
          <w:sz w:val="21"/>
          <w:szCs w:val="21"/>
        </w:rPr>
      </w:pPr>
      <w:r w:rsidRPr="0001094A">
        <w:rPr>
          <w:rFonts w:asciiTheme="majorHAnsi" w:hAnsiTheme="majorHAnsi" w:cstheme="majorHAnsi"/>
          <w:sz w:val="21"/>
          <w:szCs w:val="21"/>
        </w:rPr>
        <w:t>As a proxy for school-level prevention strategy implementation</w:t>
      </w:r>
      <w:r w:rsidR="00794C60" w:rsidRPr="0001094A">
        <w:rPr>
          <w:rFonts w:asciiTheme="majorHAnsi" w:hAnsiTheme="majorHAnsi" w:cstheme="majorHAnsi"/>
          <w:sz w:val="21"/>
          <w:szCs w:val="21"/>
        </w:rPr>
        <w:t xml:space="preserve">, prevention strategies were considered “in place” if scored as adhering to federal </w:t>
      </w:r>
      <w:r w:rsidR="00794D1F" w:rsidRPr="0001094A">
        <w:rPr>
          <w:rFonts w:asciiTheme="majorHAnsi" w:hAnsiTheme="majorHAnsi" w:cstheme="majorHAnsi"/>
          <w:sz w:val="21"/>
          <w:szCs w:val="21"/>
        </w:rPr>
        <w:t>operational guidance for K-12 schools</w:t>
      </w:r>
      <w:r w:rsidR="00EA1561" w:rsidRPr="0001094A">
        <w:rPr>
          <w:rFonts w:asciiTheme="majorHAnsi" w:hAnsiTheme="majorHAnsi" w:cstheme="majorHAnsi"/>
          <w:sz w:val="21"/>
          <w:szCs w:val="21"/>
        </w:rPr>
        <w:t xml:space="preserve">. Operational definitions of prevention strategy indicators, as well as </w:t>
      </w:r>
      <w:r w:rsidR="006B3DDD" w:rsidRPr="0001094A">
        <w:rPr>
          <w:rFonts w:asciiTheme="majorHAnsi" w:hAnsiTheme="majorHAnsi" w:cstheme="majorHAnsi"/>
          <w:sz w:val="21"/>
          <w:szCs w:val="21"/>
        </w:rPr>
        <w:t xml:space="preserve">school-level and county-level </w:t>
      </w:r>
      <w:r w:rsidR="00EA1561" w:rsidRPr="0001094A">
        <w:rPr>
          <w:rFonts w:asciiTheme="majorHAnsi" w:hAnsiTheme="majorHAnsi" w:cstheme="majorHAnsi"/>
          <w:sz w:val="21"/>
          <w:szCs w:val="21"/>
        </w:rPr>
        <w:t>covariates, are presented in Table 1</w:t>
      </w:r>
      <w:r w:rsidR="00794C60" w:rsidRPr="0001094A">
        <w:rPr>
          <w:rFonts w:asciiTheme="majorHAnsi" w:hAnsiTheme="majorHAnsi" w:cstheme="majorHAnsi"/>
          <w:sz w:val="21"/>
          <w:szCs w:val="21"/>
        </w:rPr>
        <w:t>.</w:t>
      </w:r>
    </w:p>
    <w:p w14:paraId="4F2985B3" w14:textId="3E53AD97" w:rsidR="007677EA" w:rsidRDefault="00EA1561">
      <w:pPr>
        <w:pStyle w:val="TableCaption"/>
        <w:jc w:val="center"/>
      </w:pPr>
      <w:r>
        <w:t>Table 1: Study measures</w:t>
      </w:r>
    </w:p>
    <w:tbl>
      <w:tblPr>
        <w:tblW w:w="10080" w:type="dxa"/>
        <w:jc w:val="center"/>
        <w:tblLayout w:type="fixed"/>
        <w:tblLook w:val="0420" w:firstRow="1" w:lastRow="0" w:firstColumn="0" w:lastColumn="0" w:noHBand="0" w:noVBand="1"/>
      </w:tblPr>
      <w:tblGrid>
        <w:gridCol w:w="3150"/>
        <w:gridCol w:w="6930"/>
      </w:tblGrid>
      <w:tr w:rsidR="007677EA" w14:paraId="4F2985B6" w14:textId="77777777" w:rsidTr="00F175C5">
        <w:trPr>
          <w:tblHeader/>
          <w:jc w:val="center"/>
        </w:trPr>
        <w:tc>
          <w:tcPr>
            <w:tcW w:w="315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5B4"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Measure</w:t>
            </w:r>
          </w:p>
        </w:tc>
        <w:tc>
          <w:tcPr>
            <w:tcW w:w="69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5B5"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Definition</w:t>
            </w:r>
          </w:p>
        </w:tc>
      </w:tr>
      <w:tr w:rsidR="00715AC8" w14:paraId="3D37187A" w14:textId="77777777" w:rsidTr="00F175C5">
        <w:trPr>
          <w:jc w:val="center"/>
        </w:trPr>
        <w:tc>
          <w:tcPr>
            <w:tcW w:w="315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1F610" w14:textId="54911AC2" w:rsidR="00715AC8" w:rsidRPr="00F175C5" w:rsidRDefault="00715AC8" w:rsidP="003136D7">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i/>
                <w:iCs/>
                <w:color w:val="000000"/>
                <w:sz w:val="20"/>
                <w:szCs w:val="20"/>
              </w:rPr>
            </w:pPr>
            <w:r w:rsidRPr="00F175C5">
              <w:rPr>
                <w:rFonts w:ascii="Times New Roman" w:eastAsia="Times New Roman" w:hAnsi="Times New Roman" w:cs="Times New Roman"/>
                <w:i/>
                <w:iCs/>
                <w:color w:val="000000"/>
                <w:sz w:val="20"/>
                <w:szCs w:val="20"/>
              </w:rPr>
              <w:t>COVID-19 Prevention Strategies</w:t>
            </w:r>
          </w:p>
        </w:tc>
        <w:tc>
          <w:tcPr>
            <w:tcW w:w="693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9C7E9" w14:textId="77777777" w:rsidR="00715AC8" w:rsidRDefault="00715AC8" w:rsidP="00B2244A">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0"/>
                <w:szCs w:val="20"/>
              </w:rPr>
            </w:pPr>
          </w:p>
        </w:tc>
      </w:tr>
      <w:tr w:rsidR="007677EA" w14:paraId="4F2985B9" w14:textId="77777777" w:rsidTr="00F175C5">
        <w:trPr>
          <w:jc w:val="center"/>
        </w:trPr>
        <w:tc>
          <w:tcPr>
            <w:tcW w:w="315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5B7"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Vaccination offered</w:t>
            </w:r>
          </w:p>
        </w:tc>
        <w:tc>
          <w:tcPr>
            <w:tcW w:w="693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B8" w14:textId="77777777" w:rsidR="007677EA" w:rsidRDefault="00EA1561" w:rsidP="00B2244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Offered vaccines at district-sponsored events to teachers and staff and/or students.</w:t>
            </w:r>
          </w:p>
        </w:tc>
      </w:tr>
      <w:tr w:rsidR="007677EA" w14:paraId="4F2985BC" w14:textId="77777777" w:rsidTr="00F175C5">
        <w:trPr>
          <w:jc w:val="center"/>
        </w:trPr>
        <w:tc>
          <w:tcPr>
            <w:tcW w:w="3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5BA"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lastRenderedPageBreak/>
              <w:t>Universal masking requirement</w:t>
            </w:r>
          </w:p>
        </w:tc>
        <w:tc>
          <w:tcPr>
            <w:tcW w:w="6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BB" w14:textId="77777777" w:rsidR="007677EA" w:rsidRDefault="00EA1561" w:rsidP="00B2244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Teachers, staff, and students required to wear masks consistently and correctly (i.e., covering the mouth and nose) at school.</w:t>
            </w:r>
          </w:p>
        </w:tc>
      </w:tr>
      <w:tr w:rsidR="007677EA" w14:paraId="4F2985BF" w14:textId="77777777" w:rsidTr="00F175C5">
        <w:trPr>
          <w:jc w:val="center"/>
        </w:trPr>
        <w:tc>
          <w:tcPr>
            <w:tcW w:w="3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5BD"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Physical distancing</w:t>
            </w:r>
          </w:p>
        </w:tc>
        <w:tc>
          <w:tcPr>
            <w:tcW w:w="6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BE" w14:textId="77777777" w:rsidR="007677EA" w:rsidRDefault="00EA1561" w:rsidP="00B2244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Required that students maintain at least 3 feet of physical distance between each other indoors.</w:t>
            </w:r>
          </w:p>
        </w:tc>
      </w:tr>
      <w:tr w:rsidR="007677EA" w14:paraId="4F2985C2" w14:textId="77777777" w:rsidTr="00F175C5">
        <w:trPr>
          <w:jc w:val="center"/>
        </w:trPr>
        <w:tc>
          <w:tcPr>
            <w:tcW w:w="3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5C0"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Screening testing for students</w:t>
            </w:r>
          </w:p>
        </w:tc>
        <w:tc>
          <w:tcPr>
            <w:tcW w:w="6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C1" w14:textId="77777777" w:rsidR="007677EA" w:rsidRDefault="00EA1561" w:rsidP="00B2244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Offered screening testing of students on a regular basis.</w:t>
            </w:r>
          </w:p>
        </w:tc>
      </w:tr>
      <w:tr w:rsidR="007677EA" w14:paraId="4F2985C5" w14:textId="77777777" w:rsidTr="00F175C5">
        <w:trPr>
          <w:jc w:val="center"/>
        </w:trPr>
        <w:tc>
          <w:tcPr>
            <w:tcW w:w="3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5C3"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Staying home when sick</w:t>
            </w:r>
          </w:p>
        </w:tc>
        <w:tc>
          <w:tcPr>
            <w:tcW w:w="6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C4" w14:textId="77777777" w:rsidR="007677EA" w:rsidRDefault="00EA1561" w:rsidP="00B2244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Encouraged or required that students stay home when sick or tested positive for COVID-19.</w:t>
            </w:r>
          </w:p>
        </w:tc>
      </w:tr>
      <w:tr w:rsidR="007677EA" w14:paraId="4F2985C8" w14:textId="77777777" w:rsidTr="00F175C5">
        <w:trPr>
          <w:jc w:val="center"/>
        </w:trPr>
        <w:tc>
          <w:tcPr>
            <w:tcW w:w="3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5C6"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Contact tracing</w:t>
            </w:r>
          </w:p>
        </w:tc>
        <w:tc>
          <w:tcPr>
            <w:tcW w:w="6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C7" w14:textId="77777777" w:rsidR="007677EA" w:rsidRDefault="00EA1561" w:rsidP="00B2244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Encouraged or recommended that schools conduct contact tracing.</w:t>
            </w:r>
          </w:p>
        </w:tc>
      </w:tr>
      <w:tr w:rsidR="007677EA" w14:paraId="4F2985CB" w14:textId="77777777" w:rsidTr="00F175C5">
        <w:trPr>
          <w:jc w:val="center"/>
        </w:trPr>
        <w:tc>
          <w:tcPr>
            <w:tcW w:w="3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5C9"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Quarantining</w:t>
            </w:r>
          </w:p>
        </w:tc>
        <w:tc>
          <w:tcPr>
            <w:tcW w:w="6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CA" w14:textId="77777777" w:rsidR="007677EA" w:rsidRDefault="00EA1561" w:rsidP="00B2244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Required students to quarantine if identified to be a close contact.</w:t>
            </w:r>
          </w:p>
        </w:tc>
      </w:tr>
      <w:tr w:rsidR="007677EA" w14:paraId="4F2985CE" w14:textId="77777777" w:rsidTr="00F175C5">
        <w:trPr>
          <w:jc w:val="center"/>
        </w:trPr>
        <w:tc>
          <w:tcPr>
            <w:tcW w:w="3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5CC"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Cleaning</w:t>
            </w:r>
          </w:p>
        </w:tc>
        <w:tc>
          <w:tcPr>
            <w:tcW w:w="6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CD" w14:textId="77777777" w:rsidR="007677EA" w:rsidRDefault="00EA1561" w:rsidP="00B2244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Required schools to clean high touch surfaces at least once a day or between uses.</w:t>
            </w:r>
          </w:p>
        </w:tc>
      </w:tr>
      <w:tr w:rsidR="007677EA" w14:paraId="4F2985D1" w14:textId="77777777" w:rsidTr="00F175C5">
        <w:trPr>
          <w:jc w:val="center"/>
        </w:trPr>
        <w:tc>
          <w:tcPr>
            <w:tcW w:w="3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5CF"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HEPA filters</w:t>
            </w:r>
          </w:p>
        </w:tc>
        <w:tc>
          <w:tcPr>
            <w:tcW w:w="6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D0" w14:textId="77777777" w:rsidR="007677EA" w:rsidRDefault="00EA1561" w:rsidP="00B2244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Encouraged use of high-efficiency particulate air (HEPA) filters.</w:t>
            </w:r>
          </w:p>
        </w:tc>
      </w:tr>
      <w:tr w:rsidR="007677EA" w14:paraId="4F2985D4" w14:textId="77777777" w:rsidTr="00F175C5">
        <w:trPr>
          <w:jc w:val="center"/>
        </w:trPr>
        <w:tc>
          <w:tcPr>
            <w:tcW w:w="315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tcPr>
          <w:p w14:paraId="4F2985D2"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HVAC systems</w:t>
            </w:r>
          </w:p>
        </w:tc>
        <w:tc>
          <w:tcPr>
            <w:tcW w:w="693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4F2985D3" w14:textId="77777777" w:rsidR="007677EA" w:rsidRDefault="00EA1561" w:rsidP="00B2244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Encouraged replacing, upgrading, maintaining, or inspecting HVAC systems.</w:t>
            </w:r>
          </w:p>
        </w:tc>
      </w:tr>
      <w:tr w:rsidR="007677EA" w14:paraId="4F2985D7" w14:textId="77777777" w:rsidTr="00F175C5">
        <w:trPr>
          <w:jc w:val="center"/>
        </w:trPr>
        <w:tc>
          <w:tcPr>
            <w:tcW w:w="3150" w:type="dxa"/>
            <w:tcBorders>
              <w:bottom w:val="single" w:sz="4" w:space="0" w:color="auto"/>
            </w:tcBorders>
            <w:shd w:val="clear" w:color="auto" w:fill="FFFFFF"/>
            <w:tcMar>
              <w:top w:w="0" w:type="dxa"/>
              <w:left w:w="0" w:type="dxa"/>
              <w:bottom w:w="0" w:type="dxa"/>
              <w:right w:w="0" w:type="dxa"/>
            </w:tcMar>
          </w:tcPr>
          <w:p w14:paraId="4F2985D5"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Cumulative strategy index</w:t>
            </w:r>
          </w:p>
        </w:tc>
        <w:tc>
          <w:tcPr>
            <w:tcW w:w="6930" w:type="dxa"/>
            <w:tcBorders>
              <w:bottom w:val="single" w:sz="4" w:space="0" w:color="auto"/>
            </w:tcBorders>
            <w:shd w:val="clear" w:color="auto" w:fill="FFFFFF"/>
            <w:tcMar>
              <w:top w:w="0" w:type="dxa"/>
              <w:left w:w="0" w:type="dxa"/>
              <w:bottom w:w="0" w:type="dxa"/>
              <w:right w:w="0" w:type="dxa"/>
            </w:tcMar>
            <w:vAlign w:val="center"/>
          </w:tcPr>
          <w:p w14:paraId="4F2985D6" w14:textId="77777777" w:rsidR="007677EA" w:rsidRDefault="00EA1561" w:rsidP="00B2244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Sum of strategies having marginal association with change in case rates (calculation further described below).</w:t>
            </w:r>
          </w:p>
        </w:tc>
      </w:tr>
      <w:tr w:rsidR="007677EA" w14:paraId="4F2985DA" w14:textId="77777777" w:rsidTr="00F175C5">
        <w:trPr>
          <w:jc w:val="center"/>
        </w:trPr>
        <w:tc>
          <w:tcPr>
            <w:tcW w:w="3150" w:type="dxa"/>
            <w:tcBorders>
              <w:top w:val="single" w:sz="4" w:space="0" w:color="auto"/>
              <w:bottom w:val="single" w:sz="4" w:space="0" w:color="auto"/>
            </w:tcBorders>
            <w:shd w:val="clear" w:color="auto" w:fill="FFFFFF"/>
            <w:tcMar>
              <w:top w:w="0" w:type="dxa"/>
              <w:left w:w="0" w:type="dxa"/>
              <w:bottom w:w="0" w:type="dxa"/>
              <w:right w:w="0" w:type="dxa"/>
            </w:tcMar>
          </w:tcPr>
          <w:p w14:paraId="4F2985D8" w14:textId="340B1280" w:rsidR="007677EA" w:rsidRPr="00F175C5" w:rsidRDefault="00EA1561" w:rsidP="003136D7">
            <w:pPr>
              <w:pBdr>
                <w:top w:val="none" w:sz="0" w:space="0" w:color="000000"/>
                <w:left w:val="none" w:sz="0" w:space="0" w:color="000000"/>
                <w:bottom w:val="none" w:sz="0" w:space="0" w:color="000000"/>
                <w:right w:val="none" w:sz="0" w:space="0" w:color="000000"/>
              </w:pBdr>
              <w:spacing w:before="100" w:after="100"/>
              <w:ind w:left="100" w:right="100"/>
              <w:rPr>
                <w:i/>
                <w:iCs/>
              </w:rPr>
            </w:pPr>
            <w:r w:rsidRPr="00F175C5">
              <w:rPr>
                <w:rFonts w:ascii="Times New Roman" w:eastAsia="Times New Roman" w:hAnsi="Times New Roman" w:cs="Times New Roman"/>
                <w:i/>
                <w:iCs/>
                <w:color w:val="000000"/>
                <w:sz w:val="20"/>
                <w:szCs w:val="20"/>
              </w:rPr>
              <w:t>School-level characteristics</w:t>
            </w:r>
            <w:r w:rsidR="00DF5DE5" w:rsidRPr="00F175C5">
              <w:rPr>
                <w:rFonts w:ascii="Times New Roman" w:eastAsia="Times New Roman" w:hAnsi="Times New Roman" w:cs="Times New Roman"/>
                <w:i/>
                <w:iCs/>
                <w:color w:val="000000"/>
                <w:sz w:val="20"/>
                <w:szCs w:val="20"/>
                <w:vertAlign w:val="superscript"/>
              </w:rPr>
              <w:t>1</w:t>
            </w:r>
          </w:p>
        </w:tc>
        <w:tc>
          <w:tcPr>
            <w:tcW w:w="693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5D9" w14:textId="17FBABAF" w:rsidR="007677EA" w:rsidRDefault="007677EA" w:rsidP="00B2244A">
            <w:pPr>
              <w:pBdr>
                <w:top w:val="none" w:sz="0" w:space="0" w:color="000000"/>
                <w:left w:val="none" w:sz="0" w:space="0" w:color="000000"/>
                <w:bottom w:val="none" w:sz="0" w:space="0" w:color="000000"/>
                <w:right w:val="none" w:sz="0" w:space="0" w:color="000000"/>
              </w:pBdr>
              <w:spacing w:before="100" w:after="100"/>
              <w:ind w:left="100" w:right="100"/>
            </w:pPr>
          </w:p>
        </w:tc>
      </w:tr>
      <w:tr w:rsidR="00715AC8" w14:paraId="30766618" w14:textId="77777777" w:rsidTr="00F175C5">
        <w:trPr>
          <w:jc w:val="center"/>
        </w:trPr>
        <w:tc>
          <w:tcPr>
            <w:tcW w:w="3150" w:type="dxa"/>
            <w:tcBorders>
              <w:top w:val="single" w:sz="4" w:space="0" w:color="auto"/>
            </w:tcBorders>
            <w:shd w:val="clear" w:color="auto" w:fill="FFFFFF"/>
            <w:tcMar>
              <w:top w:w="0" w:type="dxa"/>
              <w:left w:w="0" w:type="dxa"/>
              <w:bottom w:w="0" w:type="dxa"/>
              <w:right w:w="0" w:type="dxa"/>
            </w:tcMar>
          </w:tcPr>
          <w:p w14:paraId="4C288982" w14:textId="2869767F" w:rsidR="00715AC8" w:rsidRPr="00F175C5" w:rsidRDefault="00715AC8" w:rsidP="00F175C5">
            <w:pPr>
              <w:spacing w:before="100" w:after="100"/>
              <w:ind w:left="100" w:right="100"/>
              <w:rPr>
                <w:rFonts w:ascii="Times New Roman" w:eastAsia="Times New Roman" w:hAnsi="Times New Roman" w:cs="Times New Roman"/>
                <w:i/>
                <w:iCs/>
                <w:color w:val="000000"/>
                <w:sz w:val="20"/>
                <w:szCs w:val="20"/>
              </w:rPr>
            </w:pPr>
          </w:p>
        </w:tc>
        <w:tc>
          <w:tcPr>
            <w:tcW w:w="6930" w:type="dxa"/>
            <w:tcBorders>
              <w:top w:val="single" w:sz="4" w:space="0" w:color="auto"/>
              <w:left w:val="nil"/>
            </w:tcBorders>
            <w:shd w:val="clear" w:color="auto" w:fill="FFFFFF"/>
            <w:tcMar>
              <w:top w:w="0" w:type="dxa"/>
              <w:left w:w="0" w:type="dxa"/>
              <w:bottom w:w="0" w:type="dxa"/>
              <w:right w:w="0" w:type="dxa"/>
            </w:tcMar>
            <w:vAlign w:val="center"/>
          </w:tcPr>
          <w:p w14:paraId="4A300D2D" w14:textId="77777777" w:rsidR="00715AC8" w:rsidRDefault="00715AC8" w:rsidP="00B2244A">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0"/>
                <w:szCs w:val="20"/>
              </w:rPr>
            </w:pPr>
          </w:p>
        </w:tc>
      </w:tr>
      <w:tr w:rsidR="007677EA" w14:paraId="4F2985DD" w14:textId="77777777" w:rsidTr="00F175C5">
        <w:trPr>
          <w:jc w:val="center"/>
        </w:trPr>
        <w:tc>
          <w:tcPr>
            <w:tcW w:w="3150"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5DB"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Percent student body eligible for free and reduced lunch</w:t>
            </w:r>
          </w:p>
        </w:tc>
        <w:tc>
          <w:tcPr>
            <w:tcW w:w="6930"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DC" w14:textId="7921B382" w:rsidR="007677EA" w:rsidRDefault="00EA1561" w:rsidP="00B2244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 xml:space="preserve">The percent of the schools' students who were eligible </w:t>
            </w:r>
            <w:r w:rsidR="0001094A">
              <w:rPr>
                <w:rFonts w:ascii="Times New Roman" w:eastAsia="Times New Roman" w:hAnsi="Times New Roman" w:cs="Times New Roman"/>
                <w:color w:val="000000"/>
                <w:sz w:val="20"/>
                <w:szCs w:val="20"/>
              </w:rPr>
              <w:t>for</w:t>
            </w:r>
            <w:r>
              <w:rPr>
                <w:rFonts w:ascii="Times New Roman" w:eastAsia="Times New Roman" w:hAnsi="Times New Roman" w:cs="Times New Roman"/>
                <w:color w:val="000000"/>
                <w:sz w:val="20"/>
                <w:szCs w:val="20"/>
              </w:rPr>
              <w:t xml:space="preserve"> free and reduced lunch</w:t>
            </w:r>
          </w:p>
        </w:tc>
      </w:tr>
      <w:tr w:rsidR="007677EA" w14:paraId="4F2985E0" w14:textId="77777777" w:rsidTr="00F175C5">
        <w:trPr>
          <w:jc w:val="center"/>
        </w:trPr>
        <w:tc>
          <w:tcPr>
            <w:tcW w:w="3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5DE"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School locale</w:t>
            </w:r>
          </w:p>
        </w:tc>
        <w:tc>
          <w:tcPr>
            <w:tcW w:w="6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DF" w14:textId="77777777" w:rsidR="007677EA" w:rsidRDefault="00EA1561" w:rsidP="00B2244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City, Rural, Suburb, Town</w:t>
            </w:r>
          </w:p>
        </w:tc>
      </w:tr>
      <w:tr w:rsidR="007677EA" w14:paraId="4F2985E3" w14:textId="77777777" w:rsidTr="00F175C5">
        <w:trPr>
          <w:jc w:val="center"/>
        </w:trPr>
        <w:tc>
          <w:tcPr>
            <w:tcW w:w="315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tcPr>
          <w:p w14:paraId="4F2985E1"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Study enrollment composition</w:t>
            </w:r>
          </w:p>
        </w:tc>
        <w:tc>
          <w:tcPr>
            <w:tcW w:w="693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4F2985E2" w14:textId="77777777" w:rsidR="007677EA" w:rsidRDefault="00EA1561" w:rsidP="00B2244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 xml:space="preserve">Percent of student body Asian, American Indian or Alaska Native, Black/African American, Hispanic/Latino, Native Hawaiian or other Pacific Islander, </w:t>
            </w:r>
            <w:proofErr w:type="gramStart"/>
            <w:r>
              <w:rPr>
                <w:rFonts w:ascii="Times New Roman" w:eastAsia="Times New Roman" w:hAnsi="Times New Roman" w:cs="Times New Roman"/>
                <w:color w:val="000000"/>
                <w:sz w:val="20"/>
                <w:szCs w:val="20"/>
              </w:rPr>
              <w:t>Not</w:t>
            </w:r>
            <w:proofErr w:type="gramEnd"/>
            <w:r>
              <w:rPr>
                <w:rFonts w:ascii="Times New Roman" w:eastAsia="Times New Roman" w:hAnsi="Times New Roman" w:cs="Times New Roman"/>
                <w:color w:val="000000"/>
                <w:sz w:val="20"/>
                <w:szCs w:val="20"/>
              </w:rPr>
              <w:t xml:space="preserve"> specific, Two or more races, and White (each race/ethnicity represented individually)</w:t>
            </w:r>
          </w:p>
        </w:tc>
      </w:tr>
      <w:tr w:rsidR="007677EA" w14:paraId="4F2985E6" w14:textId="77777777" w:rsidTr="00F175C5">
        <w:trPr>
          <w:jc w:val="center"/>
        </w:trPr>
        <w:tc>
          <w:tcPr>
            <w:tcW w:w="3150" w:type="dxa"/>
            <w:tcBorders>
              <w:top w:val="single" w:sz="4" w:space="0" w:color="auto"/>
              <w:bottom w:val="single" w:sz="4" w:space="0" w:color="auto"/>
            </w:tcBorders>
            <w:shd w:val="clear" w:color="auto" w:fill="FFFFFF"/>
            <w:tcMar>
              <w:top w:w="0" w:type="dxa"/>
              <w:left w:w="0" w:type="dxa"/>
              <w:bottom w:w="0" w:type="dxa"/>
              <w:right w:w="0" w:type="dxa"/>
            </w:tcMar>
          </w:tcPr>
          <w:p w14:paraId="4F2985E4" w14:textId="1E12CA28" w:rsidR="007677EA" w:rsidRPr="00F175C5" w:rsidRDefault="00EA1561" w:rsidP="003136D7">
            <w:pPr>
              <w:pBdr>
                <w:top w:val="none" w:sz="0" w:space="0" w:color="000000"/>
                <w:left w:val="none" w:sz="0" w:space="0" w:color="000000"/>
                <w:bottom w:val="none" w:sz="0" w:space="0" w:color="000000"/>
                <w:right w:val="none" w:sz="0" w:space="0" w:color="000000"/>
              </w:pBdr>
              <w:spacing w:before="100" w:after="100"/>
              <w:ind w:left="100" w:right="100"/>
              <w:rPr>
                <w:i/>
                <w:iCs/>
              </w:rPr>
            </w:pPr>
            <w:r w:rsidRPr="00F175C5">
              <w:rPr>
                <w:rFonts w:ascii="Times New Roman" w:eastAsia="Times New Roman" w:hAnsi="Times New Roman" w:cs="Times New Roman"/>
                <w:i/>
                <w:iCs/>
                <w:color w:val="000000"/>
                <w:sz w:val="20"/>
                <w:szCs w:val="20"/>
              </w:rPr>
              <w:t>County-level characteristics</w:t>
            </w:r>
          </w:p>
        </w:tc>
        <w:tc>
          <w:tcPr>
            <w:tcW w:w="693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5E5" w14:textId="791BDF28" w:rsidR="007677EA" w:rsidRDefault="007677EA" w:rsidP="00B2244A">
            <w:pPr>
              <w:pBdr>
                <w:top w:val="none" w:sz="0" w:space="0" w:color="000000"/>
                <w:left w:val="none" w:sz="0" w:space="0" w:color="000000"/>
                <w:bottom w:val="none" w:sz="0" w:space="0" w:color="000000"/>
                <w:right w:val="none" w:sz="0" w:space="0" w:color="000000"/>
              </w:pBdr>
              <w:spacing w:before="100" w:after="100"/>
              <w:ind w:left="100" w:right="100"/>
            </w:pPr>
          </w:p>
        </w:tc>
      </w:tr>
      <w:tr w:rsidR="007677EA" w14:paraId="4F2985E9" w14:textId="77777777" w:rsidTr="00F175C5">
        <w:trPr>
          <w:jc w:val="center"/>
        </w:trPr>
        <w:tc>
          <w:tcPr>
            <w:tcW w:w="315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5E7"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Social Vulnerability Index (SVI)</w:t>
            </w:r>
          </w:p>
        </w:tc>
        <w:tc>
          <w:tcPr>
            <w:tcW w:w="693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E8" w14:textId="39E5777E" w:rsidR="007677EA" w:rsidRDefault="00EA1561" w:rsidP="00B2244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Overall summary index indicating the relative vulnerability of U.S. Census tracts across four themes: socioeconomic, household composition &amp; disability, minority status &amp; language, and housing type &amp; transportation. Drawn from the</w:t>
            </w:r>
            <w:r w:rsidR="00FE0804" w:rsidRPr="00837D0A">
              <w:rPr>
                <w:rFonts w:ascii="Times New Roman" w:eastAsia="Times New Roman" w:hAnsi="Times New Roman" w:cs="Times New Roman"/>
                <w:color w:val="000000"/>
                <w:sz w:val="20"/>
                <w:szCs w:val="20"/>
              </w:rPr>
              <w:t xml:space="preserve"> American Community Survey (ACS) of the U.S. Census Bureau</w:t>
            </w:r>
          </w:p>
        </w:tc>
      </w:tr>
      <w:tr w:rsidR="007677EA" w14:paraId="4F2985EC" w14:textId="77777777" w:rsidTr="00F175C5">
        <w:trPr>
          <w:jc w:val="center"/>
        </w:trPr>
        <w:tc>
          <w:tcPr>
            <w:tcW w:w="3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5EA"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Change in county COVID-19 case rates</w:t>
            </w:r>
          </w:p>
        </w:tc>
        <w:tc>
          <w:tcPr>
            <w:tcW w:w="6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EB" w14:textId="77777777" w:rsidR="007677EA" w:rsidRDefault="00EA1561" w:rsidP="00B2244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 xml:space="preserve">Difference in average of 7-day rolling average for the 15th of each month case rate per 100,000 people between October - December and January - March, corresponding with the </w:t>
            </w:r>
            <w:proofErr w:type="gramStart"/>
            <w:r>
              <w:rPr>
                <w:rFonts w:ascii="Times New Roman" w:eastAsia="Times New Roman" w:hAnsi="Times New Roman" w:cs="Times New Roman"/>
                <w:color w:val="000000"/>
                <w:sz w:val="20"/>
                <w:szCs w:val="20"/>
              </w:rPr>
              <w:t>time period</w:t>
            </w:r>
            <w:proofErr w:type="gramEnd"/>
            <w:r>
              <w:rPr>
                <w:rFonts w:ascii="Times New Roman" w:eastAsia="Times New Roman" w:hAnsi="Times New Roman" w:cs="Times New Roman"/>
                <w:color w:val="000000"/>
                <w:sz w:val="20"/>
                <w:szCs w:val="20"/>
              </w:rPr>
              <w:t xml:space="preserve"> used for calculating school case rate changes. Pulled from HHS Protect</w:t>
            </w:r>
          </w:p>
        </w:tc>
      </w:tr>
      <w:tr w:rsidR="007677EA" w14:paraId="4F2985EF" w14:textId="77777777" w:rsidTr="00F175C5">
        <w:trPr>
          <w:jc w:val="center"/>
        </w:trPr>
        <w:tc>
          <w:tcPr>
            <w:tcW w:w="3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5ED"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Region</w:t>
            </w:r>
          </w:p>
        </w:tc>
        <w:tc>
          <w:tcPr>
            <w:tcW w:w="69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5EE" w14:textId="77777777" w:rsidR="007677EA" w:rsidRDefault="00EA1561" w:rsidP="00B2244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Midwest, Northeast, South, West</w:t>
            </w:r>
          </w:p>
        </w:tc>
      </w:tr>
      <w:tr w:rsidR="007677EA" w14:paraId="4F2985F2" w14:textId="77777777" w:rsidTr="00F175C5">
        <w:trPr>
          <w:jc w:val="center"/>
        </w:trPr>
        <w:tc>
          <w:tcPr>
            <w:tcW w:w="315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F2985F0"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State</w:t>
            </w:r>
          </w:p>
        </w:tc>
        <w:tc>
          <w:tcPr>
            <w:tcW w:w="693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5F1" w14:textId="77777777" w:rsidR="007677EA" w:rsidRDefault="00EA1561" w:rsidP="00B2244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20 states</w:t>
            </w:r>
          </w:p>
        </w:tc>
      </w:tr>
    </w:tbl>
    <w:p w14:paraId="3F12C21B" w14:textId="2F5FE739" w:rsidR="006B3DDD" w:rsidRPr="00AA2CCF" w:rsidRDefault="00DF5DE5" w:rsidP="00F175C5">
      <w:pPr>
        <w:pStyle w:val="Heading2"/>
        <w:spacing w:before="0"/>
        <w:contextualSpacing/>
        <w:rPr>
          <w:b w:val="0"/>
          <w:bCs w:val="0"/>
          <w:sz w:val="18"/>
          <w:szCs w:val="18"/>
        </w:rPr>
      </w:pPr>
      <w:bookmarkStart w:id="6" w:name="analyses"/>
      <w:bookmarkEnd w:id="5"/>
      <w:r w:rsidRPr="00AA2CCF">
        <w:rPr>
          <w:b w:val="0"/>
          <w:bCs w:val="0"/>
          <w:sz w:val="18"/>
          <w:szCs w:val="18"/>
          <w:vertAlign w:val="superscript"/>
        </w:rPr>
        <w:lastRenderedPageBreak/>
        <w:t>1</w:t>
      </w:r>
      <w:r w:rsidRPr="00AA2CCF">
        <w:rPr>
          <w:rFonts w:eastAsia="Times New Roman" w:cs="Times New Roman"/>
          <w:b w:val="0"/>
          <w:bCs w:val="0"/>
          <w:color w:val="000000"/>
          <w:sz w:val="18"/>
          <w:szCs w:val="18"/>
          <w:vertAlign w:val="superscript"/>
        </w:rPr>
        <w:t xml:space="preserve"> </w:t>
      </w:r>
      <w:r w:rsidRPr="00AA2CCF">
        <w:rPr>
          <w:b w:val="0"/>
          <w:bCs w:val="0"/>
          <w:sz w:val="18"/>
          <w:szCs w:val="18"/>
        </w:rPr>
        <w:t xml:space="preserve">These measures were derived from the National Center for Education Statistics (NCES) for the 2020-2021 school year, and when possible, missing values were filled with estimates from the 2019-2020 school year. See next section for description of approach to ameliorate potential of issues with respect to </w:t>
      </w:r>
      <w:proofErr w:type="spellStart"/>
      <w:r w:rsidRPr="00AA2CCF">
        <w:rPr>
          <w:b w:val="0"/>
          <w:bCs w:val="0"/>
          <w:sz w:val="18"/>
          <w:szCs w:val="18"/>
        </w:rPr>
        <w:t>multicolinearity</w:t>
      </w:r>
      <w:proofErr w:type="spellEnd"/>
      <w:r w:rsidRPr="00AA2CCF">
        <w:rPr>
          <w:b w:val="0"/>
          <w:bCs w:val="0"/>
          <w:sz w:val="18"/>
          <w:szCs w:val="18"/>
        </w:rPr>
        <w:t>.</w:t>
      </w:r>
    </w:p>
    <w:p w14:paraId="2B1EE64E" w14:textId="77777777" w:rsidR="00AA2CCF" w:rsidRDefault="00AA2CCF" w:rsidP="00F175C5">
      <w:pPr>
        <w:pStyle w:val="BodyText"/>
        <w:spacing w:line="480" w:lineRule="auto"/>
        <w:rPr>
          <w:b/>
          <w:bCs/>
        </w:rPr>
      </w:pPr>
    </w:p>
    <w:p w14:paraId="24986452" w14:textId="3EE67B8F" w:rsidR="00D5690B" w:rsidRPr="00972CFF" w:rsidRDefault="00D5690B" w:rsidP="00F175C5">
      <w:pPr>
        <w:pStyle w:val="BodyText"/>
        <w:spacing w:line="480" w:lineRule="auto"/>
      </w:pPr>
      <w:r w:rsidRPr="00F175C5">
        <w:rPr>
          <w:b/>
          <w:bCs/>
        </w:rPr>
        <w:t xml:space="preserve">Data Analyses </w:t>
      </w:r>
    </w:p>
    <w:p w14:paraId="4F2985F4" w14:textId="18878875" w:rsidR="007677EA" w:rsidRPr="0001094A" w:rsidRDefault="00D5690B" w:rsidP="0001094A">
      <w:pPr>
        <w:pStyle w:val="FirstParagraph"/>
        <w:rPr>
          <w:rFonts w:asciiTheme="majorHAnsi" w:hAnsiTheme="majorHAnsi" w:cstheme="majorHAnsi"/>
          <w:sz w:val="21"/>
          <w:szCs w:val="21"/>
        </w:rPr>
      </w:pPr>
      <w:r>
        <w:tab/>
      </w:r>
      <w:r w:rsidR="00EA1561" w:rsidRPr="0001094A">
        <w:rPr>
          <w:rFonts w:asciiTheme="majorHAnsi" w:hAnsiTheme="majorHAnsi" w:cstheme="majorHAnsi"/>
          <w:sz w:val="21"/>
          <w:szCs w:val="21"/>
        </w:rPr>
        <w:t xml:space="preserve">In total, policy guidance documents were collected from 1,184 of 1,286 (92%) of school districts comprising the schools </w:t>
      </w:r>
      <w:r w:rsidR="00091EA9" w:rsidRPr="0001094A">
        <w:rPr>
          <w:rFonts w:asciiTheme="majorHAnsi" w:hAnsiTheme="majorHAnsi" w:cstheme="majorHAnsi"/>
          <w:sz w:val="21"/>
          <w:szCs w:val="21"/>
        </w:rPr>
        <w:t xml:space="preserve">from the NSCPS </w:t>
      </w:r>
      <w:r w:rsidR="00937F19" w:rsidRPr="0001094A">
        <w:rPr>
          <w:rFonts w:asciiTheme="majorHAnsi" w:hAnsiTheme="majorHAnsi" w:cstheme="majorHAnsi"/>
          <w:sz w:val="21"/>
          <w:szCs w:val="21"/>
        </w:rPr>
        <w:t>total</w:t>
      </w:r>
      <w:r w:rsidR="00EA1561" w:rsidRPr="0001094A">
        <w:rPr>
          <w:rFonts w:asciiTheme="majorHAnsi" w:hAnsiTheme="majorHAnsi" w:cstheme="majorHAnsi"/>
          <w:sz w:val="21"/>
          <w:szCs w:val="21"/>
        </w:rPr>
        <w:t xml:space="preserve"> sample, with 28 of the 51 health departments (55%) </w:t>
      </w:r>
      <w:r w:rsidR="00E07D13" w:rsidRPr="0001094A">
        <w:rPr>
          <w:rFonts w:asciiTheme="majorHAnsi" w:hAnsiTheme="majorHAnsi" w:cstheme="majorHAnsi"/>
          <w:sz w:val="21"/>
          <w:szCs w:val="21"/>
        </w:rPr>
        <w:t xml:space="preserve">which accounted for </w:t>
      </w:r>
      <w:r w:rsidR="00EA1561" w:rsidRPr="0001094A">
        <w:rPr>
          <w:rFonts w:asciiTheme="majorHAnsi" w:hAnsiTheme="majorHAnsi" w:cstheme="majorHAnsi"/>
          <w:sz w:val="21"/>
          <w:szCs w:val="21"/>
        </w:rPr>
        <w:t xml:space="preserve">641 schools (40% of total sample). Schools without at least one month of case reporting during </w:t>
      </w:r>
      <w:r w:rsidR="00E07D13" w:rsidRPr="0001094A">
        <w:rPr>
          <w:rFonts w:asciiTheme="majorHAnsi" w:hAnsiTheme="majorHAnsi" w:cstheme="majorHAnsi"/>
          <w:sz w:val="21"/>
          <w:szCs w:val="21"/>
        </w:rPr>
        <w:t xml:space="preserve">fall 2021 and spring 2022 </w:t>
      </w:r>
      <w:r w:rsidR="00EA1561" w:rsidRPr="0001094A">
        <w:rPr>
          <w:rFonts w:asciiTheme="majorHAnsi" w:hAnsiTheme="majorHAnsi" w:cstheme="majorHAnsi"/>
          <w:sz w:val="21"/>
          <w:szCs w:val="21"/>
        </w:rPr>
        <w:t xml:space="preserve">were removed, resulting in an eligible </w:t>
      </w:r>
      <w:r w:rsidR="00CC0786" w:rsidRPr="0001094A">
        <w:rPr>
          <w:rFonts w:asciiTheme="majorHAnsi" w:hAnsiTheme="majorHAnsi" w:cstheme="majorHAnsi"/>
          <w:sz w:val="21"/>
          <w:szCs w:val="21"/>
        </w:rPr>
        <w:t xml:space="preserve">analytic </w:t>
      </w:r>
      <w:r w:rsidR="00EA1561" w:rsidRPr="0001094A">
        <w:rPr>
          <w:rFonts w:asciiTheme="majorHAnsi" w:hAnsiTheme="majorHAnsi" w:cstheme="majorHAnsi"/>
          <w:sz w:val="21"/>
          <w:szCs w:val="21"/>
        </w:rPr>
        <w:t>sample of 347 schools (22% of total sample) across 338 districts (26% of districts</w:t>
      </w:r>
      <w:r w:rsidR="00CC0786" w:rsidRPr="0001094A">
        <w:rPr>
          <w:rFonts w:asciiTheme="majorHAnsi" w:hAnsiTheme="majorHAnsi" w:cstheme="majorHAnsi"/>
          <w:sz w:val="21"/>
          <w:szCs w:val="21"/>
        </w:rPr>
        <w:t xml:space="preserve"> containing schools in total sample</w:t>
      </w:r>
      <w:r w:rsidR="00EA1561" w:rsidRPr="0001094A">
        <w:rPr>
          <w:rFonts w:asciiTheme="majorHAnsi" w:hAnsiTheme="majorHAnsi" w:cstheme="majorHAnsi"/>
          <w:sz w:val="21"/>
          <w:szCs w:val="21"/>
        </w:rPr>
        <w:t>) and 20 states (39% of states and DC).</w:t>
      </w:r>
    </w:p>
    <w:p w14:paraId="4F2985F5" w14:textId="3E680756" w:rsidR="007677EA" w:rsidRPr="0001094A" w:rsidRDefault="00EA1561" w:rsidP="0001094A">
      <w:pPr>
        <w:pStyle w:val="BodyText"/>
        <w:ind w:firstLine="720"/>
        <w:rPr>
          <w:rFonts w:asciiTheme="majorHAnsi" w:hAnsiTheme="majorHAnsi" w:cstheme="majorHAnsi"/>
          <w:sz w:val="21"/>
          <w:szCs w:val="21"/>
        </w:rPr>
      </w:pPr>
      <w:r w:rsidRPr="0001094A">
        <w:rPr>
          <w:rFonts w:asciiTheme="majorHAnsi" w:hAnsiTheme="majorHAnsi" w:cstheme="majorHAnsi"/>
          <w:sz w:val="21"/>
          <w:szCs w:val="21"/>
        </w:rPr>
        <w:t>All analyses were conducted using R version 4.2.1 and included testing for outliers, identified as any observation in which the change in case rate is outside 3.5 standard deviations from the mean (R Core Team</w:t>
      </w:r>
      <w:r w:rsidR="0024482C" w:rsidRPr="0001094A">
        <w:rPr>
          <w:rFonts w:asciiTheme="majorHAnsi" w:hAnsiTheme="majorHAnsi" w:cstheme="majorHAnsi"/>
          <w:sz w:val="21"/>
          <w:szCs w:val="21"/>
        </w:rPr>
        <w:t>,</w:t>
      </w:r>
      <w:r w:rsidRPr="0001094A">
        <w:rPr>
          <w:rFonts w:asciiTheme="majorHAnsi" w:hAnsiTheme="majorHAnsi" w:cstheme="majorHAnsi"/>
          <w:sz w:val="21"/>
          <w:szCs w:val="21"/>
        </w:rPr>
        <w:t xml:space="preserve"> 2022). Descriptive statistics for all study variables were computed, as well as t-tests of mean differences between groups defined by the presence</w:t>
      </w:r>
      <w:r w:rsidR="007E1A25" w:rsidRPr="0001094A">
        <w:rPr>
          <w:rFonts w:asciiTheme="majorHAnsi" w:hAnsiTheme="majorHAnsi" w:cstheme="majorHAnsi"/>
          <w:sz w:val="21"/>
          <w:szCs w:val="21"/>
        </w:rPr>
        <w:t xml:space="preserve"> of prevention strategy guidance (inclusion/adherence to federal guidance)</w:t>
      </w:r>
      <w:r w:rsidRPr="0001094A">
        <w:rPr>
          <w:rFonts w:asciiTheme="majorHAnsi" w:hAnsiTheme="majorHAnsi" w:cstheme="majorHAnsi"/>
          <w:sz w:val="21"/>
          <w:szCs w:val="21"/>
        </w:rPr>
        <w:t xml:space="preserve"> and Pearson’s correlation coefficient between changes in school-level COVID-19 case rates and continuous covariates following standardization. </w:t>
      </w:r>
      <w:r w:rsidR="00AD0154" w:rsidRPr="0001094A">
        <w:rPr>
          <w:rFonts w:asciiTheme="majorHAnsi" w:hAnsiTheme="majorHAnsi" w:cstheme="majorHAnsi"/>
          <w:sz w:val="21"/>
          <w:szCs w:val="21"/>
        </w:rPr>
        <w:t>Intra</w:t>
      </w:r>
      <w:r w:rsidRPr="0001094A">
        <w:rPr>
          <w:rFonts w:asciiTheme="majorHAnsi" w:hAnsiTheme="majorHAnsi" w:cstheme="majorHAnsi"/>
          <w:sz w:val="21"/>
          <w:szCs w:val="21"/>
        </w:rPr>
        <w:t xml:space="preserve">-class correlation coefficients (ICC) were calculated to test for clustering of outcomes by region, state, and district. For modeling results, 95% confidence intervals and p-values are displayed, with a significance threshold of </w:t>
      </w:r>
      <m:oMath>
        <m:r>
          <w:rPr>
            <w:rFonts w:ascii="Cambria Math" w:hAnsi="Cambria Math" w:cstheme="majorHAnsi"/>
            <w:sz w:val="21"/>
            <w:szCs w:val="21"/>
          </w:rPr>
          <m:t>α</m:t>
        </m:r>
        <m:r>
          <m:rPr>
            <m:sty m:val="p"/>
          </m:rPr>
          <w:rPr>
            <w:rFonts w:ascii="Cambria Math" w:hAnsi="Cambria Math" w:cstheme="majorHAnsi"/>
            <w:sz w:val="21"/>
            <w:szCs w:val="21"/>
          </w:rPr>
          <m:t>=</m:t>
        </m:r>
        <m:r>
          <w:rPr>
            <w:rFonts w:ascii="Cambria Math" w:hAnsi="Cambria Math" w:cstheme="majorHAnsi"/>
            <w:sz w:val="21"/>
            <w:szCs w:val="21"/>
          </w:rPr>
          <m:t>0.05</m:t>
        </m:r>
      </m:oMath>
      <w:r w:rsidRPr="0001094A">
        <w:rPr>
          <w:rFonts w:asciiTheme="majorHAnsi" w:hAnsiTheme="majorHAnsi" w:cstheme="majorHAnsi"/>
          <w:sz w:val="21"/>
          <w:szCs w:val="21"/>
        </w:rPr>
        <w:t xml:space="preserve"> and marginal significance indicated by p-value </w:t>
      </w:r>
      <m:oMath>
        <m:r>
          <m:rPr>
            <m:sty m:val="p"/>
          </m:rPr>
          <w:rPr>
            <w:rFonts w:ascii="Cambria Math" w:hAnsi="Cambria Math" w:cstheme="majorHAnsi"/>
            <w:sz w:val="21"/>
            <w:szCs w:val="21"/>
          </w:rPr>
          <m:t>&lt;</m:t>
        </m:r>
        <m:r>
          <w:rPr>
            <w:rFonts w:ascii="Cambria Math" w:hAnsi="Cambria Math" w:cstheme="majorHAnsi"/>
            <w:sz w:val="21"/>
            <w:szCs w:val="21"/>
          </w:rPr>
          <m:t>0.10</m:t>
        </m:r>
      </m:oMath>
      <w:r w:rsidRPr="0001094A">
        <w:rPr>
          <w:rFonts w:asciiTheme="majorHAnsi" w:hAnsiTheme="majorHAnsi" w:cstheme="majorHAnsi"/>
          <w:sz w:val="21"/>
          <w:szCs w:val="21"/>
        </w:rPr>
        <w:t>.</w:t>
      </w:r>
    </w:p>
    <w:p w14:paraId="4F2985F6" w14:textId="1601C64C" w:rsidR="007677EA" w:rsidRPr="0001094A" w:rsidRDefault="00EA1561" w:rsidP="0001094A">
      <w:pPr>
        <w:pStyle w:val="BodyText"/>
        <w:ind w:firstLine="720"/>
        <w:rPr>
          <w:rFonts w:asciiTheme="majorHAnsi" w:hAnsiTheme="majorHAnsi" w:cstheme="majorHAnsi"/>
          <w:sz w:val="21"/>
          <w:szCs w:val="21"/>
        </w:rPr>
      </w:pPr>
      <w:r w:rsidRPr="0001094A">
        <w:rPr>
          <w:rFonts w:asciiTheme="majorHAnsi" w:hAnsiTheme="majorHAnsi" w:cstheme="majorHAnsi"/>
          <w:sz w:val="21"/>
          <w:szCs w:val="21"/>
        </w:rPr>
        <w:t>Following the descriptive analysis, the modeling sequence consisted of two stages. First, a Random Forest (RF) algorithm was developed for identifying the most predictive covariates among the school-level variables (student population composition, free lunch eligible, etc.), and completing this process</w:t>
      </w:r>
      <w:r w:rsidR="00F00952" w:rsidRPr="0001094A">
        <w:rPr>
          <w:rFonts w:asciiTheme="majorHAnsi" w:hAnsiTheme="majorHAnsi" w:cstheme="majorHAnsi"/>
          <w:sz w:val="21"/>
          <w:szCs w:val="21"/>
        </w:rPr>
        <w:t xml:space="preserve"> for</w:t>
      </w:r>
      <w:r w:rsidRPr="0001094A">
        <w:rPr>
          <w:rFonts w:asciiTheme="majorHAnsi" w:hAnsiTheme="majorHAnsi" w:cstheme="majorHAnsi"/>
          <w:sz w:val="21"/>
          <w:szCs w:val="21"/>
        </w:rPr>
        <w:t xml:space="preserve"> over 100 iterations (Strobl et al.</w:t>
      </w:r>
      <w:r w:rsidR="00426AC8" w:rsidRPr="0001094A">
        <w:rPr>
          <w:rFonts w:asciiTheme="majorHAnsi" w:hAnsiTheme="majorHAnsi" w:cstheme="majorHAnsi"/>
          <w:sz w:val="21"/>
          <w:szCs w:val="21"/>
        </w:rPr>
        <w:t>,</w:t>
      </w:r>
      <w:r w:rsidRPr="0001094A">
        <w:rPr>
          <w:rFonts w:asciiTheme="majorHAnsi" w:hAnsiTheme="majorHAnsi" w:cstheme="majorHAnsi"/>
          <w:sz w:val="21"/>
          <w:szCs w:val="21"/>
        </w:rPr>
        <w:t xml:space="preserve"> 2008). RF algorithms can be used to rank variables based on their predictive association with </w:t>
      </w:r>
      <w:r w:rsidR="00E66841" w:rsidRPr="0001094A">
        <w:rPr>
          <w:rFonts w:asciiTheme="majorHAnsi" w:hAnsiTheme="majorHAnsi" w:cstheme="majorHAnsi"/>
          <w:sz w:val="21"/>
          <w:szCs w:val="21"/>
        </w:rPr>
        <w:t xml:space="preserve">an </w:t>
      </w:r>
      <w:r w:rsidRPr="0001094A">
        <w:rPr>
          <w:rFonts w:asciiTheme="majorHAnsi" w:hAnsiTheme="majorHAnsi" w:cstheme="majorHAnsi"/>
          <w:sz w:val="21"/>
          <w:szCs w:val="21"/>
        </w:rPr>
        <w:t>outcome of interest</w:t>
      </w:r>
      <w:r w:rsidR="00E66841" w:rsidRPr="0001094A">
        <w:rPr>
          <w:rFonts w:asciiTheme="majorHAnsi" w:hAnsiTheme="majorHAnsi" w:cstheme="majorHAnsi"/>
          <w:sz w:val="21"/>
          <w:szCs w:val="21"/>
        </w:rPr>
        <w:t>. Due</w:t>
      </w:r>
      <w:r w:rsidRPr="0001094A">
        <w:rPr>
          <w:rFonts w:asciiTheme="majorHAnsi" w:hAnsiTheme="majorHAnsi" w:cstheme="majorHAnsi"/>
          <w:sz w:val="21"/>
          <w:szCs w:val="21"/>
        </w:rPr>
        <w:t xml:space="preserve"> to </w:t>
      </w:r>
      <w:r w:rsidR="00E66841" w:rsidRPr="0001094A">
        <w:rPr>
          <w:rFonts w:asciiTheme="majorHAnsi" w:hAnsiTheme="majorHAnsi" w:cstheme="majorHAnsi"/>
          <w:sz w:val="21"/>
          <w:szCs w:val="21"/>
        </w:rPr>
        <w:t xml:space="preserve">the </w:t>
      </w:r>
      <w:r w:rsidRPr="0001094A">
        <w:rPr>
          <w:rFonts w:asciiTheme="majorHAnsi" w:hAnsiTheme="majorHAnsi" w:cstheme="majorHAnsi"/>
          <w:sz w:val="21"/>
          <w:szCs w:val="21"/>
        </w:rPr>
        <w:t>limited sample size for the current study as well as expected collinear relationships between school race/ethnicity proportions, we elected to utilize a data-driven approach for a priori excluding covariates with the least predictive value (</w:t>
      </w:r>
      <w:proofErr w:type="spellStart"/>
      <w:r w:rsidRPr="0001094A">
        <w:rPr>
          <w:rFonts w:asciiTheme="majorHAnsi" w:hAnsiTheme="majorHAnsi" w:cstheme="majorHAnsi"/>
          <w:sz w:val="21"/>
          <w:szCs w:val="21"/>
        </w:rPr>
        <w:t>Breiman</w:t>
      </w:r>
      <w:proofErr w:type="spellEnd"/>
      <w:r w:rsidR="00426AC8" w:rsidRPr="0001094A">
        <w:rPr>
          <w:rFonts w:asciiTheme="majorHAnsi" w:hAnsiTheme="majorHAnsi" w:cstheme="majorHAnsi"/>
          <w:sz w:val="21"/>
          <w:szCs w:val="21"/>
        </w:rPr>
        <w:t>,</w:t>
      </w:r>
      <w:r w:rsidRPr="0001094A">
        <w:rPr>
          <w:rFonts w:asciiTheme="majorHAnsi" w:hAnsiTheme="majorHAnsi" w:cstheme="majorHAnsi"/>
          <w:sz w:val="21"/>
          <w:szCs w:val="21"/>
        </w:rPr>
        <w:t xml:space="preserve"> 2001). </w:t>
      </w:r>
      <w:r w:rsidR="00E66841" w:rsidRPr="0001094A">
        <w:rPr>
          <w:rFonts w:asciiTheme="majorHAnsi" w:hAnsiTheme="majorHAnsi" w:cstheme="majorHAnsi"/>
          <w:sz w:val="21"/>
          <w:szCs w:val="21"/>
        </w:rPr>
        <w:t>C</w:t>
      </w:r>
      <w:r w:rsidRPr="0001094A">
        <w:rPr>
          <w:rFonts w:asciiTheme="majorHAnsi" w:hAnsiTheme="majorHAnsi" w:cstheme="majorHAnsi"/>
          <w:sz w:val="21"/>
          <w:szCs w:val="21"/>
        </w:rPr>
        <w:t>ovariates with positive variable importance for greater than 50% of the 100 iterations were retained for the modeling stage.</w:t>
      </w:r>
    </w:p>
    <w:p w14:paraId="4F2985F7" w14:textId="2C80F317" w:rsidR="007677EA" w:rsidRPr="0001094A" w:rsidRDefault="00EA1561" w:rsidP="0001094A">
      <w:pPr>
        <w:pStyle w:val="BodyText"/>
        <w:ind w:firstLine="720"/>
        <w:rPr>
          <w:rFonts w:asciiTheme="majorHAnsi" w:hAnsiTheme="majorHAnsi" w:cstheme="majorHAnsi"/>
          <w:sz w:val="21"/>
          <w:szCs w:val="21"/>
        </w:rPr>
      </w:pPr>
      <w:r w:rsidRPr="0001094A">
        <w:rPr>
          <w:rFonts w:asciiTheme="majorHAnsi" w:hAnsiTheme="majorHAnsi" w:cstheme="majorHAnsi"/>
          <w:sz w:val="21"/>
          <w:szCs w:val="21"/>
        </w:rPr>
        <w:t xml:space="preserve">The second stage of analysis </w:t>
      </w:r>
      <w:r w:rsidR="002017FE" w:rsidRPr="0001094A">
        <w:rPr>
          <w:rFonts w:asciiTheme="majorHAnsi" w:hAnsiTheme="majorHAnsi" w:cstheme="majorHAnsi"/>
          <w:sz w:val="21"/>
          <w:szCs w:val="21"/>
        </w:rPr>
        <w:t xml:space="preserve">included </w:t>
      </w:r>
      <w:r w:rsidRPr="0001094A">
        <w:rPr>
          <w:rFonts w:asciiTheme="majorHAnsi" w:hAnsiTheme="majorHAnsi" w:cstheme="majorHAnsi"/>
          <w:sz w:val="21"/>
          <w:szCs w:val="21"/>
        </w:rPr>
        <w:t xml:space="preserve">three sets of multilevel models, all accounting for nesting of schools within state, nested within region (Finch, Bolin, </w:t>
      </w:r>
      <w:r w:rsidR="000B6B17" w:rsidRPr="0001094A">
        <w:rPr>
          <w:rFonts w:asciiTheme="majorHAnsi" w:hAnsiTheme="majorHAnsi" w:cstheme="majorHAnsi"/>
          <w:sz w:val="21"/>
          <w:szCs w:val="21"/>
        </w:rPr>
        <w:t xml:space="preserve">&amp; </w:t>
      </w:r>
      <w:r w:rsidRPr="0001094A">
        <w:rPr>
          <w:rFonts w:asciiTheme="majorHAnsi" w:hAnsiTheme="majorHAnsi" w:cstheme="majorHAnsi"/>
          <w:sz w:val="21"/>
          <w:szCs w:val="21"/>
        </w:rPr>
        <w:t>Kelley</w:t>
      </w:r>
      <w:r w:rsidR="00426AC8" w:rsidRPr="0001094A">
        <w:rPr>
          <w:rFonts w:asciiTheme="majorHAnsi" w:hAnsiTheme="majorHAnsi" w:cstheme="majorHAnsi"/>
          <w:sz w:val="21"/>
          <w:szCs w:val="21"/>
        </w:rPr>
        <w:t>,</w:t>
      </w:r>
      <w:r w:rsidRPr="0001094A">
        <w:rPr>
          <w:rFonts w:asciiTheme="majorHAnsi" w:hAnsiTheme="majorHAnsi" w:cstheme="majorHAnsi"/>
          <w:sz w:val="21"/>
          <w:szCs w:val="21"/>
        </w:rPr>
        <w:t xml:space="preserve"> 2019). </w:t>
      </w:r>
      <w:r w:rsidR="009A4472" w:rsidRPr="0001094A">
        <w:rPr>
          <w:rFonts w:asciiTheme="majorHAnsi" w:hAnsiTheme="majorHAnsi" w:cstheme="majorHAnsi"/>
          <w:sz w:val="21"/>
          <w:szCs w:val="21"/>
        </w:rPr>
        <w:t>To begin</w:t>
      </w:r>
      <w:r w:rsidRPr="0001094A">
        <w:rPr>
          <w:rFonts w:asciiTheme="majorHAnsi" w:hAnsiTheme="majorHAnsi" w:cstheme="majorHAnsi"/>
          <w:sz w:val="21"/>
          <w:szCs w:val="21"/>
        </w:rPr>
        <w:t>, individual multilevel models</w:t>
      </w:r>
      <w:r w:rsidR="009A4472" w:rsidRPr="0001094A">
        <w:rPr>
          <w:rFonts w:asciiTheme="majorHAnsi" w:hAnsiTheme="majorHAnsi" w:cstheme="majorHAnsi"/>
          <w:sz w:val="21"/>
          <w:szCs w:val="21"/>
        </w:rPr>
        <w:t xml:space="preserve"> were constructed</w:t>
      </w:r>
      <w:r w:rsidRPr="0001094A">
        <w:rPr>
          <w:rFonts w:asciiTheme="majorHAnsi" w:hAnsiTheme="majorHAnsi" w:cstheme="majorHAnsi"/>
          <w:sz w:val="21"/>
          <w:szCs w:val="21"/>
        </w:rPr>
        <w:t xml:space="preserve"> with one strategy and important covariates as predictors were estimated to assess each strategy’s association with the change in case rates before inclusion of other strategies; </w:t>
      </w:r>
      <w:r w:rsidR="009A4472" w:rsidRPr="0001094A">
        <w:rPr>
          <w:rFonts w:asciiTheme="majorHAnsi" w:hAnsiTheme="majorHAnsi" w:cstheme="majorHAnsi"/>
          <w:sz w:val="21"/>
          <w:szCs w:val="21"/>
        </w:rPr>
        <w:t>next</w:t>
      </w:r>
      <w:r w:rsidRPr="0001094A">
        <w:rPr>
          <w:rFonts w:asciiTheme="majorHAnsi" w:hAnsiTheme="majorHAnsi" w:cstheme="majorHAnsi"/>
          <w:sz w:val="21"/>
          <w:szCs w:val="21"/>
        </w:rPr>
        <w:t xml:space="preserve">, estimation of a full model </w:t>
      </w:r>
      <w:r w:rsidR="009A4472" w:rsidRPr="0001094A">
        <w:rPr>
          <w:rFonts w:asciiTheme="majorHAnsi" w:hAnsiTheme="majorHAnsi" w:cstheme="majorHAnsi"/>
          <w:sz w:val="21"/>
          <w:szCs w:val="21"/>
        </w:rPr>
        <w:t xml:space="preserve">was </w:t>
      </w:r>
      <w:r w:rsidR="00DC563A" w:rsidRPr="0001094A">
        <w:rPr>
          <w:rFonts w:asciiTheme="majorHAnsi" w:hAnsiTheme="majorHAnsi" w:cstheme="majorHAnsi"/>
          <w:sz w:val="21"/>
          <w:szCs w:val="21"/>
        </w:rPr>
        <w:t xml:space="preserve">created </w:t>
      </w:r>
      <w:r w:rsidRPr="0001094A">
        <w:rPr>
          <w:rFonts w:asciiTheme="majorHAnsi" w:hAnsiTheme="majorHAnsi" w:cstheme="majorHAnsi"/>
          <w:sz w:val="21"/>
          <w:szCs w:val="21"/>
        </w:rPr>
        <w:t xml:space="preserve">including all strategies for relative comparison; and </w:t>
      </w:r>
      <w:r w:rsidR="009A4472" w:rsidRPr="0001094A">
        <w:rPr>
          <w:rFonts w:asciiTheme="majorHAnsi" w:hAnsiTheme="majorHAnsi" w:cstheme="majorHAnsi"/>
          <w:sz w:val="21"/>
          <w:szCs w:val="21"/>
        </w:rPr>
        <w:t>then a third</w:t>
      </w:r>
      <w:r w:rsidRPr="0001094A">
        <w:rPr>
          <w:rFonts w:asciiTheme="majorHAnsi" w:hAnsiTheme="majorHAnsi" w:cstheme="majorHAnsi"/>
          <w:sz w:val="21"/>
          <w:szCs w:val="21"/>
        </w:rPr>
        <w:t xml:space="preserve"> set of models</w:t>
      </w:r>
      <w:r w:rsidR="009A4472" w:rsidRPr="0001094A">
        <w:rPr>
          <w:rFonts w:asciiTheme="majorHAnsi" w:hAnsiTheme="majorHAnsi" w:cstheme="majorHAnsi"/>
          <w:sz w:val="21"/>
          <w:szCs w:val="21"/>
        </w:rPr>
        <w:t xml:space="preserve"> </w:t>
      </w:r>
      <w:r w:rsidR="00DC563A" w:rsidRPr="0001094A">
        <w:rPr>
          <w:rFonts w:asciiTheme="majorHAnsi" w:hAnsiTheme="majorHAnsi" w:cstheme="majorHAnsi"/>
          <w:sz w:val="21"/>
          <w:szCs w:val="21"/>
        </w:rPr>
        <w:t>were built</w:t>
      </w:r>
      <w:r w:rsidRPr="0001094A">
        <w:rPr>
          <w:rFonts w:asciiTheme="majorHAnsi" w:hAnsiTheme="majorHAnsi" w:cstheme="majorHAnsi"/>
          <w:sz w:val="21"/>
          <w:szCs w:val="21"/>
        </w:rPr>
        <w:t xml:space="preserve"> to compare schools having multiple strategies in place, characterized by cumulative indices. The cumulative indices were calculated as the sum of strategies identified from the first set of models using p-value cutoffs of 0.1 and 0.2, with additional testing of indices calculated using cutoffs of 0.5, 0.7, and all strategies provided in the appendix. These cumulative indices were estimated in separate models and compared using Akaike information criterion (AIC) and Bayesian information criterion (BIC) for selection of the best cumulative index (Finch, Bolin, </w:t>
      </w:r>
      <w:r w:rsidR="00426AC8" w:rsidRPr="0001094A">
        <w:rPr>
          <w:rFonts w:asciiTheme="majorHAnsi" w:hAnsiTheme="majorHAnsi" w:cstheme="majorHAnsi"/>
          <w:sz w:val="21"/>
          <w:szCs w:val="21"/>
        </w:rPr>
        <w:t xml:space="preserve">&amp; </w:t>
      </w:r>
      <w:r w:rsidRPr="0001094A">
        <w:rPr>
          <w:rFonts w:asciiTheme="majorHAnsi" w:hAnsiTheme="majorHAnsi" w:cstheme="majorHAnsi"/>
          <w:sz w:val="21"/>
          <w:szCs w:val="21"/>
        </w:rPr>
        <w:t>Kelley</w:t>
      </w:r>
      <w:r w:rsidR="00426AC8" w:rsidRPr="0001094A">
        <w:rPr>
          <w:rFonts w:asciiTheme="majorHAnsi" w:hAnsiTheme="majorHAnsi" w:cstheme="majorHAnsi"/>
          <w:sz w:val="21"/>
          <w:szCs w:val="21"/>
        </w:rPr>
        <w:t>,</w:t>
      </w:r>
      <w:r w:rsidRPr="0001094A">
        <w:rPr>
          <w:rFonts w:asciiTheme="majorHAnsi" w:hAnsiTheme="majorHAnsi" w:cstheme="majorHAnsi"/>
          <w:sz w:val="21"/>
          <w:szCs w:val="21"/>
        </w:rPr>
        <w:t xml:space="preserve"> 2019).</w:t>
      </w:r>
    </w:p>
    <w:p w14:paraId="79B24619" w14:textId="77777777" w:rsidR="00977397" w:rsidRDefault="00977397" w:rsidP="00F175C5">
      <w:pPr>
        <w:pStyle w:val="BodyText"/>
        <w:spacing w:line="480" w:lineRule="auto"/>
        <w:ind w:firstLine="720"/>
        <w:jc w:val="center"/>
        <w:rPr>
          <w:b/>
          <w:bCs/>
        </w:rPr>
      </w:pPr>
    </w:p>
    <w:p w14:paraId="09D90746" w14:textId="4815718F" w:rsidR="00D5690B" w:rsidRPr="00F175C5" w:rsidRDefault="00D5690B" w:rsidP="00F175C5">
      <w:pPr>
        <w:pStyle w:val="BodyText"/>
        <w:spacing w:line="480" w:lineRule="auto"/>
        <w:ind w:firstLine="720"/>
        <w:jc w:val="center"/>
        <w:rPr>
          <w:b/>
          <w:bCs/>
        </w:rPr>
      </w:pPr>
      <w:r w:rsidRPr="00F175C5">
        <w:rPr>
          <w:b/>
          <w:bCs/>
        </w:rPr>
        <w:t>Results</w:t>
      </w:r>
    </w:p>
    <w:p w14:paraId="4F2985F9" w14:textId="0D0AA84E" w:rsidR="007677EA" w:rsidRPr="0001094A" w:rsidRDefault="00D5690B" w:rsidP="0001094A">
      <w:pPr>
        <w:pStyle w:val="FirstParagraph"/>
        <w:rPr>
          <w:rFonts w:asciiTheme="majorHAnsi" w:hAnsiTheme="majorHAnsi" w:cstheme="majorHAnsi"/>
          <w:sz w:val="21"/>
          <w:szCs w:val="21"/>
        </w:rPr>
      </w:pPr>
      <w:bookmarkStart w:id="7" w:name="results"/>
      <w:bookmarkEnd w:id="2"/>
      <w:bookmarkEnd w:id="6"/>
      <w:r>
        <w:lastRenderedPageBreak/>
        <w:tab/>
      </w:r>
      <w:r w:rsidR="00EA1561" w:rsidRPr="0001094A">
        <w:rPr>
          <w:rFonts w:asciiTheme="majorHAnsi" w:hAnsiTheme="majorHAnsi" w:cstheme="majorHAnsi"/>
          <w:sz w:val="21"/>
          <w:szCs w:val="21"/>
        </w:rPr>
        <w:t xml:space="preserve">Five schools had changes in case rates greater than 3.5 standard deviations from the mean and were subsequently removed from the data for these analyses, resulting in </w:t>
      </w:r>
      <w:r w:rsidR="00852194" w:rsidRPr="0001094A">
        <w:rPr>
          <w:rFonts w:asciiTheme="majorHAnsi" w:hAnsiTheme="majorHAnsi" w:cstheme="majorHAnsi"/>
          <w:sz w:val="21"/>
          <w:szCs w:val="21"/>
        </w:rPr>
        <w:t>a</w:t>
      </w:r>
      <w:r w:rsidR="00EA1561" w:rsidRPr="0001094A">
        <w:rPr>
          <w:rFonts w:asciiTheme="majorHAnsi" w:hAnsiTheme="majorHAnsi" w:cstheme="majorHAnsi"/>
          <w:sz w:val="21"/>
          <w:szCs w:val="21"/>
        </w:rPr>
        <w:t xml:space="preserve"> sample of 342 schools. Table 1 provides summary statistics for this sample. Three hundred forty-two schools had case data available for fall 2021 and spring 2022, with an overall average of 1.16 (SD = 1.87) more cases per 100 students per month during spring 2022 than fall 2021. Notably, none of the school-level covariates or county-level predictors were significantly associated with changes in case rates, suggested by lack of correlation (last column). ICCs indicated significant clustering by region (ICC = 0.08) and state (</w:t>
      </w:r>
      <w:r w:rsidR="005F4DC6" w:rsidRPr="0001094A">
        <w:rPr>
          <w:rFonts w:asciiTheme="majorHAnsi" w:hAnsiTheme="majorHAnsi" w:cstheme="majorHAnsi"/>
          <w:sz w:val="21"/>
          <w:szCs w:val="21"/>
        </w:rPr>
        <w:t xml:space="preserve">ICC = </w:t>
      </w:r>
      <w:r w:rsidR="00EA1561" w:rsidRPr="0001094A">
        <w:rPr>
          <w:rFonts w:asciiTheme="majorHAnsi" w:hAnsiTheme="majorHAnsi" w:cstheme="majorHAnsi"/>
          <w:sz w:val="21"/>
          <w:szCs w:val="21"/>
        </w:rPr>
        <w:t>0.22), though not by district (</w:t>
      </w:r>
      <w:r w:rsidR="005F4DC6" w:rsidRPr="0001094A">
        <w:rPr>
          <w:rFonts w:asciiTheme="majorHAnsi" w:hAnsiTheme="majorHAnsi" w:cstheme="majorHAnsi"/>
          <w:sz w:val="21"/>
          <w:szCs w:val="21"/>
        </w:rPr>
        <w:t xml:space="preserve">ICC = </w:t>
      </w:r>
      <w:r w:rsidR="00EA1561" w:rsidRPr="0001094A">
        <w:rPr>
          <w:rFonts w:asciiTheme="majorHAnsi" w:hAnsiTheme="majorHAnsi" w:cstheme="majorHAnsi"/>
          <w:sz w:val="21"/>
          <w:szCs w:val="21"/>
        </w:rPr>
        <w:t xml:space="preserve">0.00). Therefore, accounting for clustering of schools by region and state was necessary for the modeling stage. Overall, the final sample consisted of 55 schools from the Midwest (16%), 94 from the Northeast (27%), 120 from the South (35%), and 73 from the West (21%). Schools were comparatively distributed by locale, including city (24%), rural (27%), suburb (35%), and town (14%). For region and locale, table </w:t>
      </w:r>
      <w:r w:rsidR="002E154C" w:rsidRPr="0001094A">
        <w:rPr>
          <w:rFonts w:asciiTheme="majorHAnsi" w:hAnsiTheme="majorHAnsi" w:cstheme="majorHAnsi"/>
          <w:sz w:val="21"/>
          <w:szCs w:val="21"/>
        </w:rPr>
        <w:t>2</w:t>
      </w:r>
      <w:r w:rsidR="00EA1561" w:rsidRPr="0001094A">
        <w:rPr>
          <w:rFonts w:asciiTheme="majorHAnsi" w:hAnsiTheme="majorHAnsi" w:cstheme="majorHAnsi"/>
          <w:sz w:val="21"/>
          <w:szCs w:val="21"/>
        </w:rPr>
        <w:t xml:space="preserve"> displays minimum, maximum, mean, and standard deviation of case rates.</w:t>
      </w:r>
    </w:p>
    <w:p w14:paraId="4F2985FA" w14:textId="77777777" w:rsidR="007677EA" w:rsidRDefault="00EA1561">
      <w:pPr>
        <w:pStyle w:val="TableCaption"/>
        <w:jc w:val="center"/>
      </w:pPr>
      <w:r>
        <w:t>Table 2: Summary statistics of changes in case rates and standardized covariates</w:t>
      </w:r>
    </w:p>
    <w:tbl>
      <w:tblPr>
        <w:tblW w:w="10817" w:type="dxa"/>
        <w:jc w:val="center"/>
        <w:tblLayout w:type="fixed"/>
        <w:tblLook w:val="0420" w:firstRow="1" w:lastRow="0" w:firstColumn="0" w:lastColumn="0" w:noHBand="0" w:noVBand="1"/>
      </w:tblPr>
      <w:tblGrid>
        <w:gridCol w:w="3430"/>
        <w:gridCol w:w="2699"/>
        <w:gridCol w:w="1800"/>
        <w:gridCol w:w="2888"/>
      </w:tblGrid>
      <w:tr w:rsidR="007677EA" w14:paraId="4F2985FF" w14:textId="77777777" w:rsidTr="00F175C5">
        <w:trPr>
          <w:trHeight w:val="421"/>
          <w:tblHeader/>
          <w:jc w:val="center"/>
        </w:trPr>
        <w:tc>
          <w:tcPr>
            <w:tcW w:w="34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5FB" w14:textId="77777777" w:rsidR="007677EA" w:rsidRDefault="00EA1561" w:rsidP="00F175C5">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Construct</w:t>
            </w:r>
          </w:p>
        </w:tc>
        <w:tc>
          <w:tcPr>
            <w:tcW w:w="269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5FC" w14:textId="77777777" w:rsidR="007677EA" w:rsidRDefault="00EA1561" w:rsidP="00F175C5">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 (min, max)</w:t>
            </w:r>
          </w:p>
        </w:tc>
        <w:tc>
          <w:tcPr>
            <w:tcW w:w="180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5FD" w14:textId="77777777" w:rsidR="007677EA" w:rsidRDefault="00EA1561" w:rsidP="00F175C5">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 (SD)</w:t>
            </w:r>
          </w:p>
        </w:tc>
        <w:tc>
          <w:tcPr>
            <w:tcW w:w="288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5FE" w14:textId="77777777" w:rsidR="007677EA" w:rsidRDefault="00EA1561" w:rsidP="00F175C5">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Correlation (p-value)</w:t>
            </w:r>
          </w:p>
        </w:tc>
      </w:tr>
      <w:tr w:rsidR="007677EA" w14:paraId="4F298604" w14:textId="77777777" w:rsidTr="000F2A20">
        <w:trPr>
          <w:trHeight w:val="519"/>
          <w:jc w:val="center"/>
        </w:trPr>
        <w:tc>
          <w:tcPr>
            <w:tcW w:w="343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00"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Change in school COVID-19 case rate</w:t>
            </w:r>
          </w:p>
        </w:tc>
        <w:tc>
          <w:tcPr>
            <w:tcW w:w="269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01"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342 (-6.25, 7.81)</w:t>
            </w:r>
          </w:p>
        </w:tc>
        <w:tc>
          <w:tcPr>
            <w:tcW w:w="180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02"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1.16 (1.87)</w:t>
            </w:r>
          </w:p>
        </w:tc>
        <w:tc>
          <w:tcPr>
            <w:tcW w:w="288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03"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7677EA" w14:paraId="4F298609" w14:textId="77777777" w:rsidTr="000F2A20">
        <w:trPr>
          <w:trHeight w:val="458"/>
          <w:jc w:val="center"/>
        </w:trPr>
        <w:tc>
          <w:tcPr>
            <w:tcW w:w="3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05"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Change in county COVID-19 case rate</w:t>
            </w:r>
          </w:p>
        </w:tc>
        <w:tc>
          <w:tcPr>
            <w:tcW w:w="2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06"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342 (-13.67, 14747.43)</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07"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826.27 (2375.13)</w:t>
            </w:r>
          </w:p>
        </w:tc>
        <w:tc>
          <w:tcPr>
            <w:tcW w:w="2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08"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0.004 (0.937)</w:t>
            </w:r>
          </w:p>
        </w:tc>
      </w:tr>
      <w:tr w:rsidR="007677EA" w14:paraId="4F29860E" w14:textId="77777777" w:rsidTr="000F2A20">
        <w:trPr>
          <w:trHeight w:val="488"/>
          <w:jc w:val="center"/>
        </w:trPr>
        <w:tc>
          <w:tcPr>
            <w:tcW w:w="3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0A"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American Indian/Alaska Native</w:t>
            </w:r>
          </w:p>
        </w:tc>
        <w:tc>
          <w:tcPr>
            <w:tcW w:w="2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0B"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338 (0, 98.7)</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0C"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1.64 (9.21)</w:t>
            </w:r>
          </w:p>
        </w:tc>
        <w:tc>
          <w:tcPr>
            <w:tcW w:w="2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0D"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-0.046 (0.401)</w:t>
            </w:r>
          </w:p>
        </w:tc>
      </w:tr>
      <w:tr w:rsidR="007677EA" w14:paraId="4F298613" w14:textId="77777777" w:rsidTr="000F2A20">
        <w:trPr>
          <w:trHeight w:val="488"/>
          <w:jc w:val="center"/>
        </w:trPr>
        <w:tc>
          <w:tcPr>
            <w:tcW w:w="3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0F"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Asian</w:t>
            </w:r>
          </w:p>
        </w:tc>
        <w:tc>
          <w:tcPr>
            <w:tcW w:w="2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10"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338 (0, 56)</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11"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4.04 (7.73)</w:t>
            </w:r>
          </w:p>
        </w:tc>
        <w:tc>
          <w:tcPr>
            <w:tcW w:w="2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12"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0.017 (0.754)</w:t>
            </w:r>
          </w:p>
        </w:tc>
      </w:tr>
      <w:tr w:rsidR="007677EA" w14:paraId="4F298618" w14:textId="77777777" w:rsidTr="000F2A20">
        <w:trPr>
          <w:trHeight w:val="488"/>
          <w:jc w:val="center"/>
        </w:trPr>
        <w:tc>
          <w:tcPr>
            <w:tcW w:w="3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14"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Black or African American</w:t>
            </w:r>
          </w:p>
        </w:tc>
        <w:tc>
          <w:tcPr>
            <w:tcW w:w="2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15"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338 (0, 99.5)</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16"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13.31 (21.69)</w:t>
            </w:r>
          </w:p>
        </w:tc>
        <w:tc>
          <w:tcPr>
            <w:tcW w:w="2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17"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0.038 (0.489)</w:t>
            </w:r>
          </w:p>
        </w:tc>
      </w:tr>
      <w:tr w:rsidR="007677EA" w14:paraId="4F29861D" w14:textId="77777777" w:rsidTr="000F2A20">
        <w:trPr>
          <w:trHeight w:val="458"/>
          <w:jc w:val="center"/>
        </w:trPr>
        <w:tc>
          <w:tcPr>
            <w:tcW w:w="3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19"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Hispanic or Latino</w:t>
            </w:r>
          </w:p>
        </w:tc>
        <w:tc>
          <w:tcPr>
            <w:tcW w:w="2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1A"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338 (0, 100)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1B"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24.97 (26.59)</w:t>
            </w:r>
          </w:p>
        </w:tc>
        <w:tc>
          <w:tcPr>
            <w:tcW w:w="2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1C"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0.066 (0.229)</w:t>
            </w:r>
          </w:p>
        </w:tc>
      </w:tr>
      <w:tr w:rsidR="007677EA" w14:paraId="4F298622" w14:textId="77777777" w:rsidTr="000F2A20">
        <w:trPr>
          <w:trHeight w:val="648"/>
          <w:jc w:val="center"/>
        </w:trPr>
        <w:tc>
          <w:tcPr>
            <w:tcW w:w="3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1E" w14:textId="6CE77E2B" w:rsidR="007677EA" w:rsidRPr="00F175C5" w:rsidRDefault="00EA1561" w:rsidP="00F175C5">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Percent Native Hawaiian or </w:t>
            </w:r>
            <w:proofErr w:type="gramStart"/>
            <w:r>
              <w:rPr>
                <w:rFonts w:ascii="Times New Roman" w:eastAsia="Times New Roman" w:hAnsi="Times New Roman" w:cs="Times New Roman"/>
                <w:color w:val="000000"/>
                <w:sz w:val="20"/>
                <w:szCs w:val="20"/>
              </w:rPr>
              <w:t>other</w:t>
            </w:r>
            <w:proofErr w:type="gramEnd"/>
            <w:r w:rsidR="00852194">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Pacific Islander</w:t>
            </w:r>
          </w:p>
        </w:tc>
        <w:tc>
          <w:tcPr>
            <w:tcW w:w="2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1F"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338 (0, 9.7)</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20"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0.24 (0.7)</w:t>
            </w:r>
          </w:p>
        </w:tc>
        <w:tc>
          <w:tcPr>
            <w:tcW w:w="2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21"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-0.041 (0.453)</w:t>
            </w:r>
          </w:p>
        </w:tc>
      </w:tr>
      <w:tr w:rsidR="007677EA" w14:paraId="4F298627" w14:textId="77777777" w:rsidTr="000F2A20">
        <w:trPr>
          <w:trHeight w:val="488"/>
          <w:jc w:val="center"/>
        </w:trPr>
        <w:tc>
          <w:tcPr>
            <w:tcW w:w="3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23"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no race specified</w:t>
            </w:r>
          </w:p>
        </w:tc>
        <w:tc>
          <w:tcPr>
            <w:tcW w:w="2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24"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338 (0, 2.6)</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25"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0.02 (0.17)</w:t>
            </w:r>
          </w:p>
        </w:tc>
        <w:tc>
          <w:tcPr>
            <w:tcW w:w="2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26"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-0.047 (0.386)</w:t>
            </w:r>
          </w:p>
        </w:tc>
      </w:tr>
      <w:tr w:rsidR="007677EA" w14:paraId="4F29862C" w14:textId="77777777" w:rsidTr="000F2A20">
        <w:trPr>
          <w:trHeight w:val="488"/>
          <w:jc w:val="center"/>
        </w:trPr>
        <w:tc>
          <w:tcPr>
            <w:tcW w:w="3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28"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two or more races</w:t>
            </w:r>
          </w:p>
        </w:tc>
        <w:tc>
          <w:tcPr>
            <w:tcW w:w="2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29"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338 (0, 23.8)</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2A"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3.86 (3.09)</w:t>
            </w:r>
          </w:p>
        </w:tc>
        <w:tc>
          <w:tcPr>
            <w:tcW w:w="2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2B"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-0.004 (0.936)</w:t>
            </w:r>
          </w:p>
        </w:tc>
      </w:tr>
      <w:tr w:rsidR="007677EA" w14:paraId="4F298631" w14:textId="77777777" w:rsidTr="000F2A20">
        <w:trPr>
          <w:trHeight w:val="488"/>
          <w:jc w:val="center"/>
        </w:trPr>
        <w:tc>
          <w:tcPr>
            <w:tcW w:w="3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2D"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White</w:t>
            </w:r>
          </w:p>
        </w:tc>
        <w:tc>
          <w:tcPr>
            <w:tcW w:w="2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2E"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338 (0, 100)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2F"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51.92 (32)</w:t>
            </w:r>
          </w:p>
        </w:tc>
        <w:tc>
          <w:tcPr>
            <w:tcW w:w="2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30"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-0.07 (0.202)</w:t>
            </w:r>
          </w:p>
        </w:tc>
      </w:tr>
      <w:tr w:rsidR="007677EA" w14:paraId="4F298636" w14:textId="77777777" w:rsidTr="000F2A20">
        <w:trPr>
          <w:trHeight w:val="458"/>
          <w:jc w:val="center"/>
        </w:trPr>
        <w:tc>
          <w:tcPr>
            <w:tcW w:w="3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32"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free and reduced lunch</w:t>
            </w:r>
          </w:p>
        </w:tc>
        <w:tc>
          <w:tcPr>
            <w:tcW w:w="2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33"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331 (0.4, 100)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34"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51.31 (28.3)</w:t>
            </w:r>
          </w:p>
        </w:tc>
        <w:tc>
          <w:tcPr>
            <w:tcW w:w="2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35"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0.027 (0.63)</w:t>
            </w:r>
          </w:p>
        </w:tc>
      </w:tr>
      <w:tr w:rsidR="007677EA" w14:paraId="4F29863B" w14:textId="77777777" w:rsidTr="000F2A20">
        <w:trPr>
          <w:trHeight w:val="488"/>
          <w:jc w:val="center"/>
        </w:trPr>
        <w:tc>
          <w:tcPr>
            <w:tcW w:w="3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37"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SVI Overall Rank</w:t>
            </w:r>
          </w:p>
        </w:tc>
        <w:tc>
          <w:tcPr>
            <w:tcW w:w="2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38"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342 (0, 99.94)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39"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51.31 (27.83)</w:t>
            </w:r>
          </w:p>
        </w:tc>
        <w:tc>
          <w:tcPr>
            <w:tcW w:w="2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3A"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0.068 (0.21)</w:t>
            </w:r>
          </w:p>
        </w:tc>
      </w:tr>
      <w:tr w:rsidR="00310193" w14:paraId="7EB1E3E6" w14:textId="77777777" w:rsidTr="000F2A20">
        <w:trPr>
          <w:trHeight w:val="519"/>
          <w:jc w:val="center"/>
        </w:trPr>
        <w:tc>
          <w:tcPr>
            <w:tcW w:w="3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A34B5" w14:textId="61EB95DB" w:rsidR="00310193" w:rsidRPr="008172A1" w:rsidRDefault="008172A1" w:rsidP="003136D7">
            <w:pPr>
              <w:pBdr>
                <w:top w:val="none" w:sz="0" w:space="0" w:color="000000"/>
                <w:left w:val="none" w:sz="0" w:space="0" w:color="000000"/>
                <w:bottom w:val="none" w:sz="0" w:space="0" w:color="000000"/>
                <w:right w:val="none" w:sz="0" w:space="0" w:color="000000"/>
              </w:pBdr>
              <w:spacing w:before="100" w:after="100" w:line="120" w:lineRule="auto"/>
              <w:ind w:left="100" w:right="100"/>
              <w:rPr>
                <w:rFonts w:ascii="Times New Roman" w:eastAsia="Times New Roman" w:hAnsi="Times New Roman" w:cs="Times New Roman"/>
                <w:b/>
                <w:bCs/>
                <w:color w:val="000000"/>
                <w:sz w:val="20"/>
                <w:szCs w:val="20"/>
              </w:rPr>
            </w:pPr>
            <w:r w:rsidRPr="008172A1">
              <w:rPr>
                <w:rFonts w:ascii="Times New Roman" w:eastAsia="Times New Roman" w:hAnsi="Times New Roman" w:cs="Times New Roman"/>
                <w:b/>
                <w:bCs/>
                <w:color w:val="000000"/>
                <w:sz w:val="20"/>
                <w:szCs w:val="20"/>
              </w:rPr>
              <w:t>Region</w:t>
            </w:r>
          </w:p>
        </w:tc>
        <w:tc>
          <w:tcPr>
            <w:tcW w:w="2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4F6D8" w14:textId="77777777" w:rsidR="00310193" w:rsidRDefault="00310193">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Times New Roman" w:hAnsi="Times New Roman" w:cs="Times New Roman"/>
                <w:color w:val="000000"/>
                <w:sz w:val="20"/>
                <w:szCs w:val="20"/>
              </w:rPr>
            </w:pP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E964F" w14:textId="77777777" w:rsidR="00310193" w:rsidRDefault="00310193">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Times New Roman" w:hAnsi="Times New Roman" w:cs="Times New Roman"/>
                <w:color w:val="000000"/>
                <w:sz w:val="20"/>
                <w:szCs w:val="20"/>
              </w:rPr>
            </w:pPr>
          </w:p>
        </w:tc>
        <w:tc>
          <w:tcPr>
            <w:tcW w:w="2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92660" w14:textId="77777777" w:rsidR="00310193" w:rsidRDefault="00310193">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7677EA" w14:paraId="4F298640" w14:textId="77777777" w:rsidTr="000F2A20">
        <w:trPr>
          <w:trHeight w:val="519"/>
          <w:jc w:val="center"/>
        </w:trPr>
        <w:tc>
          <w:tcPr>
            <w:tcW w:w="3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3C"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Midwest</w:t>
            </w:r>
          </w:p>
        </w:tc>
        <w:tc>
          <w:tcPr>
            <w:tcW w:w="2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3D"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55 (-2.87, 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3E"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0.43 (1.33)</w:t>
            </w:r>
          </w:p>
        </w:tc>
        <w:tc>
          <w:tcPr>
            <w:tcW w:w="2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3F"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7677EA" w14:paraId="4F298645" w14:textId="77777777" w:rsidTr="000F2A20">
        <w:trPr>
          <w:trHeight w:val="519"/>
          <w:jc w:val="center"/>
        </w:trPr>
        <w:tc>
          <w:tcPr>
            <w:tcW w:w="3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41"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Northeast</w:t>
            </w:r>
          </w:p>
        </w:tc>
        <w:tc>
          <w:tcPr>
            <w:tcW w:w="2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42"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94 (-2.93, 7.67)</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43"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1.47 (2.02)</w:t>
            </w:r>
          </w:p>
        </w:tc>
        <w:tc>
          <w:tcPr>
            <w:tcW w:w="2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44"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7677EA" w14:paraId="4F29864A" w14:textId="77777777" w:rsidTr="000F2A20">
        <w:trPr>
          <w:trHeight w:val="519"/>
          <w:jc w:val="center"/>
        </w:trPr>
        <w:tc>
          <w:tcPr>
            <w:tcW w:w="3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46"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South</w:t>
            </w:r>
          </w:p>
        </w:tc>
        <w:tc>
          <w:tcPr>
            <w:tcW w:w="2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47"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120 (-6.25, 7.5)</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48"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1.68 (2.06)</w:t>
            </w:r>
          </w:p>
        </w:tc>
        <w:tc>
          <w:tcPr>
            <w:tcW w:w="2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49"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7677EA" w14:paraId="4F29864F" w14:textId="77777777" w:rsidTr="000F2A20">
        <w:trPr>
          <w:trHeight w:val="519"/>
          <w:jc w:val="center"/>
        </w:trPr>
        <w:tc>
          <w:tcPr>
            <w:tcW w:w="3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4B"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West</w:t>
            </w:r>
          </w:p>
        </w:tc>
        <w:tc>
          <w:tcPr>
            <w:tcW w:w="2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4C"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73 (-1.16, 7.81)</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4D"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0.46 (1.24)</w:t>
            </w:r>
          </w:p>
        </w:tc>
        <w:tc>
          <w:tcPr>
            <w:tcW w:w="2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4E"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8172A1" w14:paraId="6DADF2B6" w14:textId="77777777" w:rsidTr="000F2A20">
        <w:trPr>
          <w:trHeight w:val="519"/>
          <w:jc w:val="center"/>
        </w:trPr>
        <w:tc>
          <w:tcPr>
            <w:tcW w:w="3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486BA" w14:textId="58A58BDB" w:rsidR="008172A1" w:rsidRPr="008172A1" w:rsidRDefault="008172A1" w:rsidP="003136D7">
            <w:pPr>
              <w:pBdr>
                <w:top w:val="none" w:sz="0" w:space="0" w:color="000000"/>
                <w:left w:val="none" w:sz="0" w:space="0" w:color="000000"/>
                <w:bottom w:val="none" w:sz="0" w:space="0" w:color="000000"/>
                <w:right w:val="none" w:sz="0" w:space="0" w:color="000000"/>
              </w:pBdr>
              <w:spacing w:before="100" w:after="100" w:line="120" w:lineRule="auto"/>
              <w:ind w:left="100" w:right="100"/>
              <w:rPr>
                <w:rFonts w:ascii="Times New Roman" w:eastAsia="Times New Roman" w:hAnsi="Times New Roman" w:cs="Times New Roman"/>
                <w:b/>
                <w:bCs/>
                <w:color w:val="000000"/>
                <w:sz w:val="20"/>
                <w:szCs w:val="20"/>
              </w:rPr>
            </w:pPr>
            <w:r w:rsidRPr="008172A1">
              <w:rPr>
                <w:rFonts w:ascii="Times New Roman" w:eastAsia="Times New Roman" w:hAnsi="Times New Roman" w:cs="Times New Roman"/>
                <w:b/>
                <w:bCs/>
                <w:color w:val="000000"/>
                <w:sz w:val="20"/>
                <w:szCs w:val="20"/>
              </w:rPr>
              <w:lastRenderedPageBreak/>
              <w:t>Locale</w:t>
            </w:r>
          </w:p>
        </w:tc>
        <w:tc>
          <w:tcPr>
            <w:tcW w:w="2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1537B" w14:textId="77777777" w:rsidR="008172A1" w:rsidRDefault="008172A1">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Times New Roman" w:hAnsi="Times New Roman" w:cs="Times New Roman"/>
                <w:color w:val="000000"/>
                <w:sz w:val="20"/>
                <w:szCs w:val="20"/>
              </w:rPr>
            </w:pP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C5B37" w14:textId="77777777" w:rsidR="008172A1" w:rsidRDefault="008172A1">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Times New Roman" w:hAnsi="Times New Roman" w:cs="Times New Roman"/>
                <w:color w:val="000000"/>
                <w:sz w:val="20"/>
                <w:szCs w:val="20"/>
              </w:rPr>
            </w:pPr>
          </w:p>
        </w:tc>
        <w:tc>
          <w:tcPr>
            <w:tcW w:w="2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43C66" w14:textId="77777777" w:rsidR="008172A1" w:rsidRDefault="008172A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7677EA" w14:paraId="4F298654" w14:textId="77777777" w:rsidTr="000F2A20">
        <w:trPr>
          <w:trHeight w:val="519"/>
          <w:jc w:val="center"/>
        </w:trPr>
        <w:tc>
          <w:tcPr>
            <w:tcW w:w="3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50"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City</w:t>
            </w:r>
          </w:p>
        </w:tc>
        <w:tc>
          <w:tcPr>
            <w:tcW w:w="2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51"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83 (-2.6, 6.74)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52"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1.06 (1.78)</w:t>
            </w:r>
          </w:p>
        </w:tc>
        <w:tc>
          <w:tcPr>
            <w:tcW w:w="2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53"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7677EA" w14:paraId="4F298659" w14:textId="77777777" w:rsidTr="000F2A20">
        <w:trPr>
          <w:trHeight w:val="519"/>
          <w:jc w:val="center"/>
        </w:trPr>
        <w:tc>
          <w:tcPr>
            <w:tcW w:w="3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55"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Rural</w:t>
            </w:r>
          </w:p>
        </w:tc>
        <w:tc>
          <w:tcPr>
            <w:tcW w:w="2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56"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92 (-6.25, 7.5)</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57"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1.17 (2)</w:t>
            </w:r>
          </w:p>
        </w:tc>
        <w:tc>
          <w:tcPr>
            <w:tcW w:w="2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58"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7677EA" w14:paraId="4F29865E" w14:textId="77777777" w:rsidTr="000F2A20">
        <w:trPr>
          <w:trHeight w:val="519"/>
          <w:jc w:val="center"/>
        </w:trPr>
        <w:tc>
          <w:tcPr>
            <w:tcW w:w="3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5A"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Suburb</w:t>
            </w:r>
          </w:p>
        </w:tc>
        <w:tc>
          <w:tcPr>
            <w:tcW w:w="2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5B"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119 (-2.93, 7.81)</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5C"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1.3 (1.93)</w:t>
            </w:r>
          </w:p>
        </w:tc>
        <w:tc>
          <w:tcPr>
            <w:tcW w:w="2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5D"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7677EA" w14:paraId="4F298663" w14:textId="77777777" w:rsidTr="000F2A20">
        <w:trPr>
          <w:trHeight w:val="549"/>
          <w:jc w:val="center"/>
        </w:trPr>
        <w:tc>
          <w:tcPr>
            <w:tcW w:w="34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5F" w14:textId="77777777" w:rsidR="007677EA" w:rsidRDefault="00EA1561" w:rsidP="003136D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Town</w:t>
            </w:r>
          </w:p>
        </w:tc>
        <w:tc>
          <w:tcPr>
            <w:tcW w:w="2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60"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48 (-2.87, 5.17)</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61"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0.97 (1.65)</w:t>
            </w:r>
          </w:p>
        </w:tc>
        <w:tc>
          <w:tcPr>
            <w:tcW w:w="2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62"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7677EA" w14:paraId="4F29866D" w14:textId="77777777" w:rsidTr="000F2A20">
        <w:trPr>
          <w:trHeight w:val="519"/>
          <w:jc w:val="center"/>
        </w:trPr>
        <w:tc>
          <w:tcPr>
            <w:tcW w:w="343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F298669" w14:textId="2CC3E075" w:rsidR="007677EA" w:rsidRDefault="007677EA" w:rsidP="008172A1">
            <w:pPr>
              <w:pBdr>
                <w:top w:val="none" w:sz="0" w:space="0" w:color="000000"/>
                <w:left w:val="none" w:sz="0" w:space="0" w:color="000000"/>
                <w:bottom w:val="none" w:sz="0" w:space="0" w:color="000000"/>
                <w:right w:val="none" w:sz="0" w:space="0" w:color="000000"/>
              </w:pBdr>
              <w:spacing w:before="100" w:after="100" w:line="120" w:lineRule="auto"/>
              <w:ind w:right="100"/>
            </w:pPr>
          </w:p>
        </w:tc>
        <w:tc>
          <w:tcPr>
            <w:tcW w:w="269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6A"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c>
          <w:tcPr>
            <w:tcW w:w="180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6B"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c>
          <w:tcPr>
            <w:tcW w:w="288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6C" w14:textId="77777777" w:rsidR="007677EA" w:rsidRDefault="007677E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bl>
    <w:p w14:paraId="4F29866E" w14:textId="77777777" w:rsidR="007677EA" w:rsidRDefault="00EA1561">
      <w:r>
        <w:br w:type="page"/>
      </w:r>
    </w:p>
    <w:p w14:paraId="4F29866F" w14:textId="1AE59453" w:rsidR="007677EA" w:rsidRPr="0001094A" w:rsidRDefault="00EA1561" w:rsidP="0001094A">
      <w:pPr>
        <w:pStyle w:val="BodyText"/>
        <w:rPr>
          <w:rFonts w:asciiTheme="majorHAnsi" w:hAnsiTheme="majorHAnsi" w:cstheme="majorHAnsi"/>
          <w:sz w:val="21"/>
          <w:szCs w:val="21"/>
        </w:rPr>
      </w:pPr>
      <w:r w:rsidRPr="0001094A">
        <w:rPr>
          <w:rFonts w:asciiTheme="majorHAnsi" w:hAnsiTheme="majorHAnsi" w:cstheme="majorHAnsi"/>
          <w:sz w:val="21"/>
          <w:szCs w:val="21"/>
        </w:rPr>
        <w:lastRenderedPageBreak/>
        <w:t xml:space="preserve">Table 2 reviews summary statistics and t-test results for the 10 prevention strategies with changes in case rates as the outcome variable. </w:t>
      </w:r>
      <w:r w:rsidRPr="0001094A">
        <w:rPr>
          <w:rFonts w:asciiTheme="majorHAnsi" w:hAnsiTheme="majorHAnsi" w:cstheme="majorHAnsi"/>
          <w:i/>
          <w:iCs/>
          <w:sz w:val="21"/>
          <w:szCs w:val="21"/>
        </w:rPr>
        <w:t>No policy</w:t>
      </w:r>
      <w:r w:rsidRPr="0001094A">
        <w:rPr>
          <w:rFonts w:asciiTheme="majorHAnsi" w:hAnsiTheme="majorHAnsi" w:cstheme="majorHAnsi"/>
          <w:sz w:val="21"/>
          <w:szCs w:val="21"/>
        </w:rPr>
        <w:t xml:space="preserve"> reflects the change in case rate among schools </w:t>
      </w:r>
      <w:r w:rsidR="00FF7E2B" w:rsidRPr="0001094A">
        <w:rPr>
          <w:rFonts w:asciiTheme="majorHAnsi" w:hAnsiTheme="majorHAnsi" w:cstheme="majorHAnsi"/>
          <w:sz w:val="21"/>
          <w:szCs w:val="21"/>
        </w:rPr>
        <w:t>without district</w:t>
      </w:r>
      <w:r w:rsidR="00C90B43" w:rsidRPr="0001094A">
        <w:rPr>
          <w:rFonts w:asciiTheme="majorHAnsi" w:hAnsiTheme="majorHAnsi" w:cstheme="majorHAnsi"/>
          <w:sz w:val="21"/>
          <w:szCs w:val="21"/>
        </w:rPr>
        <w:t xml:space="preserve"> </w:t>
      </w:r>
      <w:r w:rsidRPr="0001094A">
        <w:rPr>
          <w:rFonts w:asciiTheme="majorHAnsi" w:hAnsiTheme="majorHAnsi" w:cstheme="majorHAnsi"/>
          <w:sz w:val="21"/>
          <w:szCs w:val="21"/>
        </w:rPr>
        <w:t xml:space="preserve">guidance </w:t>
      </w:r>
      <w:r w:rsidR="00FF7E2B" w:rsidRPr="0001094A">
        <w:rPr>
          <w:rFonts w:asciiTheme="majorHAnsi" w:hAnsiTheme="majorHAnsi" w:cstheme="majorHAnsi"/>
          <w:sz w:val="21"/>
          <w:szCs w:val="21"/>
        </w:rPr>
        <w:t xml:space="preserve">on </w:t>
      </w:r>
      <w:r w:rsidRPr="0001094A">
        <w:rPr>
          <w:rFonts w:asciiTheme="majorHAnsi" w:hAnsiTheme="majorHAnsi" w:cstheme="majorHAnsi"/>
          <w:sz w:val="21"/>
          <w:szCs w:val="21"/>
        </w:rPr>
        <w:t xml:space="preserve">prevention strategy implementation in fall 2021, whereas </w:t>
      </w:r>
      <w:r w:rsidRPr="0001094A">
        <w:rPr>
          <w:rFonts w:asciiTheme="majorHAnsi" w:hAnsiTheme="majorHAnsi" w:cstheme="majorHAnsi"/>
          <w:i/>
          <w:iCs/>
          <w:sz w:val="21"/>
          <w:szCs w:val="21"/>
        </w:rPr>
        <w:t>Has policy</w:t>
      </w:r>
      <w:r w:rsidRPr="0001094A">
        <w:rPr>
          <w:rFonts w:asciiTheme="majorHAnsi" w:hAnsiTheme="majorHAnsi" w:cstheme="majorHAnsi"/>
          <w:sz w:val="21"/>
          <w:szCs w:val="21"/>
        </w:rPr>
        <w:t xml:space="preserve"> indicates the change in case rate among schools that had</w:t>
      </w:r>
      <w:r w:rsidR="00DF1F29" w:rsidRPr="0001094A">
        <w:rPr>
          <w:rFonts w:asciiTheme="majorHAnsi" w:hAnsiTheme="majorHAnsi" w:cstheme="majorHAnsi"/>
          <w:sz w:val="21"/>
          <w:szCs w:val="21"/>
        </w:rPr>
        <w:t xml:space="preserve"> district</w:t>
      </w:r>
      <w:r w:rsidRPr="0001094A">
        <w:rPr>
          <w:rFonts w:asciiTheme="majorHAnsi" w:hAnsiTheme="majorHAnsi" w:cstheme="majorHAnsi"/>
          <w:sz w:val="21"/>
          <w:szCs w:val="21"/>
        </w:rPr>
        <w:t xml:space="preserve"> guidance </w:t>
      </w:r>
      <w:r w:rsidR="00DF1F29" w:rsidRPr="0001094A">
        <w:rPr>
          <w:rFonts w:asciiTheme="majorHAnsi" w:hAnsiTheme="majorHAnsi" w:cstheme="majorHAnsi"/>
          <w:sz w:val="21"/>
          <w:szCs w:val="21"/>
        </w:rPr>
        <w:t xml:space="preserve">on </w:t>
      </w:r>
      <w:r w:rsidRPr="0001094A">
        <w:rPr>
          <w:rFonts w:asciiTheme="majorHAnsi" w:hAnsiTheme="majorHAnsi" w:cstheme="majorHAnsi"/>
          <w:sz w:val="21"/>
          <w:szCs w:val="21"/>
        </w:rPr>
        <w:t>prevention strateg</w:t>
      </w:r>
      <w:r w:rsidR="00DF1F29" w:rsidRPr="0001094A">
        <w:rPr>
          <w:rFonts w:asciiTheme="majorHAnsi" w:hAnsiTheme="majorHAnsi" w:cstheme="majorHAnsi"/>
          <w:sz w:val="21"/>
          <w:szCs w:val="21"/>
        </w:rPr>
        <w:t>y implementation</w:t>
      </w:r>
      <w:r w:rsidRPr="0001094A">
        <w:rPr>
          <w:rFonts w:asciiTheme="majorHAnsi" w:hAnsiTheme="majorHAnsi" w:cstheme="majorHAnsi"/>
          <w:sz w:val="21"/>
          <w:szCs w:val="21"/>
        </w:rPr>
        <w:t xml:space="preserve">. </w:t>
      </w:r>
      <w:r w:rsidRPr="0001094A">
        <w:rPr>
          <w:rFonts w:asciiTheme="majorHAnsi" w:hAnsiTheme="majorHAnsi" w:cstheme="majorHAnsi"/>
          <w:i/>
          <w:iCs/>
          <w:sz w:val="21"/>
          <w:szCs w:val="21"/>
        </w:rPr>
        <w:t>Difference in means</w:t>
      </w:r>
      <w:r w:rsidRPr="0001094A">
        <w:rPr>
          <w:rFonts w:asciiTheme="majorHAnsi" w:hAnsiTheme="majorHAnsi" w:cstheme="majorHAnsi"/>
          <w:sz w:val="21"/>
          <w:szCs w:val="21"/>
        </w:rPr>
        <w:t xml:space="preserve"> provides the mean difference between groups, calculated by subtracting the policy from the no policy mean. Strategies were associated with smaller increases in case rates between semesters, </w:t>
      </w:r>
      <w:r w:rsidR="00EB24BA" w:rsidRPr="0001094A">
        <w:rPr>
          <w:rFonts w:asciiTheme="majorHAnsi" w:hAnsiTheme="majorHAnsi" w:cstheme="majorHAnsi"/>
          <w:sz w:val="21"/>
          <w:szCs w:val="21"/>
        </w:rPr>
        <w:t>al</w:t>
      </w:r>
      <w:r w:rsidRPr="0001094A">
        <w:rPr>
          <w:rFonts w:asciiTheme="majorHAnsi" w:hAnsiTheme="majorHAnsi" w:cstheme="majorHAnsi"/>
          <w:sz w:val="21"/>
          <w:szCs w:val="21"/>
        </w:rPr>
        <w:t xml:space="preserve">though significant differences were only detected for upkeep of HVAC systems (mean difference = 0.48; p = 0.02) and a marginally significant difference for physical distancing (mean difference = 0.38; p = 0.08). That is, on average schools with an upkeep of HVAC systems district policy (or guidance) experienced an increase in case rates that was 0.48 per 100 students less than schools without </w:t>
      </w:r>
      <w:r w:rsidR="00D74E2D" w:rsidRPr="0001094A">
        <w:rPr>
          <w:rFonts w:asciiTheme="majorHAnsi" w:hAnsiTheme="majorHAnsi" w:cstheme="majorHAnsi"/>
          <w:sz w:val="21"/>
          <w:szCs w:val="21"/>
        </w:rPr>
        <w:t>district-level guidance on HVAC systems</w:t>
      </w:r>
      <w:r w:rsidRPr="0001094A">
        <w:rPr>
          <w:rFonts w:asciiTheme="majorHAnsi" w:hAnsiTheme="majorHAnsi" w:cstheme="majorHAnsi"/>
          <w:sz w:val="21"/>
          <w:szCs w:val="21"/>
        </w:rPr>
        <w:t>. Likewise, schools with a physical distancing guidance had an increase that was 0.38 cases per 100 students less than comparison schools.</w:t>
      </w:r>
    </w:p>
    <w:p w14:paraId="4F298670" w14:textId="25D9BEDC" w:rsidR="007677EA" w:rsidRDefault="00EA1561">
      <w:pPr>
        <w:pStyle w:val="TableCaption"/>
        <w:jc w:val="center"/>
      </w:pPr>
      <w:r>
        <w:t xml:space="preserve">Table 2: Summary statistics and t-test results of COVID-19 </w:t>
      </w:r>
      <w:r w:rsidR="00D31984">
        <w:t xml:space="preserve">prevention </w:t>
      </w:r>
      <w:r>
        <w:t>strategies</w:t>
      </w:r>
    </w:p>
    <w:tbl>
      <w:tblPr>
        <w:tblW w:w="11282" w:type="dxa"/>
        <w:jc w:val="center"/>
        <w:tblLayout w:type="fixed"/>
        <w:tblLook w:val="0420" w:firstRow="1" w:lastRow="0" w:firstColumn="0" w:lastColumn="0" w:noHBand="0" w:noVBand="1"/>
      </w:tblPr>
      <w:tblGrid>
        <w:gridCol w:w="270"/>
        <w:gridCol w:w="1511"/>
        <w:gridCol w:w="272"/>
        <w:gridCol w:w="1428"/>
        <w:gridCol w:w="171"/>
        <w:gridCol w:w="1467"/>
        <w:gridCol w:w="72"/>
        <w:gridCol w:w="990"/>
        <w:gridCol w:w="360"/>
        <w:gridCol w:w="1440"/>
        <w:gridCol w:w="90"/>
        <w:gridCol w:w="2928"/>
        <w:gridCol w:w="283"/>
      </w:tblGrid>
      <w:tr w:rsidR="007677EA" w14:paraId="4F298677" w14:textId="77777777" w:rsidTr="000F2A20">
        <w:trPr>
          <w:gridAfter w:val="1"/>
          <w:wAfter w:w="283" w:type="dxa"/>
          <w:tblHeader/>
          <w:jc w:val="center"/>
        </w:trPr>
        <w:tc>
          <w:tcPr>
            <w:tcW w:w="1781"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71"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Construct</w:t>
            </w:r>
          </w:p>
        </w:tc>
        <w:tc>
          <w:tcPr>
            <w:tcW w:w="1871"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72"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n (min, max)</w:t>
            </w:r>
          </w:p>
        </w:tc>
        <w:tc>
          <w:tcPr>
            <w:tcW w:w="146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73" w14:textId="77777777" w:rsidR="007677EA" w:rsidRDefault="00EA1561" w:rsidP="005929A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Overall mean (SD)</w:t>
            </w:r>
          </w:p>
        </w:tc>
        <w:tc>
          <w:tcPr>
            <w:tcW w:w="1422"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74"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No policy</w:t>
            </w:r>
          </w:p>
        </w:tc>
        <w:tc>
          <w:tcPr>
            <w:tcW w:w="144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75"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Has policy</w:t>
            </w:r>
          </w:p>
        </w:tc>
        <w:tc>
          <w:tcPr>
            <w:tcW w:w="3018"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76"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Difference in means (p-value)</w:t>
            </w:r>
          </w:p>
        </w:tc>
      </w:tr>
      <w:tr w:rsidR="007677EA" w14:paraId="4F29867E" w14:textId="77777777" w:rsidTr="000F2A20">
        <w:trPr>
          <w:gridBefore w:val="1"/>
          <w:wBefore w:w="270" w:type="dxa"/>
          <w:jc w:val="center"/>
        </w:trPr>
        <w:tc>
          <w:tcPr>
            <w:tcW w:w="1783"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78" w14:textId="77777777" w:rsidR="007677EA" w:rsidRDefault="00EA1561" w:rsidP="000F2A2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Vaccination offered</w:t>
            </w:r>
          </w:p>
        </w:tc>
        <w:tc>
          <w:tcPr>
            <w:tcW w:w="14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7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1710"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7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0.12 (0.32)</w:t>
            </w:r>
          </w:p>
        </w:tc>
        <w:tc>
          <w:tcPr>
            <w:tcW w:w="9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7B"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1.19</w:t>
            </w:r>
          </w:p>
        </w:tc>
        <w:tc>
          <w:tcPr>
            <w:tcW w:w="1890"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7C"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0.91</w:t>
            </w:r>
          </w:p>
        </w:tc>
        <w:tc>
          <w:tcPr>
            <w:tcW w:w="3211"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7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0.283 (0.276)</w:t>
            </w:r>
          </w:p>
        </w:tc>
      </w:tr>
      <w:tr w:rsidR="007677EA" w14:paraId="4F298685" w14:textId="77777777" w:rsidTr="000F2A20">
        <w:trPr>
          <w:gridBefore w:val="1"/>
          <w:wBefore w:w="270" w:type="dxa"/>
          <w:jc w:val="center"/>
        </w:trPr>
        <w:tc>
          <w:tcPr>
            <w:tcW w:w="17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7F" w14:textId="77777777" w:rsidR="007677EA" w:rsidRDefault="00EA1561" w:rsidP="000F2A2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Universal masking requirements</w:t>
            </w:r>
          </w:p>
        </w:tc>
        <w:tc>
          <w:tcPr>
            <w:tcW w:w="14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171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0.26 (0.44)</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1.22</w:t>
            </w:r>
          </w:p>
        </w:tc>
        <w:tc>
          <w:tcPr>
            <w:tcW w:w="189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3"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1.00</w:t>
            </w:r>
          </w:p>
        </w:tc>
        <w:tc>
          <w:tcPr>
            <w:tcW w:w="321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4"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0.22 (0.358)</w:t>
            </w:r>
          </w:p>
        </w:tc>
      </w:tr>
      <w:tr w:rsidR="007677EA" w14:paraId="4F29868C" w14:textId="77777777" w:rsidTr="000F2A20">
        <w:trPr>
          <w:gridBefore w:val="1"/>
          <w:wBefore w:w="270" w:type="dxa"/>
          <w:jc w:val="center"/>
        </w:trPr>
        <w:tc>
          <w:tcPr>
            <w:tcW w:w="17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86" w14:textId="77777777" w:rsidR="007677EA" w:rsidRDefault="00EA1561" w:rsidP="000F2A2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Physical distancing</w:t>
            </w:r>
          </w:p>
        </w:tc>
        <w:tc>
          <w:tcPr>
            <w:tcW w:w="14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7"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171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0.26 (0.44)</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1.26</w:t>
            </w:r>
          </w:p>
        </w:tc>
        <w:tc>
          <w:tcPr>
            <w:tcW w:w="189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0.88</w:t>
            </w:r>
          </w:p>
        </w:tc>
        <w:tc>
          <w:tcPr>
            <w:tcW w:w="321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B"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0.383 (0.08)</w:t>
            </w:r>
          </w:p>
        </w:tc>
      </w:tr>
      <w:tr w:rsidR="007677EA" w14:paraId="4F298693" w14:textId="77777777" w:rsidTr="000F2A20">
        <w:trPr>
          <w:gridBefore w:val="1"/>
          <w:wBefore w:w="270" w:type="dxa"/>
          <w:jc w:val="center"/>
        </w:trPr>
        <w:tc>
          <w:tcPr>
            <w:tcW w:w="17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8D" w14:textId="77777777" w:rsidR="007677EA" w:rsidRDefault="00EA1561" w:rsidP="000F2A2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Screening and testing for students</w:t>
            </w:r>
          </w:p>
        </w:tc>
        <w:tc>
          <w:tcPr>
            <w:tcW w:w="14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171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8F"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0.15 (0.35)</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1.19</w:t>
            </w:r>
          </w:p>
        </w:tc>
        <w:tc>
          <w:tcPr>
            <w:tcW w:w="189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0.96</w:t>
            </w:r>
          </w:p>
        </w:tc>
        <w:tc>
          <w:tcPr>
            <w:tcW w:w="321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0.236 (0.454)</w:t>
            </w:r>
          </w:p>
        </w:tc>
      </w:tr>
      <w:tr w:rsidR="007677EA" w14:paraId="4F29869A" w14:textId="77777777" w:rsidTr="000F2A20">
        <w:trPr>
          <w:gridBefore w:val="1"/>
          <w:wBefore w:w="270" w:type="dxa"/>
          <w:jc w:val="center"/>
        </w:trPr>
        <w:tc>
          <w:tcPr>
            <w:tcW w:w="17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94" w14:textId="77777777" w:rsidR="007677EA" w:rsidRDefault="00EA1561" w:rsidP="000F2A2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Staying home when sick</w:t>
            </w:r>
          </w:p>
        </w:tc>
        <w:tc>
          <w:tcPr>
            <w:tcW w:w="14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171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6"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0.41 (0.49)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7"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1.26</w:t>
            </w:r>
          </w:p>
        </w:tc>
        <w:tc>
          <w:tcPr>
            <w:tcW w:w="189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1.02</w:t>
            </w:r>
          </w:p>
        </w:tc>
        <w:tc>
          <w:tcPr>
            <w:tcW w:w="321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0.24 (0.244)</w:t>
            </w:r>
          </w:p>
        </w:tc>
      </w:tr>
      <w:tr w:rsidR="007677EA" w14:paraId="4F2986A1" w14:textId="77777777" w:rsidTr="000F2A20">
        <w:trPr>
          <w:gridBefore w:val="1"/>
          <w:wBefore w:w="270" w:type="dxa"/>
          <w:jc w:val="center"/>
        </w:trPr>
        <w:tc>
          <w:tcPr>
            <w:tcW w:w="17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9B" w14:textId="77777777" w:rsidR="007677EA" w:rsidRDefault="00EA1561" w:rsidP="000F2A2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Contact tracing</w:t>
            </w:r>
          </w:p>
        </w:tc>
        <w:tc>
          <w:tcPr>
            <w:tcW w:w="14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C"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171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0.3 (0.46)</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1.22</w:t>
            </w:r>
          </w:p>
        </w:tc>
        <w:tc>
          <w:tcPr>
            <w:tcW w:w="189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9F"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1.03</w:t>
            </w:r>
          </w:p>
        </w:tc>
        <w:tc>
          <w:tcPr>
            <w:tcW w:w="321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A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0.184 (0.383)</w:t>
            </w:r>
          </w:p>
        </w:tc>
      </w:tr>
      <w:tr w:rsidR="007677EA" w14:paraId="4F2986A8" w14:textId="77777777" w:rsidTr="000F2A20">
        <w:trPr>
          <w:gridBefore w:val="1"/>
          <w:wBefore w:w="270" w:type="dxa"/>
          <w:jc w:val="center"/>
        </w:trPr>
        <w:tc>
          <w:tcPr>
            <w:tcW w:w="17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A2" w14:textId="77777777" w:rsidR="007677EA" w:rsidRDefault="00EA1561" w:rsidP="000F2A2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Quarantining</w:t>
            </w:r>
          </w:p>
        </w:tc>
        <w:tc>
          <w:tcPr>
            <w:tcW w:w="14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A3"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171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A4"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0.32 (0.47)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A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1.24</w:t>
            </w:r>
          </w:p>
        </w:tc>
        <w:tc>
          <w:tcPr>
            <w:tcW w:w="189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A6"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1.00</w:t>
            </w:r>
          </w:p>
        </w:tc>
        <w:tc>
          <w:tcPr>
            <w:tcW w:w="321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A7"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0.239 (0.27)</w:t>
            </w:r>
          </w:p>
        </w:tc>
      </w:tr>
      <w:tr w:rsidR="007677EA" w14:paraId="4F2986AF" w14:textId="77777777" w:rsidTr="000F2A20">
        <w:trPr>
          <w:gridBefore w:val="1"/>
          <w:wBefore w:w="270" w:type="dxa"/>
          <w:jc w:val="center"/>
        </w:trPr>
        <w:tc>
          <w:tcPr>
            <w:tcW w:w="17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A9" w14:textId="77777777" w:rsidR="007677EA" w:rsidRDefault="00EA1561" w:rsidP="000F2A2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Cleaning</w:t>
            </w:r>
          </w:p>
        </w:tc>
        <w:tc>
          <w:tcPr>
            <w:tcW w:w="14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A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171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AB"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0.25 (0.44)</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AC"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1.15</w:t>
            </w:r>
          </w:p>
        </w:tc>
        <w:tc>
          <w:tcPr>
            <w:tcW w:w="189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A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1.19</w:t>
            </w:r>
          </w:p>
        </w:tc>
        <w:tc>
          <w:tcPr>
            <w:tcW w:w="321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A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-0.035 (0.875)</w:t>
            </w:r>
          </w:p>
        </w:tc>
      </w:tr>
      <w:tr w:rsidR="007677EA" w14:paraId="4F2986B6" w14:textId="77777777" w:rsidTr="000F2A20">
        <w:trPr>
          <w:gridBefore w:val="1"/>
          <w:wBefore w:w="270" w:type="dxa"/>
          <w:jc w:val="center"/>
        </w:trPr>
        <w:tc>
          <w:tcPr>
            <w:tcW w:w="17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B0" w14:textId="77777777" w:rsidR="007677EA" w:rsidRDefault="00EA1561" w:rsidP="000F2A2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HEPA filters</w:t>
            </w:r>
          </w:p>
        </w:tc>
        <w:tc>
          <w:tcPr>
            <w:tcW w:w="14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B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171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B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0.04 (0.21)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B3"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1.18</w:t>
            </w:r>
          </w:p>
        </w:tc>
        <w:tc>
          <w:tcPr>
            <w:tcW w:w="189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B4"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0.80</w:t>
            </w:r>
          </w:p>
        </w:tc>
        <w:tc>
          <w:tcPr>
            <w:tcW w:w="321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B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0.375 (0.4)</w:t>
            </w:r>
          </w:p>
        </w:tc>
      </w:tr>
      <w:tr w:rsidR="007677EA" w14:paraId="4F2986BD" w14:textId="77777777" w:rsidTr="000F2A20">
        <w:trPr>
          <w:gridBefore w:val="1"/>
          <w:wBefore w:w="270" w:type="dxa"/>
          <w:jc w:val="center"/>
        </w:trPr>
        <w:tc>
          <w:tcPr>
            <w:tcW w:w="1783" w:type="dxa"/>
            <w:gridSpan w:val="2"/>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F2986B7" w14:textId="77777777" w:rsidR="007677EA" w:rsidRDefault="00EA1561" w:rsidP="000F2A2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HVAC systems</w:t>
            </w:r>
          </w:p>
        </w:tc>
        <w:tc>
          <w:tcPr>
            <w:tcW w:w="14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B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1710" w:type="dxa"/>
            <w:gridSpan w:val="3"/>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B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0.33 (0.47)</w:t>
            </w:r>
          </w:p>
        </w:tc>
        <w:tc>
          <w:tcPr>
            <w:tcW w:w="9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B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1.32</w:t>
            </w:r>
          </w:p>
        </w:tc>
        <w:tc>
          <w:tcPr>
            <w:tcW w:w="1890" w:type="dxa"/>
            <w:gridSpan w:val="3"/>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BB"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0.84</w:t>
            </w:r>
          </w:p>
        </w:tc>
        <w:tc>
          <w:tcPr>
            <w:tcW w:w="3211" w:type="dxa"/>
            <w:gridSpan w:val="2"/>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BC"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0.476 (0.019)</w:t>
            </w:r>
          </w:p>
        </w:tc>
      </w:tr>
    </w:tbl>
    <w:p w14:paraId="297EFDBA" w14:textId="77777777" w:rsidR="005929AC" w:rsidRDefault="005929AC" w:rsidP="00F175C5">
      <w:pPr>
        <w:pStyle w:val="BodyText"/>
        <w:spacing w:line="480" w:lineRule="auto"/>
      </w:pPr>
    </w:p>
    <w:p w14:paraId="4F2986BE" w14:textId="6ACA4394" w:rsidR="007677EA" w:rsidRPr="0001094A" w:rsidRDefault="00EA1561" w:rsidP="0001094A">
      <w:pPr>
        <w:pStyle w:val="BodyText"/>
        <w:rPr>
          <w:rFonts w:asciiTheme="majorHAnsi" w:hAnsiTheme="majorHAnsi" w:cstheme="majorHAnsi"/>
          <w:sz w:val="21"/>
          <w:szCs w:val="21"/>
        </w:rPr>
      </w:pPr>
      <w:r w:rsidRPr="0001094A">
        <w:rPr>
          <w:rFonts w:asciiTheme="majorHAnsi" w:hAnsiTheme="majorHAnsi" w:cstheme="majorHAnsi"/>
          <w:sz w:val="21"/>
          <w:szCs w:val="21"/>
        </w:rPr>
        <w:t xml:space="preserve">Table </w:t>
      </w:r>
      <w:r w:rsidR="00D5690B" w:rsidRPr="0001094A">
        <w:rPr>
          <w:rFonts w:asciiTheme="majorHAnsi" w:hAnsiTheme="majorHAnsi" w:cstheme="majorHAnsi"/>
          <w:sz w:val="21"/>
          <w:szCs w:val="21"/>
        </w:rPr>
        <w:t>3</w:t>
      </w:r>
      <w:r w:rsidRPr="0001094A">
        <w:rPr>
          <w:rFonts w:asciiTheme="majorHAnsi" w:hAnsiTheme="majorHAnsi" w:cstheme="majorHAnsi"/>
          <w:sz w:val="21"/>
          <w:szCs w:val="21"/>
        </w:rPr>
        <w:t xml:space="preserve"> shows results from the first set of multilevel models that were run individually for each strategy. School-level covariates are suppressed for reporting, but those selected for the modeling stage include percent student body Asian, percent student body Black or African American, percent student body two or more races, percent student body White, percent student body free and reduced lunch, school level, and county-level indicators including change in COVID-19 case count rate and SVI Overall Rank. As shown in table three, none of the strategies were statistically significant when covariates were included in models, though three demonstrated a marginal association (p-value &lt; 0.10), including physical distancing (coefficient = -0.38; p-value = 0.07), staying home when sick (-0.33; 0.08), and upkeep of HVAC systems (-0.38; 0.06). In addition, two strategies, offering screening and testing for students (-0.35; 0.18) and requiring quarantining (-0.29; </w:t>
      </w:r>
      <w:r w:rsidRPr="0001094A">
        <w:rPr>
          <w:rFonts w:asciiTheme="majorHAnsi" w:hAnsiTheme="majorHAnsi" w:cstheme="majorHAnsi"/>
          <w:sz w:val="21"/>
          <w:szCs w:val="21"/>
        </w:rPr>
        <w:lastRenderedPageBreak/>
        <w:t xml:space="preserve">0.14) had p-values less than 0.20. As such, these strategies were selected for calculation of the cumulative </w:t>
      </w:r>
      <w:r w:rsidR="005929AC" w:rsidRPr="0001094A">
        <w:rPr>
          <w:rFonts w:asciiTheme="majorHAnsi" w:hAnsiTheme="majorHAnsi" w:cstheme="majorHAnsi"/>
          <w:sz w:val="21"/>
          <w:szCs w:val="21"/>
        </w:rPr>
        <w:t>indices and</w:t>
      </w:r>
      <w:r w:rsidRPr="0001094A">
        <w:rPr>
          <w:rFonts w:asciiTheme="majorHAnsi" w:hAnsiTheme="majorHAnsi" w:cstheme="majorHAnsi"/>
          <w:sz w:val="21"/>
          <w:szCs w:val="21"/>
        </w:rPr>
        <w:t xml:space="preserve"> are reviewed below in table five.</w:t>
      </w:r>
    </w:p>
    <w:p w14:paraId="4F2986BF" w14:textId="7321BC2C" w:rsidR="007677EA" w:rsidRDefault="00EA1561">
      <w:pPr>
        <w:pStyle w:val="TableCaption"/>
        <w:jc w:val="center"/>
      </w:pPr>
      <w:r>
        <w:t>Table 3: Results of multilevel models for each individual strategy accounting</w:t>
      </w:r>
      <w:r w:rsidR="000175CF">
        <w:t xml:space="preserve"> for</w:t>
      </w:r>
      <w:r w:rsidR="00385DEB">
        <w:t xml:space="preserve"> </w:t>
      </w:r>
      <w:proofErr w:type="spellStart"/>
      <w:r w:rsidR="00385DEB">
        <w:t>covariates</w:t>
      </w:r>
      <w:r w:rsidR="00406A6B" w:rsidRPr="00F175C5">
        <w:rPr>
          <w:vertAlign w:val="superscript"/>
        </w:rPr>
        <w:t>a</w:t>
      </w:r>
      <w:proofErr w:type="spellEnd"/>
    </w:p>
    <w:tbl>
      <w:tblPr>
        <w:tblW w:w="0" w:type="auto"/>
        <w:jc w:val="center"/>
        <w:tblLayout w:type="fixed"/>
        <w:tblLook w:val="0420" w:firstRow="1" w:lastRow="0" w:firstColumn="0" w:lastColumn="0" w:noHBand="0" w:noVBand="1"/>
      </w:tblPr>
      <w:tblGrid>
        <w:gridCol w:w="3749"/>
        <w:gridCol w:w="2868"/>
        <w:gridCol w:w="1132"/>
      </w:tblGrid>
      <w:tr w:rsidR="007677EA" w14:paraId="4F2986C3" w14:textId="77777777">
        <w:trPr>
          <w:tblHeader/>
          <w:jc w:val="center"/>
        </w:trPr>
        <w:tc>
          <w:tcPr>
            <w:tcW w:w="374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C0"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Strategy</w:t>
            </w:r>
          </w:p>
        </w:tc>
        <w:tc>
          <w:tcPr>
            <w:tcW w:w="286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C1"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Coefficient (95% interval)</w:t>
            </w:r>
          </w:p>
        </w:tc>
        <w:tc>
          <w:tcPr>
            <w:tcW w:w="11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C2" w14:textId="77777777" w:rsidR="007677EA" w:rsidRDefault="00EA1561">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p-value</w:t>
            </w:r>
          </w:p>
        </w:tc>
      </w:tr>
      <w:tr w:rsidR="007677EA" w14:paraId="4F2986C7" w14:textId="77777777" w:rsidTr="00BF4957">
        <w:trPr>
          <w:jc w:val="center"/>
        </w:trPr>
        <w:tc>
          <w:tcPr>
            <w:tcW w:w="374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C4" w14:textId="77777777" w:rsidR="007677EA" w:rsidRDefault="00EA1561" w:rsidP="00BF495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Vaccination offered</w:t>
            </w:r>
          </w:p>
        </w:tc>
        <w:tc>
          <w:tcPr>
            <w:tcW w:w="286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C5"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-0.08 (-0.69, 0.53)</w:t>
            </w:r>
          </w:p>
        </w:tc>
        <w:tc>
          <w:tcPr>
            <w:tcW w:w="11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C6"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0.79</w:t>
            </w:r>
          </w:p>
        </w:tc>
      </w:tr>
      <w:tr w:rsidR="007677EA" w14:paraId="4F2986CB" w14:textId="77777777" w:rsidTr="00BF495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C8" w14:textId="77777777" w:rsidR="007677EA" w:rsidRDefault="00EA1561" w:rsidP="00BF495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Universal masking requirements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C9"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-0.13 (-0.54, 0.27)</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CA"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0.56</w:t>
            </w:r>
          </w:p>
        </w:tc>
      </w:tr>
      <w:tr w:rsidR="007677EA" w14:paraId="4F2986CF" w14:textId="77777777" w:rsidTr="00BF495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CC" w14:textId="02E60775" w:rsidR="007677EA" w:rsidRDefault="00EA1561" w:rsidP="00BF495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 xml:space="preserve">Physical </w:t>
            </w:r>
            <w:proofErr w:type="spellStart"/>
            <w:r>
              <w:rPr>
                <w:rFonts w:ascii="Times New Roman" w:eastAsia="Times New Roman" w:hAnsi="Times New Roman" w:cs="Times New Roman"/>
                <w:color w:val="000000"/>
                <w:sz w:val="20"/>
                <w:szCs w:val="20"/>
              </w:rPr>
              <w:t>distancing</w:t>
            </w:r>
            <w:r w:rsidR="00406A6B">
              <w:rPr>
                <w:rFonts w:ascii="Times New Roman" w:eastAsia="Times New Roman" w:hAnsi="Times New Roman" w:cs="Times New Roman"/>
                <w:color w:val="000000"/>
                <w:sz w:val="20"/>
                <w:szCs w:val="20"/>
                <w:vertAlign w:val="superscript"/>
              </w:rPr>
              <w:t>b</w:t>
            </w:r>
            <w:proofErr w:type="spellEnd"/>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CD"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-0.38 (-0.83, 0.03)</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CE"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0.07</w:t>
            </w:r>
          </w:p>
        </w:tc>
      </w:tr>
      <w:tr w:rsidR="007677EA" w14:paraId="4F2986D3" w14:textId="77777777" w:rsidTr="00BF495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D0" w14:textId="4DB8B79E" w:rsidR="007677EA" w:rsidRDefault="00EA1561" w:rsidP="00BF495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 xml:space="preserve">Screening and testing for </w:t>
            </w:r>
            <w:proofErr w:type="spellStart"/>
            <w:r>
              <w:rPr>
                <w:rFonts w:ascii="Times New Roman" w:eastAsia="Times New Roman" w:hAnsi="Times New Roman" w:cs="Times New Roman"/>
                <w:color w:val="000000"/>
                <w:sz w:val="20"/>
                <w:szCs w:val="20"/>
              </w:rPr>
              <w:t>students</w:t>
            </w:r>
            <w:r w:rsidR="00406A6B">
              <w:rPr>
                <w:rFonts w:ascii="Times New Roman" w:eastAsia="Times New Roman" w:hAnsi="Times New Roman" w:cs="Times New Roman"/>
                <w:color w:val="000000"/>
                <w:sz w:val="20"/>
                <w:szCs w:val="20"/>
                <w:vertAlign w:val="superscript"/>
              </w:rPr>
              <w:t>c</w:t>
            </w:r>
            <w:proofErr w:type="spellEnd"/>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D1"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-0.35 (-0.84, 0.2)</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D2"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0.18</w:t>
            </w:r>
          </w:p>
        </w:tc>
      </w:tr>
      <w:tr w:rsidR="007677EA" w14:paraId="4F2986D7" w14:textId="77777777" w:rsidTr="00BF495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D4" w14:textId="4269175F" w:rsidR="007677EA" w:rsidRDefault="00EA1561" w:rsidP="00BF495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 xml:space="preserve">Staying home when </w:t>
            </w:r>
            <w:proofErr w:type="spellStart"/>
            <w:r>
              <w:rPr>
                <w:rFonts w:ascii="Times New Roman" w:eastAsia="Times New Roman" w:hAnsi="Times New Roman" w:cs="Times New Roman"/>
                <w:color w:val="000000"/>
                <w:sz w:val="20"/>
                <w:szCs w:val="20"/>
              </w:rPr>
              <w:t>sick</w:t>
            </w:r>
            <w:r w:rsidR="00406A6B">
              <w:rPr>
                <w:rFonts w:ascii="Times New Roman" w:eastAsia="Times New Roman" w:hAnsi="Times New Roman" w:cs="Times New Roman"/>
                <w:color w:val="000000"/>
                <w:sz w:val="20"/>
                <w:szCs w:val="20"/>
                <w:vertAlign w:val="superscript"/>
              </w:rPr>
              <w:t>b</w:t>
            </w:r>
            <w:proofErr w:type="spellEnd"/>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D5"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-0.33 (-0.71, 0.03)</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D6"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0.08</w:t>
            </w:r>
          </w:p>
        </w:tc>
      </w:tr>
      <w:tr w:rsidR="007677EA" w14:paraId="4F2986DB" w14:textId="77777777" w:rsidTr="00BF495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D8" w14:textId="77777777" w:rsidR="007677EA" w:rsidRDefault="00EA1561" w:rsidP="00BF495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Contact tracing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D9"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-0.17 (-0.54, 0.22)</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DA"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0.41</w:t>
            </w:r>
          </w:p>
        </w:tc>
      </w:tr>
      <w:tr w:rsidR="007677EA" w14:paraId="4F2986DF" w14:textId="77777777" w:rsidTr="00BF495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DC" w14:textId="54B2625D" w:rsidR="007677EA" w:rsidRDefault="00EA1561" w:rsidP="00BF4957">
            <w:pPr>
              <w:pBdr>
                <w:top w:val="none" w:sz="0" w:space="0" w:color="000000"/>
                <w:left w:val="none" w:sz="0" w:space="0" w:color="000000"/>
                <w:bottom w:val="none" w:sz="0" w:space="0" w:color="000000"/>
                <w:right w:val="none" w:sz="0" w:space="0" w:color="000000"/>
              </w:pBdr>
              <w:spacing w:before="100" w:after="100" w:line="120" w:lineRule="auto"/>
              <w:ind w:left="100" w:right="100"/>
            </w:pPr>
            <w:proofErr w:type="spellStart"/>
            <w:r>
              <w:rPr>
                <w:rFonts w:ascii="Times New Roman" w:eastAsia="Times New Roman" w:hAnsi="Times New Roman" w:cs="Times New Roman"/>
                <w:color w:val="000000"/>
                <w:sz w:val="20"/>
                <w:szCs w:val="20"/>
              </w:rPr>
              <w:t>Quarantining</w:t>
            </w:r>
            <w:r w:rsidR="00406A6B">
              <w:rPr>
                <w:rFonts w:ascii="Times New Roman" w:eastAsia="Times New Roman" w:hAnsi="Times New Roman" w:cs="Times New Roman"/>
                <w:color w:val="000000"/>
                <w:sz w:val="20"/>
                <w:szCs w:val="20"/>
                <w:vertAlign w:val="superscript"/>
              </w:rPr>
              <w:t>c</w:t>
            </w:r>
            <w:proofErr w:type="spellEnd"/>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DD"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-0.29 (-0.72, 0.08)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DE"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0.14</w:t>
            </w:r>
          </w:p>
        </w:tc>
      </w:tr>
      <w:tr w:rsidR="007677EA" w14:paraId="4F2986E3" w14:textId="77777777" w:rsidTr="00BF495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E0" w14:textId="77777777" w:rsidR="007677EA" w:rsidRDefault="00EA1561" w:rsidP="00BF495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Cleaning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E1"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-0.09 (-0.53, 0.31)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E2"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0.67</w:t>
            </w:r>
          </w:p>
        </w:tc>
      </w:tr>
      <w:tr w:rsidR="007677EA" w14:paraId="4F2986E7" w14:textId="77777777" w:rsidTr="00BF495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E4" w14:textId="77777777" w:rsidR="007677EA" w:rsidRDefault="00EA1561" w:rsidP="00BF495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HEPA filters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E5"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0.03 (-0.98, 0.96)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E6"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0.95</w:t>
            </w:r>
          </w:p>
        </w:tc>
      </w:tr>
      <w:tr w:rsidR="007677EA" w14:paraId="4F2986EB" w14:textId="77777777" w:rsidTr="00BF4957">
        <w:trPr>
          <w:jc w:val="center"/>
        </w:trPr>
        <w:tc>
          <w:tcPr>
            <w:tcW w:w="374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F2986E8" w14:textId="5A74753B" w:rsidR="007677EA" w:rsidRDefault="00EA1561" w:rsidP="00BF4957">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 xml:space="preserve">HVAC </w:t>
            </w:r>
            <w:proofErr w:type="spellStart"/>
            <w:r>
              <w:rPr>
                <w:rFonts w:ascii="Times New Roman" w:eastAsia="Times New Roman" w:hAnsi="Times New Roman" w:cs="Times New Roman"/>
                <w:color w:val="000000"/>
                <w:sz w:val="20"/>
                <w:szCs w:val="20"/>
              </w:rPr>
              <w:t>systems</w:t>
            </w:r>
            <w:r w:rsidR="00406A6B">
              <w:rPr>
                <w:rFonts w:ascii="Times New Roman" w:eastAsia="Times New Roman" w:hAnsi="Times New Roman" w:cs="Times New Roman"/>
                <w:color w:val="000000"/>
                <w:sz w:val="20"/>
                <w:szCs w:val="20"/>
                <w:vertAlign w:val="superscript"/>
              </w:rPr>
              <w:t>b</w:t>
            </w:r>
            <w:proofErr w:type="spellEnd"/>
          </w:p>
        </w:tc>
        <w:tc>
          <w:tcPr>
            <w:tcW w:w="286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E9"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-0.38 (-0.78, 0.02)</w:t>
            </w:r>
          </w:p>
        </w:tc>
        <w:tc>
          <w:tcPr>
            <w:tcW w:w="11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2986EA" w14:textId="77777777" w:rsidR="007677EA" w:rsidRDefault="00EA1561">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0.06</w:t>
            </w:r>
          </w:p>
        </w:tc>
      </w:tr>
      <w:tr w:rsidR="007677EA" w14:paraId="4F2986ED" w14:textId="77777777">
        <w:trPr>
          <w:jc w:val="center"/>
        </w:trPr>
        <w:tc>
          <w:tcPr>
            <w:tcW w:w="7749"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05BF7F0" w14:textId="4EF9D91D" w:rsidR="00406A6B" w:rsidRPr="00F175C5" w:rsidRDefault="00EF06C8" w:rsidP="00F175C5">
            <w:pPr>
              <w:pBdr>
                <w:top w:val="none" w:sz="0" w:space="0" w:color="000000"/>
                <w:left w:val="none" w:sz="0" w:space="0" w:color="000000"/>
                <w:bottom w:val="none" w:sz="0" w:space="0" w:color="000000"/>
                <w:right w:val="none" w:sz="0" w:space="0" w:color="000000"/>
              </w:pBdr>
              <w:spacing w:before="100" w:after="0"/>
              <w:ind w:left="100" w:right="100"/>
              <w:rPr>
                <w:rFonts w:ascii="Helvetica" w:eastAsia="Helvetica" w:hAnsi="Helvetica" w:cs="Helvetica"/>
                <w:color w:val="000000"/>
                <w:sz w:val="18"/>
                <w:szCs w:val="18"/>
              </w:rPr>
            </w:pPr>
            <w:r w:rsidRPr="00F175C5">
              <w:rPr>
                <w:rFonts w:ascii="Helvetica" w:eastAsia="Helvetica" w:hAnsi="Helvetica" w:cs="Helvetica"/>
                <w:color w:val="000000"/>
                <w:sz w:val="18"/>
                <w:szCs w:val="18"/>
                <w:vertAlign w:val="superscript"/>
              </w:rPr>
              <w:t xml:space="preserve">a </w:t>
            </w:r>
            <w:r w:rsidRPr="00F175C5">
              <w:rPr>
                <w:rFonts w:ascii="Helvetica" w:eastAsia="Helvetica" w:hAnsi="Helvetica" w:cs="Helvetica"/>
                <w:color w:val="000000"/>
                <w:sz w:val="18"/>
                <w:szCs w:val="18"/>
              </w:rPr>
              <w:t>Full list of covariates can be found in Table 2.</w:t>
            </w:r>
          </w:p>
          <w:p w14:paraId="07DAC5E6" w14:textId="77C719CD" w:rsidR="007677EA" w:rsidRDefault="00406A6B" w:rsidP="00EF06C8">
            <w:pPr>
              <w:pBdr>
                <w:top w:val="none" w:sz="0" w:space="0" w:color="000000"/>
                <w:left w:val="none" w:sz="0" w:space="0" w:color="000000"/>
                <w:bottom w:val="none" w:sz="0" w:space="0" w:color="000000"/>
                <w:right w:val="none" w:sz="0" w:space="0" w:color="000000"/>
              </w:pBdr>
              <w:spacing w:before="100" w:after="0"/>
              <w:ind w:left="100" w:right="100"/>
              <w:rPr>
                <w:rFonts w:ascii="Helvetica" w:eastAsia="Helvetica" w:hAnsi="Helvetica" w:cs="Helvetica"/>
                <w:color w:val="000000"/>
                <w:sz w:val="18"/>
                <w:szCs w:val="18"/>
              </w:rPr>
            </w:pPr>
            <w:r>
              <w:rPr>
                <w:rFonts w:ascii="Helvetica" w:eastAsia="Helvetica" w:hAnsi="Helvetica" w:cs="Helvetica"/>
                <w:color w:val="000000"/>
                <w:sz w:val="18"/>
                <w:szCs w:val="18"/>
                <w:vertAlign w:val="superscript"/>
              </w:rPr>
              <w:t>b</w:t>
            </w:r>
            <w:r w:rsidR="006F2ACB" w:rsidRPr="00F175C5">
              <w:rPr>
                <w:rFonts w:ascii="Helvetica" w:eastAsia="Helvetica" w:hAnsi="Helvetica" w:cs="Helvetica"/>
                <w:color w:val="000000"/>
                <w:sz w:val="18"/>
                <w:szCs w:val="18"/>
                <w:vertAlign w:val="superscript"/>
              </w:rPr>
              <w:t xml:space="preserve"> </w:t>
            </w:r>
            <w:r w:rsidR="00EA1561" w:rsidRPr="00F175C5">
              <w:rPr>
                <w:rFonts w:ascii="Helvetica" w:eastAsia="Helvetica" w:hAnsi="Helvetica" w:cs="Helvetica"/>
                <w:color w:val="000000"/>
                <w:sz w:val="18"/>
                <w:szCs w:val="18"/>
              </w:rPr>
              <w:t>included in 3-strategy index;</w:t>
            </w:r>
            <w:r w:rsidR="006F2ACB" w:rsidRPr="00F175C5">
              <w:rPr>
                <w:rFonts w:ascii="Helvetica" w:eastAsia="Helvetica" w:hAnsi="Helvetica" w:cs="Helvetica"/>
                <w:color w:val="000000"/>
                <w:sz w:val="18"/>
                <w:szCs w:val="18"/>
              </w:rPr>
              <w:t xml:space="preserve"> </w:t>
            </w:r>
            <w:r>
              <w:rPr>
                <w:rFonts w:ascii="Helvetica" w:eastAsia="Helvetica" w:hAnsi="Helvetica" w:cs="Helvetica"/>
                <w:color w:val="000000"/>
                <w:sz w:val="18"/>
                <w:szCs w:val="18"/>
                <w:vertAlign w:val="superscript"/>
              </w:rPr>
              <w:t>c</w:t>
            </w:r>
            <w:r w:rsidR="006F2ACB" w:rsidRPr="00F175C5">
              <w:rPr>
                <w:rFonts w:ascii="Helvetica" w:eastAsia="Helvetica" w:hAnsi="Helvetica" w:cs="Helvetica"/>
                <w:color w:val="000000"/>
                <w:sz w:val="18"/>
                <w:szCs w:val="18"/>
                <w:vertAlign w:val="superscript"/>
              </w:rPr>
              <w:t xml:space="preserve"> </w:t>
            </w:r>
            <w:r w:rsidR="00EA1561" w:rsidRPr="00F175C5">
              <w:rPr>
                <w:rFonts w:ascii="Helvetica" w:eastAsia="Helvetica" w:hAnsi="Helvetica" w:cs="Helvetica"/>
                <w:color w:val="000000"/>
                <w:sz w:val="18"/>
                <w:szCs w:val="18"/>
              </w:rPr>
              <w:t>included in 5-strategy index</w:t>
            </w:r>
          </w:p>
          <w:p w14:paraId="4F2986EC" w14:textId="4A8267F4" w:rsidR="00EF06C8" w:rsidRPr="00F175C5" w:rsidRDefault="00EF06C8" w:rsidP="00F175C5">
            <w:pPr>
              <w:pBdr>
                <w:top w:val="none" w:sz="0" w:space="0" w:color="000000"/>
                <w:left w:val="none" w:sz="0" w:space="0" w:color="000000"/>
                <w:bottom w:val="none" w:sz="0" w:space="0" w:color="000000"/>
                <w:right w:val="none" w:sz="0" w:space="0" w:color="000000"/>
              </w:pBdr>
              <w:spacing w:before="100" w:after="0"/>
              <w:ind w:left="100" w:right="100"/>
              <w:rPr>
                <w:sz w:val="18"/>
                <w:szCs w:val="18"/>
              </w:rPr>
            </w:pPr>
          </w:p>
        </w:tc>
      </w:tr>
    </w:tbl>
    <w:p w14:paraId="4F2986EE" w14:textId="6EA1BFEC" w:rsidR="007677EA" w:rsidRPr="0001094A" w:rsidRDefault="00EA1561" w:rsidP="0001094A">
      <w:pPr>
        <w:pStyle w:val="BodyText"/>
        <w:rPr>
          <w:rFonts w:asciiTheme="majorHAnsi" w:hAnsiTheme="majorHAnsi" w:cstheme="majorHAnsi"/>
          <w:sz w:val="21"/>
          <w:szCs w:val="21"/>
        </w:rPr>
      </w:pPr>
      <w:r w:rsidRPr="0001094A">
        <w:rPr>
          <w:rFonts w:asciiTheme="majorHAnsi" w:hAnsiTheme="majorHAnsi" w:cstheme="majorHAnsi"/>
          <w:sz w:val="21"/>
          <w:szCs w:val="21"/>
        </w:rPr>
        <w:t>Table four shows multilevel model results from including all strategies as predictors in one model. Overall, none of the strategies were significantly associated with changes in case rates. However, percent of student body two or more races was associated with increased changes in case rates (0.24; 95% CI = 0.04</w:t>
      </w:r>
      <w:r w:rsidR="005B0E2E" w:rsidRPr="0001094A">
        <w:rPr>
          <w:rFonts w:asciiTheme="majorHAnsi" w:hAnsiTheme="majorHAnsi" w:cstheme="majorHAnsi"/>
          <w:sz w:val="21"/>
          <w:szCs w:val="21"/>
        </w:rPr>
        <w:t xml:space="preserve"> – </w:t>
      </w:r>
      <w:r w:rsidRPr="0001094A">
        <w:rPr>
          <w:rFonts w:asciiTheme="majorHAnsi" w:hAnsiTheme="majorHAnsi" w:cstheme="majorHAnsi"/>
          <w:sz w:val="21"/>
          <w:szCs w:val="21"/>
        </w:rPr>
        <w:t>0.46).</w:t>
      </w:r>
    </w:p>
    <w:p w14:paraId="4F2986EF" w14:textId="77777777" w:rsidR="007677EA" w:rsidRDefault="00EA1561">
      <w:pPr>
        <w:pStyle w:val="TableCaption"/>
        <w:jc w:val="center"/>
      </w:pPr>
      <w:r>
        <w:t>Table 4: Results of multilevel model including all strategies</w:t>
      </w:r>
    </w:p>
    <w:tbl>
      <w:tblPr>
        <w:tblW w:w="0" w:type="auto"/>
        <w:jc w:val="center"/>
        <w:tblLayout w:type="fixed"/>
        <w:tblLook w:val="0420" w:firstRow="1" w:lastRow="0" w:firstColumn="0" w:lastColumn="0" w:noHBand="0" w:noVBand="1"/>
      </w:tblPr>
      <w:tblGrid>
        <w:gridCol w:w="4165"/>
        <w:gridCol w:w="2868"/>
        <w:gridCol w:w="1132"/>
      </w:tblGrid>
      <w:tr w:rsidR="007677EA" w14:paraId="4F2986F3" w14:textId="77777777" w:rsidTr="00065A40">
        <w:trPr>
          <w:tblHeader/>
          <w:jc w:val="center"/>
        </w:trPr>
        <w:tc>
          <w:tcPr>
            <w:tcW w:w="416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6F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Strategy</w:t>
            </w:r>
          </w:p>
        </w:tc>
        <w:tc>
          <w:tcPr>
            <w:tcW w:w="286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6F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Coefficient (95% interval)</w:t>
            </w:r>
          </w:p>
        </w:tc>
        <w:tc>
          <w:tcPr>
            <w:tcW w:w="113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6F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eastAsia="Times New Roman" w:hAnsi="Times New Roman" w:cs="Times New Roman"/>
                <w:color w:val="000000"/>
                <w:sz w:val="22"/>
                <w:szCs w:val="22"/>
              </w:rPr>
              <w:t>p-value</w:t>
            </w:r>
          </w:p>
        </w:tc>
      </w:tr>
      <w:tr w:rsidR="007677EA" w14:paraId="4F2986F7" w14:textId="77777777" w:rsidTr="00065A40">
        <w:trPr>
          <w:jc w:val="center"/>
        </w:trPr>
        <w:tc>
          <w:tcPr>
            <w:tcW w:w="4165"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F4" w14:textId="77777777" w:rsidR="007677EA" w:rsidRDefault="00EA1561" w:rsidP="007735DF">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Intercept</w:t>
            </w:r>
          </w:p>
        </w:tc>
        <w:tc>
          <w:tcPr>
            <w:tcW w:w="2868"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F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1.04 (0.32, 1.78)</w:t>
            </w:r>
          </w:p>
        </w:tc>
        <w:tc>
          <w:tcPr>
            <w:tcW w:w="1132"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F6"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0.06</w:t>
            </w:r>
          </w:p>
        </w:tc>
      </w:tr>
      <w:tr w:rsidR="007677EA" w14:paraId="4F2986FB" w14:textId="77777777" w:rsidTr="007735DF">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F8" w14:textId="77777777" w:rsidR="007677EA" w:rsidRDefault="00EA1561" w:rsidP="007735DF">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Vaccination offered</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F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0.33 (-0.44, 1.1)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F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0.34</w:t>
            </w:r>
          </w:p>
        </w:tc>
      </w:tr>
      <w:tr w:rsidR="007677EA" w14:paraId="4F2986FF" w14:textId="77777777" w:rsidTr="007735DF">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6FC" w14:textId="77777777" w:rsidR="007677EA" w:rsidRDefault="00EA1561" w:rsidP="007735DF">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Universal masking requirements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F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0.14 (-0.35, 0.68)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6F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0.60</w:t>
            </w:r>
          </w:p>
        </w:tc>
      </w:tr>
      <w:tr w:rsidR="007677EA" w14:paraId="4F298703" w14:textId="77777777" w:rsidTr="007735DF">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700" w14:textId="77777777" w:rsidR="007677EA" w:rsidRDefault="00EA1561" w:rsidP="007735DF">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Physical distancing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0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-0.28 (-0.84, 0.3)</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0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0.32</w:t>
            </w:r>
          </w:p>
        </w:tc>
      </w:tr>
      <w:tr w:rsidR="007677EA" w14:paraId="4F298707" w14:textId="77777777" w:rsidTr="007735DF">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704" w14:textId="77777777" w:rsidR="007677EA" w:rsidRDefault="00EA1561" w:rsidP="007735DF">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Screening and testing for students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0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-0.31 (-0.99, 0.36)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06"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0.32</w:t>
            </w:r>
          </w:p>
        </w:tc>
      </w:tr>
      <w:tr w:rsidR="007677EA" w14:paraId="4F29870B" w14:textId="77777777" w:rsidTr="007735DF">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708" w14:textId="77777777" w:rsidR="007677EA" w:rsidRDefault="00EA1561" w:rsidP="007735DF">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Staying home when sick</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0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 (-0.85, 0.47)</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0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0.54</w:t>
            </w:r>
          </w:p>
        </w:tc>
      </w:tr>
      <w:tr w:rsidR="007677EA" w14:paraId="4F29870F" w14:textId="77777777" w:rsidTr="007735DF">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70C" w14:textId="77777777" w:rsidR="007677EA" w:rsidRDefault="00EA1561" w:rsidP="007735DF">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Contact tracing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0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0.13 (-0.42, 0.69)</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0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0.64</w:t>
            </w:r>
          </w:p>
        </w:tc>
      </w:tr>
      <w:tr w:rsidR="007677EA" w14:paraId="4F298713" w14:textId="77777777" w:rsidTr="007735DF">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710" w14:textId="77777777" w:rsidR="007677EA" w:rsidRDefault="00EA1561" w:rsidP="007735DF">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Quarantining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1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-0.06 (-0.7, 0.56)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1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0.86</w:t>
            </w:r>
          </w:p>
        </w:tc>
      </w:tr>
      <w:tr w:rsidR="007677EA" w14:paraId="4F298717" w14:textId="77777777" w:rsidTr="007735DF">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714" w14:textId="77777777" w:rsidR="007677EA" w:rsidRDefault="00EA1561" w:rsidP="007735DF">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Cleaning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1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0.33 (-0.23, 0.82)</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16"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0.24</w:t>
            </w:r>
          </w:p>
        </w:tc>
      </w:tr>
      <w:tr w:rsidR="007677EA" w14:paraId="4F29871B" w14:textId="77777777" w:rsidTr="007735DF">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718" w14:textId="77777777" w:rsidR="007677EA" w:rsidRDefault="00EA1561" w:rsidP="007735DF">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HEPA filters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1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0.25 (-0.6, 1.29)</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1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0.62</w:t>
            </w:r>
          </w:p>
        </w:tc>
      </w:tr>
      <w:tr w:rsidR="007677EA" w14:paraId="4F29871F" w14:textId="77777777" w:rsidTr="007735DF">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71C" w14:textId="77777777" w:rsidR="007677EA" w:rsidRDefault="00EA1561" w:rsidP="007735DF">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HVAC systems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1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-0.4 (-1.01, 0.17)</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1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0.19</w:t>
            </w:r>
          </w:p>
        </w:tc>
      </w:tr>
      <w:tr w:rsidR="007677EA" w14:paraId="4F298723" w14:textId="77777777" w:rsidTr="007735DF">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720" w14:textId="77777777" w:rsidR="007677EA" w:rsidRDefault="00EA1561" w:rsidP="007735DF">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Percent two or more races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2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0.24 (0.04, 0.46)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2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0.03</w:t>
            </w:r>
          </w:p>
        </w:tc>
      </w:tr>
      <w:tr w:rsidR="007677EA" w14:paraId="4F298727" w14:textId="77777777" w:rsidTr="007735DF">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724" w14:textId="77777777" w:rsidR="007677EA" w:rsidRDefault="00EA1561" w:rsidP="007735DF">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lastRenderedPageBreak/>
              <w:t>Percent Asian</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2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0.01 (-0.21, 0.23)</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26"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0.94</w:t>
            </w:r>
          </w:p>
        </w:tc>
      </w:tr>
      <w:tr w:rsidR="007677EA" w14:paraId="4F29872B" w14:textId="77777777" w:rsidTr="007735DF">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728" w14:textId="77777777" w:rsidR="007677EA" w:rsidRDefault="00EA1561" w:rsidP="007735DF">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Percent White</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2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-0.15 (-0.5, 0.26)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2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0.42</w:t>
            </w:r>
          </w:p>
        </w:tc>
      </w:tr>
      <w:tr w:rsidR="007677EA" w14:paraId="4F29872F" w14:textId="77777777" w:rsidTr="007735DF">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72C" w14:textId="77777777" w:rsidR="007677EA" w:rsidRDefault="00EA1561" w:rsidP="007735DF">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Percent free and reduced lunch</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2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-0.25 (-0.57, 0.1)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2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0.13</w:t>
            </w:r>
          </w:p>
        </w:tc>
      </w:tr>
      <w:tr w:rsidR="007677EA" w14:paraId="4F298733" w14:textId="77777777" w:rsidTr="007735DF">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730" w14:textId="77777777" w:rsidR="007677EA" w:rsidRDefault="00EA1561" w:rsidP="007735DF">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SVI Overall Rank</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3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0.04 (-0.2, 0.28)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3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0.76</w:t>
            </w:r>
          </w:p>
        </w:tc>
      </w:tr>
      <w:tr w:rsidR="007677EA" w14:paraId="4F298737" w14:textId="77777777" w:rsidTr="007735DF">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734" w14:textId="77777777" w:rsidR="007677EA" w:rsidRDefault="00EA1561" w:rsidP="007735DF">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Percent Black or African American</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3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-0.07 (-0.35, 0.18)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36"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0.59</w:t>
            </w:r>
          </w:p>
        </w:tc>
      </w:tr>
      <w:tr w:rsidR="007677EA" w14:paraId="4F29873B" w14:textId="77777777" w:rsidTr="007735DF">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738" w14:textId="77777777" w:rsidR="007677EA" w:rsidRDefault="00EA1561" w:rsidP="007735DF">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High school</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3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0.31 (-0.15, 0.8)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3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0.21</w:t>
            </w:r>
          </w:p>
        </w:tc>
      </w:tr>
      <w:tr w:rsidR="007677EA" w14:paraId="4F29873F" w14:textId="77777777" w:rsidTr="007735DF">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873C" w14:textId="77777777" w:rsidR="007677EA" w:rsidRDefault="00EA1561" w:rsidP="007735DF">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Middle school</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3D"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0.27 (-0.19, 0.72)</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3E"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0.25</w:t>
            </w:r>
          </w:p>
        </w:tc>
      </w:tr>
      <w:tr w:rsidR="007677EA" w14:paraId="4F298743" w14:textId="77777777" w:rsidTr="007735DF">
        <w:trPr>
          <w:jc w:val="center"/>
        </w:trPr>
        <w:tc>
          <w:tcPr>
            <w:tcW w:w="416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tcPr>
          <w:p w14:paraId="4F298740" w14:textId="77777777" w:rsidR="007677EA" w:rsidRDefault="00EA1561" w:rsidP="007735DF">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Change in county COVID-19 case rate</w:t>
            </w:r>
          </w:p>
        </w:tc>
        <w:tc>
          <w:tcPr>
            <w:tcW w:w="286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4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-0.08 (-0.45, 0.3)</w:t>
            </w:r>
          </w:p>
        </w:tc>
        <w:tc>
          <w:tcPr>
            <w:tcW w:w="113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4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0.62</w:t>
            </w:r>
          </w:p>
        </w:tc>
      </w:tr>
    </w:tbl>
    <w:p w14:paraId="06859925" w14:textId="77777777" w:rsidR="00D5690B" w:rsidRDefault="00D5690B" w:rsidP="00D5690B">
      <w:pPr>
        <w:pStyle w:val="BodyText"/>
        <w:spacing w:line="480" w:lineRule="auto"/>
        <w:ind w:firstLine="720"/>
      </w:pPr>
    </w:p>
    <w:p w14:paraId="4F298744" w14:textId="5DA4D850" w:rsidR="007677EA" w:rsidRPr="0001094A" w:rsidRDefault="00EA1561" w:rsidP="0001094A">
      <w:pPr>
        <w:pStyle w:val="BodyText"/>
        <w:ind w:firstLine="720"/>
        <w:rPr>
          <w:rFonts w:asciiTheme="majorHAnsi" w:hAnsiTheme="majorHAnsi" w:cstheme="majorHAnsi"/>
          <w:sz w:val="21"/>
          <w:szCs w:val="21"/>
        </w:rPr>
      </w:pPr>
      <w:r w:rsidRPr="0001094A">
        <w:rPr>
          <w:rFonts w:asciiTheme="majorHAnsi" w:hAnsiTheme="majorHAnsi" w:cstheme="majorHAnsi"/>
          <w:sz w:val="21"/>
          <w:szCs w:val="21"/>
        </w:rPr>
        <w:t xml:space="preserve">Results from the multilevel models with the cumulative indices as the predictors of interest are depicted in </w:t>
      </w:r>
      <w:r w:rsidR="00D5690B" w:rsidRPr="0001094A">
        <w:rPr>
          <w:rFonts w:asciiTheme="majorHAnsi" w:hAnsiTheme="majorHAnsi" w:cstheme="majorHAnsi"/>
          <w:sz w:val="21"/>
          <w:szCs w:val="21"/>
        </w:rPr>
        <w:t>T</w:t>
      </w:r>
      <w:r w:rsidRPr="0001094A">
        <w:rPr>
          <w:rFonts w:asciiTheme="majorHAnsi" w:hAnsiTheme="majorHAnsi" w:cstheme="majorHAnsi"/>
          <w:sz w:val="21"/>
          <w:szCs w:val="21"/>
        </w:rPr>
        <w:t xml:space="preserve">able </w:t>
      </w:r>
      <w:r w:rsidR="00CE5753" w:rsidRPr="0001094A">
        <w:rPr>
          <w:rFonts w:asciiTheme="majorHAnsi" w:hAnsiTheme="majorHAnsi" w:cstheme="majorHAnsi"/>
          <w:sz w:val="21"/>
          <w:szCs w:val="21"/>
        </w:rPr>
        <w:t>5</w:t>
      </w:r>
      <w:r w:rsidRPr="0001094A">
        <w:rPr>
          <w:rFonts w:asciiTheme="majorHAnsi" w:hAnsiTheme="majorHAnsi" w:cstheme="majorHAnsi"/>
          <w:sz w:val="21"/>
          <w:szCs w:val="21"/>
        </w:rPr>
        <w:t xml:space="preserve">. The first set of results correspond with the cumulative index calculated using strategies having a marginal association with case rates (p &lt; 0.10; three strategies) and the second </w:t>
      </w:r>
      <w:r w:rsidR="00E64A51" w:rsidRPr="0001094A">
        <w:rPr>
          <w:rFonts w:asciiTheme="majorHAnsi" w:hAnsiTheme="majorHAnsi" w:cstheme="majorHAnsi"/>
          <w:sz w:val="21"/>
          <w:szCs w:val="21"/>
        </w:rPr>
        <w:t xml:space="preserve">corresponds </w:t>
      </w:r>
      <w:r w:rsidRPr="0001094A">
        <w:rPr>
          <w:rFonts w:asciiTheme="majorHAnsi" w:hAnsiTheme="majorHAnsi" w:cstheme="majorHAnsi"/>
          <w:sz w:val="21"/>
          <w:szCs w:val="21"/>
        </w:rPr>
        <w:t xml:space="preserve">with the sum of strategies that had p &lt; 0.20 (five </w:t>
      </w:r>
      <w:r w:rsidR="00E64A51" w:rsidRPr="0001094A">
        <w:rPr>
          <w:rFonts w:asciiTheme="majorHAnsi" w:hAnsiTheme="majorHAnsi" w:cstheme="majorHAnsi"/>
          <w:sz w:val="21"/>
          <w:szCs w:val="21"/>
        </w:rPr>
        <w:t>strategies</w:t>
      </w:r>
      <w:r w:rsidRPr="0001094A">
        <w:rPr>
          <w:rFonts w:asciiTheme="majorHAnsi" w:hAnsiTheme="majorHAnsi" w:cstheme="majorHAnsi"/>
          <w:sz w:val="21"/>
          <w:szCs w:val="21"/>
        </w:rPr>
        <w:t>). Both indices were treated as ranked ordinal, with a minimum of zero (</w:t>
      </w:r>
      <w:r w:rsidR="0001094A">
        <w:rPr>
          <w:rFonts w:asciiTheme="majorHAnsi" w:hAnsiTheme="majorHAnsi" w:cstheme="majorHAnsi"/>
          <w:sz w:val="21"/>
          <w:szCs w:val="21"/>
        </w:rPr>
        <w:t>none of the specific strategies implemented</w:t>
      </w:r>
      <w:r w:rsidRPr="0001094A">
        <w:rPr>
          <w:rFonts w:asciiTheme="majorHAnsi" w:hAnsiTheme="majorHAnsi" w:cstheme="majorHAnsi"/>
          <w:sz w:val="21"/>
          <w:szCs w:val="21"/>
        </w:rPr>
        <w:t>). Finally, a third column</w:t>
      </w:r>
      <w:r w:rsidR="00556E5B" w:rsidRPr="0001094A">
        <w:rPr>
          <w:rFonts w:asciiTheme="majorHAnsi" w:hAnsiTheme="majorHAnsi" w:cstheme="majorHAnsi"/>
          <w:sz w:val="21"/>
          <w:szCs w:val="21"/>
        </w:rPr>
        <w:t xml:space="preserve"> (comparison)</w:t>
      </w:r>
      <w:r w:rsidRPr="0001094A">
        <w:rPr>
          <w:rFonts w:asciiTheme="majorHAnsi" w:hAnsiTheme="majorHAnsi" w:cstheme="majorHAnsi"/>
          <w:sz w:val="21"/>
          <w:szCs w:val="21"/>
        </w:rPr>
        <w:t xml:space="preserve"> of results are presented to further explore differences between the two cumulative indices.</w:t>
      </w:r>
    </w:p>
    <w:p w14:paraId="770700CB" w14:textId="7F191CD1" w:rsidR="00837D0A" w:rsidRPr="0001094A" w:rsidRDefault="00EA1561" w:rsidP="0001094A">
      <w:pPr>
        <w:pStyle w:val="BodyText"/>
        <w:ind w:firstLine="720"/>
        <w:rPr>
          <w:rFonts w:asciiTheme="majorHAnsi" w:hAnsiTheme="majorHAnsi" w:cstheme="majorHAnsi"/>
          <w:sz w:val="21"/>
          <w:szCs w:val="21"/>
        </w:rPr>
      </w:pPr>
      <w:r w:rsidRPr="0001094A">
        <w:rPr>
          <w:rFonts w:asciiTheme="majorHAnsi" w:hAnsiTheme="majorHAnsi" w:cstheme="majorHAnsi"/>
          <w:sz w:val="21"/>
          <w:szCs w:val="21"/>
        </w:rPr>
        <w:t xml:space="preserve">Schools located in districts with prevention guidance on all three strategies, including physical distancing, staying home when sick, and upkeep of HVAC systems, had a significantly smaller increase in case rates between fall </w:t>
      </w:r>
      <w:r w:rsidR="003A0992" w:rsidRPr="0001094A">
        <w:rPr>
          <w:rFonts w:asciiTheme="majorHAnsi" w:hAnsiTheme="majorHAnsi" w:cstheme="majorHAnsi"/>
          <w:sz w:val="21"/>
          <w:szCs w:val="21"/>
        </w:rPr>
        <w:t xml:space="preserve">2021 </w:t>
      </w:r>
      <w:r w:rsidRPr="0001094A">
        <w:rPr>
          <w:rFonts w:asciiTheme="majorHAnsi" w:hAnsiTheme="majorHAnsi" w:cstheme="majorHAnsi"/>
          <w:sz w:val="21"/>
          <w:szCs w:val="21"/>
        </w:rPr>
        <w:t>and spring</w:t>
      </w:r>
      <w:r w:rsidR="003A0992" w:rsidRPr="0001094A">
        <w:rPr>
          <w:rFonts w:asciiTheme="majorHAnsi" w:hAnsiTheme="majorHAnsi" w:cstheme="majorHAnsi"/>
          <w:sz w:val="21"/>
          <w:szCs w:val="21"/>
        </w:rPr>
        <w:t xml:space="preserve"> 2022</w:t>
      </w:r>
      <w:r w:rsidRPr="0001094A">
        <w:rPr>
          <w:rFonts w:asciiTheme="majorHAnsi" w:hAnsiTheme="majorHAnsi" w:cstheme="majorHAnsi"/>
          <w:sz w:val="21"/>
          <w:szCs w:val="21"/>
        </w:rPr>
        <w:t xml:space="preserve"> (-0.53; -1.0</w:t>
      </w:r>
      <w:r w:rsidR="004F0226" w:rsidRPr="0001094A">
        <w:rPr>
          <w:rFonts w:asciiTheme="majorHAnsi" w:hAnsiTheme="majorHAnsi" w:cstheme="majorHAnsi"/>
          <w:sz w:val="21"/>
          <w:szCs w:val="21"/>
        </w:rPr>
        <w:t>6</w:t>
      </w:r>
      <w:r w:rsidR="0034035F" w:rsidRPr="0001094A">
        <w:rPr>
          <w:rFonts w:asciiTheme="majorHAnsi" w:hAnsiTheme="majorHAnsi" w:cstheme="majorHAnsi"/>
          <w:sz w:val="21"/>
          <w:szCs w:val="21"/>
        </w:rPr>
        <w:t xml:space="preserve"> – </w:t>
      </w:r>
      <w:r w:rsidRPr="0001094A">
        <w:rPr>
          <w:rFonts w:asciiTheme="majorHAnsi" w:hAnsiTheme="majorHAnsi" w:cstheme="majorHAnsi"/>
          <w:sz w:val="21"/>
          <w:szCs w:val="21"/>
        </w:rPr>
        <w:t>0.0</w:t>
      </w:r>
      <w:r w:rsidR="004F0226" w:rsidRPr="0001094A">
        <w:rPr>
          <w:rFonts w:asciiTheme="majorHAnsi" w:hAnsiTheme="majorHAnsi" w:cstheme="majorHAnsi"/>
          <w:sz w:val="21"/>
          <w:szCs w:val="21"/>
        </w:rPr>
        <w:t>0</w:t>
      </w:r>
      <w:r w:rsidRPr="0001094A">
        <w:rPr>
          <w:rFonts w:asciiTheme="majorHAnsi" w:hAnsiTheme="majorHAnsi" w:cstheme="majorHAnsi"/>
          <w:sz w:val="21"/>
          <w:szCs w:val="21"/>
        </w:rPr>
        <w:t>). When offering screening and testing for students and requiring student quarantining were added to the cumulative index, districts with prevention guidance on all five strategies had a significantly decreased change in case rates (-0.84; -1.5</w:t>
      </w:r>
      <w:r w:rsidR="004F0226" w:rsidRPr="0001094A">
        <w:rPr>
          <w:rFonts w:asciiTheme="majorHAnsi" w:hAnsiTheme="majorHAnsi" w:cstheme="majorHAnsi"/>
          <w:sz w:val="21"/>
          <w:szCs w:val="21"/>
        </w:rPr>
        <w:t>7 –</w:t>
      </w:r>
      <w:r w:rsidRPr="0001094A">
        <w:rPr>
          <w:rFonts w:asciiTheme="majorHAnsi" w:hAnsiTheme="majorHAnsi" w:cstheme="majorHAnsi"/>
          <w:sz w:val="21"/>
          <w:szCs w:val="21"/>
        </w:rPr>
        <w:t xml:space="preserve"> -0.0</w:t>
      </w:r>
      <w:r w:rsidR="004F0226" w:rsidRPr="0001094A">
        <w:rPr>
          <w:rFonts w:asciiTheme="majorHAnsi" w:hAnsiTheme="majorHAnsi" w:cstheme="majorHAnsi"/>
          <w:sz w:val="21"/>
          <w:szCs w:val="21"/>
        </w:rPr>
        <w:t>9</w:t>
      </w:r>
      <w:r w:rsidRPr="0001094A">
        <w:rPr>
          <w:rFonts w:asciiTheme="majorHAnsi" w:hAnsiTheme="majorHAnsi" w:cstheme="majorHAnsi"/>
          <w:sz w:val="21"/>
          <w:szCs w:val="21"/>
        </w:rPr>
        <w:t xml:space="preserve">). Using AIC and BIC to compare model fit, the cumulative index with five strategies had the smallest AIC but marginally higher BIC. Therefore, to further compare the cumulative indices for selection of the best combination, we developed mutually exclusive indicators for having all three or all five strategies. These results are presented in the last column of table </w:t>
      </w:r>
      <w:r w:rsidR="00CA3768" w:rsidRPr="0001094A">
        <w:rPr>
          <w:rFonts w:asciiTheme="majorHAnsi" w:hAnsiTheme="majorHAnsi" w:cstheme="majorHAnsi"/>
          <w:sz w:val="21"/>
          <w:szCs w:val="21"/>
        </w:rPr>
        <w:t>5</w:t>
      </w:r>
      <w:r w:rsidRPr="0001094A">
        <w:rPr>
          <w:rFonts w:asciiTheme="majorHAnsi" w:hAnsiTheme="majorHAnsi" w:cstheme="majorHAnsi"/>
          <w:sz w:val="21"/>
          <w:szCs w:val="21"/>
        </w:rPr>
        <w:t>. Having the first three strategies was no longer statistically significant (-0.32;</w:t>
      </w:r>
      <w:r w:rsidR="00A273EE" w:rsidRPr="0001094A">
        <w:rPr>
          <w:rFonts w:asciiTheme="majorHAnsi" w:hAnsiTheme="majorHAnsi" w:cstheme="majorHAnsi"/>
          <w:sz w:val="21"/>
          <w:szCs w:val="21"/>
        </w:rPr>
        <w:t xml:space="preserve"> </w:t>
      </w:r>
      <w:r w:rsidRPr="0001094A">
        <w:rPr>
          <w:rFonts w:asciiTheme="majorHAnsi" w:hAnsiTheme="majorHAnsi" w:cstheme="majorHAnsi"/>
          <w:sz w:val="21"/>
          <w:szCs w:val="21"/>
        </w:rPr>
        <w:t>-0.87</w:t>
      </w:r>
      <w:r w:rsidR="00174ABD" w:rsidRPr="0001094A">
        <w:rPr>
          <w:rFonts w:asciiTheme="majorHAnsi" w:hAnsiTheme="majorHAnsi" w:cstheme="majorHAnsi"/>
          <w:sz w:val="21"/>
          <w:szCs w:val="21"/>
        </w:rPr>
        <w:t xml:space="preserve"> –</w:t>
      </w:r>
      <w:r w:rsidRPr="0001094A">
        <w:rPr>
          <w:rFonts w:asciiTheme="majorHAnsi" w:hAnsiTheme="majorHAnsi" w:cstheme="majorHAnsi"/>
          <w:sz w:val="21"/>
          <w:szCs w:val="21"/>
        </w:rPr>
        <w:t xml:space="preserve"> 0.26), but the indicator for having all five strategies was significantly associated with a smaller change in case rate (-0.93; -1.69</w:t>
      </w:r>
      <w:r w:rsidR="00174ABD" w:rsidRPr="0001094A">
        <w:rPr>
          <w:rFonts w:asciiTheme="majorHAnsi" w:hAnsiTheme="majorHAnsi" w:cstheme="majorHAnsi"/>
          <w:sz w:val="21"/>
          <w:szCs w:val="21"/>
        </w:rPr>
        <w:t xml:space="preserve"> –</w:t>
      </w:r>
      <w:r w:rsidRPr="0001094A">
        <w:rPr>
          <w:rFonts w:asciiTheme="majorHAnsi" w:hAnsiTheme="majorHAnsi" w:cstheme="majorHAnsi"/>
          <w:sz w:val="21"/>
          <w:szCs w:val="21"/>
        </w:rPr>
        <w:t xml:space="preserve"> -0.11)</w:t>
      </w:r>
      <w:r w:rsidR="00A273EE" w:rsidRPr="0001094A">
        <w:rPr>
          <w:rFonts w:asciiTheme="majorHAnsi" w:hAnsiTheme="majorHAnsi" w:cstheme="majorHAnsi"/>
          <w:sz w:val="21"/>
          <w:szCs w:val="21"/>
        </w:rPr>
        <w:t>.</w:t>
      </w:r>
      <w:r w:rsidRPr="0001094A">
        <w:rPr>
          <w:rFonts w:asciiTheme="majorHAnsi" w:hAnsiTheme="majorHAnsi" w:cstheme="majorHAnsi"/>
          <w:sz w:val="21"/>
          <w:szCs w:val="21"/>
        </w:rPr>
        <w:t xml:space="preserve"> </w:t>
      </w:r>
      <w:r w:rsidR="00A273EE" w:rsidRPr="0001094A">
        <w:rPr>
          <w:rFonts w:asciiTheme="majorHAnsi" w:hAnsiTheme="majorHAnsi" w:cstheme="majorHAnsi"/>
          <w:sz w:val="21"/>
          <w:szCs w:val="21"/>
        </w:rPr>
        <w:t>E</w:t>
      </w:r>
      <w:r w:rsidRPr="0001094A">
        <w:rPr>
          <w:rFonts w:asciiTheme="majorHAnsi" w:hAnsiTheme="majorHAnsi" w:cstheme="majorHAnsi"/>
          <w:sz w:val="21"/>
          <w:szCs w:val="21"/>
        </w:rPr>
        <w:t xml:space="preserve">stimates which are comparable to those </w:t>
      </w:r>
      <w:r w:rsidR="00A273EE" w:rsidRPr="0001094A">
        <w:rPr>
          <w:rFonts w:asciiTheme="majorHAnsi" w:hAnsiTheme="majorHAnsi" w:cstheme="majorHAnsi"/>
          <w:sz w:val="21"/>
          <w:szCs w:val="21"/>
        </w:rPr>
        <w:t xml:space="preserve">are </w:t>
      </w:r>
      <w:r w:rsidRPr="0001094A">
        <w:rPr>
          <w:rFonts w:asciiTheme="majorHAnsi" w:hAnsiTheme="majorHAnsi" w:cstheme="majorHAnsi"/>
          <w:sz w:val="21"/>
          <w:szCs w:val="21"/>
        </w:rPr>
        <w:t xml:space="preserve">presented in the second column. These results suggest that </w:t>
      </w:r>
      <w:r w:rsidR="002D1F8B" w:rsidRPr="0001094A">
        <w:rPr>
          <w:rFonts w:asciiTheme="majorHAnsi" w:hAnsiTheme="majorHAnsi" w:cstheme="majorHAnsi"/>
          <w:sz w:val="21"/>
          <w:szCs w:val="21"/>
        </w:rPr>
        <w:t>the effect</w:t>
      </w:r>
      <w:r w:rsidR="00CB16A6" w:rsidRPr="0001094A">
        <w:rPr>
          <w:rFonts w:asciiTheme="majorHAnsi" w:hAnsiTheme="majorHAnsi" w:cstheme="majorHAnsi"/>
          <w:sz w:val="21"/>
          <w:szCs w:val="21"/>
        </w:rPr>
        <w:t>s of</w:t>
      </w:r>
      <w:r w:rsidR="002D1F8B" w:rsidRPr="0001094A">
        <w:rPr>
          <w:rFonts w:asciiTheme="majorHAnsi" w:hAnsiTheme="majorHAnsi" w:cstheme="majorHAnsi"/>
          <w:sz w:val="21"/>
          <w:szCs w:val="21"/>
        </w:rPr>
        <w:t xml:space="preserve"> </w:t>
      </w:r>
      <w:r w:rsidRPr="0001094A">
        <w:rPr>
          <w:rFonts w:asciiTheme="majorHAnsi" w:hAnsiTheme="majorHAnsi" w:cstheme="majorHAnsi"/>
          <w:sz w:val="21"/>
          <w:szCs w:val="21"/>
        </w:rPr>
        <w:t xml:space="preserve">COVID-19 </w:t>
      </w:r>
      <w:r w:rsidR="00D7200D" w:rsidRPr="0001094A">
        <w:rPr>
          <w:rFonts w:asciiTheme="majorHAnsi" w:hAnsiTheme="majorHAnsi" w:cstheme="majorHAnsi"/>
          <w:sz w:val="21"/>
          <w:szCs w:val="21"/>
        </w:rPr>
        <w:t xml:space="preserve">prevention efforts </w:t>
      </w:r>
      <w:r w:rsidR="00CB16A6" w:rsidRPr="0001094A">
        <w:rPr>
          <w:rFonts w:asciiTheme="majorHAnsi" w:hAnsiTheme="majorHAnsi" w:cstheme="majorHAnsi"/>
          <w:sz w:val="21"/>
          <w:szCs w:val="21"/>
        </w:rPr>
        <w:t>were</w:t>
      </w:r>
      <w:r w:rsidRPr="0001094A">
        <w:rPr>
          <w:rFonts w:asciiTheme="majorHAnsi" w:hAnsiTheme="majorHAnsi" w:cstheme="majorHAnsi"/>
          <w:sz w:val="21"/>
          <w:szCs w:val="21"/>
        </w:rPr>
        <w:t xml:space="preserve"> driven by the presence of</w:t>
      </w:r>
      <w:r w:rsidR="002D1F8B" w:rsidRPr="0001094A">
        <w:rPr>
          <w:rFonts w:asciiTheme="majorHAnsi" w:hAnsiTheme="majorHAnsi" w:cstheme="majorHAnsi"/>
          <w:sz w:val="21"/>
          <w:szCs w:val="21"/>
        </w:rPr>
        <w:t xml:space="preserve"> </w:t>
      </w:r>
      <w:r w:rsidR="007D73B7" w:rsidRPr="0001094A">
        <w:rPr>
          <w:rFonts w:asciiTheme="majorHAnsi" w:hAnsiTheme="majorHAnsi" w:cstheme="majorHAnsi"/>
          <w:sz w:val="21"/>
          <w:szCs w:val="21"/>
        </w:rPr>
        <w:t>layering</w:t>
      </w:r>
      <w:r w:rsidRPr="0001094A">
        <w:rPr>
          <w:rFonts w:asciiTheme="majorHAnsi" w:hAnsiTheme="majorHAnsi" w:cstheme="majorHAnsi"/>
          <w:sz w:val="21"/>
          <w:szCs w:val="21"/>
        </w:rPr>
        <w:t xml:space="preserve"> five strategies, rather than three, and as such, the models utilizing five-category indicators were selected as best.</w:t>
      </w:r>
    </w:p>
    <w:p w14:paraId="4F298746" w14:textId="5646D931" w:rsidR="007677EA" w:rsidRDefault="00EA1561">
      <w:pPr>
        <w:pStyle w:val="TableCaption"/>
        <w:jc w:val="center"/>
      </w:pPr>
      <w:r>
        <w:t>Table 5: Results of multilevel model with cumulative index of marginally significant strategies</w:t>
      </w:r>
    </w:p>
    <w:tbl>
      <w:tblPr>
        <w:tblW w:w="10768" w:type="dxa"/>
        <w:jc w:val="center"/>
        <w:tblLayout w:type="fixed"/>
        <w:tblLook w:val="0420" w:firstRow="1" w:lastRow="0" w:firstColumn="0" w:lastColumn="0" w:noHBand="0" w:noVBand="1"/>
      </w:tblPr>
      <w:tblGrid>
        <w:gridCol w:w="1244"/>
        <w:gridCol w:w="2070"/>
        <w:gridCol w:w="1260"/>
        <w:gridCol w:w="2160"/>
        <w:gridCol w:w="900"/>
        <w:gridCol w:w="2070"/>
        <w:gridCol w:w="1064"/>
      </w:tblGrid>
      <w:tr w:rsidR="007677EA" w14:paraId="4F29874E" w14:textId="77777777" w:rsidTr="00F175C5">
        <w:trPr>
          <w:trHeight w:val="999"/>
          <w:tblHeader/>
          <w:jc w:val="center"/>
        </w:trPr>
        <w:tc>
          <w:tcPr>
            <w:tcW w:w="12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47"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Cumulative number strategies</w:t>
            </w:r>
          </w:p>
        </w:tc>
        <w:tc>
          <w:tcPr>
            <w:tcW w:w="207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48" w14:textId="10F06D2E" w:rsidR="007677EA" w:rsidRPr="00F175C5" w:rsidRDefault="00EA1561" w:rsidP="00C96093">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Coefficient (95% CI)</w:t>
            </w:r>
          </w:p>
        </w:tc>
        <w:tc>
          <w:tcPr>
            <w:tcW w:w="12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49" w14:textId="08B1B3F5"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p-value</w:t>
            </w:r>
          </w:p>
        </w:tc>
        <w:tc>
          <w:tcPr>
            <w:tcW w:w="21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4A" w14:textId="72BC187A"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Coefficient</w:t>
            </w:r>
            <w:r w:rsidR="0009637A">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(95% CI)</w:t>
            </w:r>
          </w:p>
        </w:tc>
        <w:tc>
          <w:tcPr>
            <w:tcW w:w="9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4B" w14:textId="0ED748FB"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p-value</w:t>
            </w:r>
          </w:p>
        </w:tc>
        <w:tc>
          <w:tcPr>
            <w:tcW w:w="207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4C" w14:textId="3915C590" w:rsidR="007677EA" w:rsidRPr="00F175C5" w:rsidRDefault="00EA1561" w:rsidP="00C96093">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Coefficient</w:t>
            </w:r>
            <w:r w:rsidR="0009637A">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(95% CI)</w:t>
            </w:r>
          </w:p>
        </w:tc>
        <w:tc>
          <w:tcPr>
            <w:tcW w:w="10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4D" w14:textId="6DB38EE3"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p-value</w:t>
            </w:r>
          </w:p>
        </w:tc>
      </w:tr>
      <w:tr w:rsidR="00DA4EE4" w:rsidRPr="005F2EC0" w14:paraId="3309ABD2" w14:textId="77777777" w:rsidTr="005F388A">
        <w:trPr>
          <w:trHeight w:val="383"/>
          <w:tblHeader/>
          <w:jc w:val="center"/>
        </w:trPr>
        <w:tc>
          <w:tcPr>
            <w:tcW w:w="12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9B17AD" w14:textId="292FE063" w:rsidR="00DA4EE4" w:rsidRDefault="00DA4EE4">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Cutoff</w:t>
            </w:r>
          </w:p>
        </w:tc>
        <w:tc>
          <w:tcPr>
            <w:tcW w:w="3330"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4928EF0" w14:textId="7ACA0731" w:rsidR="00DA4EE4" w:rsidRDefault="00C96093" w:rsidP="006D54D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r w:rsidR="00DA4EE4">
              <w:rPr>
                <w:rFonts w:ascii="Times New Roman" w:eastAsia="Times New Roman" w:hAnsi="Times New Roman" w:cs="Times New Roman"/>
                <w:color w:val="000000"/>
                <w:sz w:val="22"/>
                <w:szCs w:val="22"/>
              </w:rPr>
              <w:t>0.1</w:t>
            </w:r>
          </w:p>
        </w:tc>
        <w:tc>
          <w:tcPr>
            <w:tcW w:w="3060"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B911158" w14:textId="6198CC13" w:rsidR="00DA4EE4" w:rsidRDefault="00C96093" w:rsidP="00F175C5">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r w:rsidR="00DA4EE4">
              <w:rPr>
                <w:rFonts w:ascii="Times New Roman" w:eastAsia="Times New Roman" w:hAnsi="Times New Roman" w:cs="Times New Roman"/>
                <w:color w:val="000000"/>
                <w:sz w:val="22"/>
                <w:szCs w:val="22"/>
              </w:rPr>
              <w:t>0.2</w:t>
            </w:r>
          </w:p>
        </w:tc>
        <w:tc>
          <w:tcPr>
            <w:tcW w:w="3134"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1C30E56" w14:textId="3F46C4F3" w:rsidR="00DA4EE4" w:rsidRPr="005F2EC0" w:rsidRDefault="00C96093" w:rsidP="004C7DC5">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sidRPr="005F2EC0">
              <w:rPr>
                <w:rFonts w:ascii="Times New Roman" w:eastAsia="Times New Roman" w:hAnsi="Times New Roman" w:cs="Times New Roman"/>
                <w:color w:val="000000"/>
                <w:sz w:val="22"/>
                <w:szCs w:val="22"/>
              </w:rPr>
              <w:t xml:space="preserve">                                 </w:t>
            </w:r>
            <w:r w:rsidR="00DA4EE4" w:rsidRPr="005F2EC0">
              <w:rPr>
                <w:rFonts w:ascii="Times New Roman" w:eastAsia="Times New Roman" w:hAnsi="Times New Roman" w:cs="Times New Roman"/>
                <w:color w:val="000000"/>
                <w:sz w:val="22"/>
                <w:szCs w:val="22"/>
              </w:rPr>
              <w:t>Comparison</w:t>
            </w:r>
          </w:p>
        </w:tc>
      </w:tr>
      <w:tr w:rsidR="007677EA" w14:paraId="4F298756" w14:textId="77777777" w:rsidTr="00F175C5">
        <w:trPr>
          <w:trHeight w:val="499"/>
          <w:jc w:val="center"/>
        </w:trPr>
        <w:tc>
          <w:tcPr>
            <w:tcW w:w="124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4F"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w:t>
            </w:r>
          </w:p>
        </w:tc>
        <w:tc>
          <w:tcPr>
            <w:tcW w:w="207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0.15 (-0.38, 0.69)</w:t>
            </w:r>
          </w:p>
        </w:tc>
        <w:tc>
          <w:tcPr>
            <w:tcW w:w="126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0.6</w:t>
            </w:r>
          </w:p>
        </w:tc>
        <w:tc>
          <w:tcPr>
            <w:tcW w:w="216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2" w14:textId="319F67BD" w:rsidR="007677EA" w:rsidRPr="00F175C5" w:rsidRDefault="00EA1561" w:rsidP="00C96093">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1.06 (0.34, 1.84)</w:t>
            </w:r>
          </w:p>
        </w:tc>
        <w:tc>
          <w:tcPr>
            <w:tcW w:w="9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3"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w:t>
            </w:r>
          </w:p>
        </w:tc>
        <w:tc>
          <w:tcPr>
            <w:tcW w:w="207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4"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6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5"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r>
      <w:tr w:rsidR="007677EA" w14:paraId="4F29875E" w14:textId="77777777" w:rsidTr="00F175C5">
        <w:trPr>
          <w:trHeight w:val="499"/>
          <w:jc w:val="center"/>
        </w:trPr>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7"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lastRenderedPageBreak/>
              <w:t>2</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-0.23 (-0.79, 0.33)</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9"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0.39</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A" w14:textId="1B49DB97" w:rsidR="007677EA" w:rsidRPr="00F175C5" w:rsidRDefault="00EA1561" w:rsidP="00C96093">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-0.2 (-0.82, 0.37)</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B"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0.52</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C"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D"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r>
      <w:tr w:rsidR="007677EA" w14:paraId="4F298766" w14:textId="77777777" w:rsidTr="00F175C5">
        <w:trPr>
          <w:trHeight w:val="458"/>
          <w:jc w:val="center"/>
        </w:trPr>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5F"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3</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0" w14:textId="063C2C80"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-0.53 (-1.06, 0</w:t>
            </w:r>
            <w:r w:rsidR="004F0226">
              <w:rPr>
                <w:rFonts w:ascii="Helvetica" w:eastAsia="Helvetica" w:hAnsi="Helvetica" w:cs="Helvetica"/>
                <w:color w:val="000000"/>
                <w:sz w:val="20"/>
                <w:szCs w:val="20"/>
              </w:rPr>
              <w:t>.00</w:t>
            </w:r>
            <w:r>
              <w:rPr>
                <w:rFonts w:ascii="Helvetica" w:eastAsia="Helvetica" w:hAnsi="Helvetica" w:cs="Helvetica"/>
                <w:color w:val="000000"/>
                <w:sz w:val="20"/>
                <w:szCs w:val="20"/>
              </w:rPr>
              <w:t>)</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1"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0.04</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2" w14:textId="0481CAFA" w:rsidR="007677EA" w:rsidRPr="00F175C5" w:rsidRDefault="00EA1561" w:rsidP="00C96093">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-0.12 (-0.65, 0.43)</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3"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0.68</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4" w14:textId="0F59696F" w:rsidR="007677EA" w:rsidRPr="00F175C5" w:rsidRDefault="00EA1561" w:rsidP="00C96093">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-0.32 (-0.87, 0.26)</w:t>
            </w:r>
          </w:p>
        </w:tc>
        <w:tc>
          <w:tcPr>
            <w:tcW w:w="1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0.26</w:t>
            </w:r>
          </w:p>
        </w:tc>
      </w:tr>
      <w:tr w:rsidR="007677EA" w14:paraId="4F29876E" w14:textId="77777777" w:rsidTr="00F175C5">
        <w:trPr>
          <w:trHeight w:val="499"/>
          <w:jc w:val="center"/>
        </w:trPr>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7"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4</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8"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9"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A" w14:textId="1309CF19" w:rsidR="007677EA" w:rsidRPr="00F175C5" w:rsidRDefault="00EA1561" w:rsidP="00C96093">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-0.24 (-0.79, 0.32)</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B"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0.41</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C"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D"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r>
      <w:tr w:rsidR="007677EA" w14:paraId="4F298776" w14:textId="77777777" w:rsidTr="00F175C5">
        <w:trPr>
          <w:trHeight w:val="499"/>
          <w:jc w:val="center"/>
        </w:trPr>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6F"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5</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0"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1"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2" w14:textId="5DEB98FC" w:rsidR="007677EA" w:rsidRPr="00F175C5" w:rsidRDefault="00EA1561" w:rsidP="00C96093">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-0.84 (-1.57, -0.09)</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3"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0.03</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4" w14:textId="5BCAB586" w:rsidR="007677EA" w:rsidRPr="00F175C5" w:rsidRDefault="00EA1561" w:rsidP="00C96093">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-0.93 (-1.69, -0.11)</w:t>
            </w:r>
          </w:p>
        </w:tc>
        <w:tc>
          <w:tcPr>
            <w:tcW w:w="1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5"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0.02</w:t>
            </w:r>
          </w:p>
        </w:tc>
      </w:tr>
      <w:tr w:rsidR="007677EA" w14:paraId="4F29877E" w14:textId="77777777" w:rsidTr="00F175C5">
        <w:trPr>
          <w:trHeight w:val="499"/>
          <w:jc w:val="center"/>
        </w:trPr>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7" w14:textId="57A4BAED" w:rsidR="007677EA" w:rsidRDefault="00C96093">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AIC</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8"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1312.563</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9"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A"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1305.808</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B"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C"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877D"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r>
      <w:tr w:rsidR="007677EA" w14:paraId="4F298786" w14:textId="77777777" w:rsidTr="00F175C5">
        <w:trPr>
          <w:trHeight w:val="499"/>
          <w:jc w:val="center"/>
        </w:trPr>
        <w:tc>
          <w:tcPr>
            <w:tcW w:w="12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7F" w14:textId="0B8F8E1F" w:rsidR="007677EA" w:rsidRDefault="00C96093">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BIC</w:t>
            </w:r>
          </w:p>
        </w:tc>
        <w:tc>
          <w:tcPr>
            <w:tcW w:w="207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80"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1373.397</w:t>
            </w:r>
          </w:p>
        </w:tc>
        <w:tc>
          <w:tcPr>
            <w:tcW w:w="12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81"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21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82" w14:textId="77777777" w:rsidR="007677EA" w:rsidRDefault="00EA1561">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1374.246</w:t>
            </w:r>
          </w:p>
        </w:tc>
        <w:tc>
          <w:tcPr>
            <w:tcW w:w="9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83"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207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84"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c>
          <w:tcPr>
            <w:tcW w:w="10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98785" w14:textId="77777777" w:rsidR="007677EA" w:rsidRDefault="007677EA">
            <w:pPr>
              <w:pBdr>
                <w:top w:val="none" w:sz="0" w:space="0" w:color="000000"/>
                <w:left w:val="none" w:sz="0" w:space="0" w:color="000000"/>
                <w:bottom w:val="none" w:sz="0" w:space="0" w:color="000000"/>
                <w:right w:val="none" w:sz="0" w:space="0" w:color="000000"/>
              </w:pBdr>
              <w:spacing w:before="100" w:after="100"/>
              <w:ind w:left="100" w:right="100"/>
            </w:pPr>
          </w:p>
        </w:tc>
      </w:tr>
    </w:tbl>
    <w:p w14:paraId="022A1301" w14:textId="77777777" w:rsidR="00D5690B" w:rsidRDefault="00D5690B"/>
    <w:p w14:paraId="4F298787" w14:textId="77777777" w:rsidR="007677EA" w:rsidRDefault="00EA1561">
      <w:r>
        <w:br w:type="page"/>
      </w:r>
    </w:p>
    <w:p w14:paraId="3D3A9B1B" w14:textId="4ACDD0DD" w:rsidR="00962CF4" w:rsidRPr="00972CFF" w:rsidRDefault="00962CF4" w:rsidP="00F175C5">
      <w:pPr>
        <w:pStyle w:val="BodyText"/>
        <w:spacing w:line="480" w:lineRule="auto"/>
        <w:jc w:val="center"/>
      </w:pPr>
      <w:bookmarkStart w:id="8" w:name="summary"/>
      <w:bookmarkEnd w:id="7"/>
      <w:r w:rsidRPr="00F175C5">
        <w:rPr>
          <w:b/>
          <w:bCs/>
        </w:rPr>
        <w:lastRenderedPageBreak/>
        <w:t>Discussion</w:t>
      </w:r>
    </w:p>
    <w:p w14:paraId="4F298789" w14:textId="2E21C570" w:rsidR="007677EA" w:rsidRPr="0001094A" w:rsidRDefault="00912FD8" w:rsidP="0001094A">
      <w:pPr>
        <w:pStyle w:val="FirstParagraph"/>
        <w:rPr>
          <w:rFonts w:asciiTheme="majorHAnsi" w:hAnsiTheme="majorHAnsi" w:cstheme="majorHAnsi"/>
          <w:sz w:val="21"/>
          <w:szCs w:val="21"/>
        </w:rPr>
      </w:pPr>
      <w:r>
        <w:tab/>
      </w:r>
      <w:r w:rsidR="00EA1561" w:rsidRPr="0001094A">
        <w:rPr>
          <w:rFonts w:asciiTheme="majorHAnsi" w:hAnsiTheme="majorHAnsi" w:cstheme="majorHAnsi"/>
          <w:sz w:val="21"/>
          <w:szCs w:val="21"/>
        </w:rPr>
        <w:t xml:space="preserve">This study provides evidence that district-level guidance on COVID-19 prevention </w:t>
      </w:r>
      <w:r w:rsidR="002B53A9" w:rsidRPr="0001094A">
        <w:rPr>
          <w:rFonts w:asciiTheme="majorHAnsi" w:hAnsiTheme="majorHAnsi" w:cstheme="majorHAnsi"/>
          <w:sz w:val="21"/>
          <w:szCs w:val="21"/>
        </w:rPr>
        <w:t xml:space="preserve">may </w:t>
      </w:r>
      <w:r w:rsidR="00EA1561" w:rsidRPr="0001094A">
        <w:rPr>
          <w:rFonts w:asciiTheme="majorHAnsi" w:hAnsiTheme="majorHAnsi" w:cstheme="majorHAnsi"/>
          <w:sz w:val="21"/>
          <w:szCs w:val="21"/>
        </w:rPr>
        <w:t>help schools reduce the spread of COVID-19. Specifically, we found that districts providing prevention guidance on three strategies, upkeep</w:t>
      </w:r>
      <w:r w:rsidR="008F1873" w:rsidRPr="0001094A">
        <w:rPr>
          <w:rFonts w:asciiTheme="majorHAnsi" w:hAnsiTheme="majorHAnsi" w:cstheme="majorHAnsi"/>
          <w:sz w:val="21"/>
          <w:szCs w:val="21"/>
        </w:rPr>
        <w:t xml:space="preserve"> (</w:t>
      </w:r>
      <w:r w:rsidR="00D81FB4" w:rsidRPr="0001094A">
        <w:rPr>
          <w:rFonts w:asciiTheme="majorHAnsi" w:hAnsiTheme="majorHAnsi" w:cstheme="majorHAnsi"/>
          <w:sz w:val="21"/>
          <w:szCs w:val="21"/>
        </w:rPr>
        <w:t xml:space="preserve">encouraging </w:t>
      </w:r>
      <w:r w:rsidR="00CF5771" w:rsidRPr="0001094A">
        <w:rPr>
          <w:rFonts w:asciiTheme="majorHAnsi" w:hAnsiTheme="majorHAnsi" w:cstheme="majorHAnsi"/>
          <w:sz w:val="21"/>
          <w:szCs w:val="21"/>
        </w:rPr>
        <w:t xml:space="preserve">replacing, upgrading, </w:t>
      </w:r>
      <w:r w:rsidR="004463E4" w:rsidRPr="0001094A">
        <w:rPr>
          <w:rFonts w:asciiTheme="majorHAnsi" w:hAnsiTheme="majorHAnsi" w:cstheme="majorHAnsi"/>
          <w:sz w:val="21"/>
          <w:szCs w:val="21"/>
        </w:rPr>
        <w:t>maintaining,</w:t>
      </w:r>
      <w:r w:rsidR="00CF5771" w:rsidRPr="0001094A">
        <w:rPr>
          <w:rFonts w:asciiTheme="majorHAnsi" w:hAnsiTheme="majorHAnsi" w:cstheme="majorHAnsi"/>
          <w:sz w:val="21"/>
          <w:szCs w:val="21"/>
        </w:rPr>
        <w:t xml:space="preserve"> or inspecting)</w:t>
      </w:r>
      <w:r w:rsidR="00EA1561" w:rsidRPr="0001094A">
        <w:rPr>
          <w:rFonts w:asciiTheme="majorHAnsi" w:hAnsiTheme="majorHAnsi" w:cstheme="majorHAnsi"/>
          <w:sz w:val="21"/>
          <w:szCs w:val="21"/>
        </w:rPr>
        <w:t xml:space="preserve"> of HVAC systems, requiring physical distancing, and encouraging that students stay home when sick, marginally attenuate</w:t>
      </w:r>
      <w:r w:rsidR="005178C7" w:rsidRPr="0001094A">
        <w:rPr>
          <w:rFonts w:asciiTheme="majorHAnsi" w:hAnsiTheme="majorHAnsi" w:cstheme="majorHAnsi"/>
          <w:sz w:val="21"/>
          <w:szCs w:val="21"/>
        </w:rPr>
        <w:t>d</w:t>
      </w:r>
      <w:r w:rsidR="00EA1561" w:rsidRPr="0001094A">
        <w:rPr>
          <w:rFonts w:asciiTheme="majorHAnsi" w:hAnsiTheme="majorHAnsi" w:cstheme="majorHAnsi"/>
          <w:sz w:val="21"/>
          <w:szCs w:val="21"/>
        </w:rPr>
        <w:t xml:space="preserve"> COVID-19 spread. However, there is stronger evidence suggesting the effect of combining or layering five strategies, including upkeep of HVAC systems, requiring physical distancing, encouraging that students stay home when sick, requiring quarantining, and offering screening and testing for students, indicated by a statistically significant association between changes in COVID-19 case rates and the cumulative index. The five-strategy indicator also had a stronger association with change </w:t>
      </w:r>
      <w:r w:rsidR="0028089E" w:rsidRPr="0001094A">
        <w:rPr>
          <w:rFonts w:asciiTheme="majorHAnsi" w:hAnsiTheme="majorHAnsi" w:cstheme="majorHAnsi"/>
          <w:sz w:val="21"/>
          <w:szCs w:val="21"/>
        </w:rPr>
        <w:t xml:space="preserve">in </w:t>
      </w:r>
      <w:r w:rsidR="00EA1561" w:rsidRPr="0001094A">
        <w:rPr>
          <w:rFonts w:asciiTheme="majorHAnsi" w:hAnsiTheme="majorHAnsi" w:cstheme="majorHAnsi"/>
          <w:sz w:val="21"/>
          <w:szCs w:val="21"/>
        </w:rPr>
        <w:t xml:space="preserve">case rates when compared with the three-strategy indicator. As such, these results offer </w:t>
      </w:r>
      <w:r w:rsidR="00CF5771" w:rsidRPr="0001094A">
        <w:rPr>
          <w:rFonts w:asciiTheme="majorHAnsi" w:hAnsiTheme="majorHAnsi" w:cstheme="majorHAnsi"/>
          <w:sz w:val="21"/>
          <w:szCs w:val="21"/>
        </w:rPr>
        <w:t>several</w:t>
      </w:r>
      <w:r w:rsidR="00EA1561" w:rsidRPr="0001094A">
        <w:rPr>
          <w:rFonts w:asciiTheme="majorHAnsi" w:hAnsiTheme="majorHAnsi" w:cstheme="majorHAnsi"/>
          <w:sz w:val="21"/>
          <w:szCs w:val="21"/>
        </w:rPr>
        <w:t xml:space="preserve"> </w:t>
      </w:r>
      <w:r w:rsidR="0028089E" w:rsidRPr="0001094A">
        <w:rPr>
          <w:rFonts w:asciiTheme="majorHAnsi" w:hAnsiTheme="majorHAnsi" w:cstheme="majorHAnsi"/>
          <w:sz w:val="21"/>
          <w:szCs w:val="21"/>
        </w:rPr>
        <w:t>considerations</w:t>
      </w:r>
      <w:r w:rsidR="00EA1561" w:rsidRPr="0001094A">
        <w:rPr>
          <w:rFonts w:asciiTheme="majorHAnsi" w:hAnsiTheme="majorHAnsi" w:cstheme="majorHAnsi"/>
          <w:sz w:val="21"/>
          <w:szCs w:val="21"/>
        </w:rPr>
        <w:t xml:space="preserve"> to inform ongoing efforts to promote more equitable and safe school environments in the context of current and future public health emergencies.</w:t>
      </w:r>
    </w:p>
    <w:p w14:paraId="4F29878A" w14:textId="67964D6A" w:rsidR="007677EA" w:rsidRPr="0001094A" w:rsidRDefault="00EA1561" w:rsidP="0001094A">
      <w:pPr>
        <w:pStyle w:val="BodyText"/>
        <w:ind w:firstLine="720"/>
        <w:rPr>
          <w:rFonts w:asciiTheme="majorHAnsi" w:hAnsiTheme="majorHAnsi" w:cstheme="majorHAnsi"/>
          <w:sz w:val="21"/>
          <w:szCs w:val="21"/>
        </w:rPr>
      </w:pPr>
      <w:r w:rsidRPr="0001094A">
        <w:rPr>
          <w:rFonts w:asciiTheme="majorHAnsi" w:hAnsiTheme="majorHAnsi" w:cstheme="majorHAnsi"/>
          <w:sz w:val="21"/>
          <w:szCs w:val="21"/>
        </w:rPr>
        <w:t xml:space="preserve">First, as suggested by a growing body of literature, the spread of airborne disease among children and adolescents attending public schools can be </w:t>
      </w:r>
      <w:r w:rsidR="00040A09" w:rsidRPr="0001094A">
        <w:rPr>
          <w:rFonts w:asciiTheme="majorHAnsi" w:hAnsiTheme="majorHAnsi" w:cstheme="majorHAnsi"/>
          <w:sz w:val="21"/>
          <w:szCs w:val="21"/>
        </w:rPr>
        <w:t>prevented</w:t>
      </w:r>
      <w:r w:rsidRPr="0001094A">
        <w:rPr>
          <w:rFonts w:asciiTheme="majorHAnsi" w:hAnsiTheme="majorHAnsi" w:cstheme="majorHAnsi"/>
          <w:sz w:val="21"/>
          <w:szCs w:val="21"/>
        </w:rPr>
        <w:t>, which is particularly noteworthy given the concern over consequences to remote-only learning (e.g., learning loss, breaking social ties) (</w:t>
      </w:r>
      <w:proofErr w:type="spellStart"/>
      <w:r w:rsidRPr="0001094A">
        <w:rPr>
          <w:rFonts w:asciiTheme="majorHAnsi" w:hAnsiTheme="majorHAnsi" w:cstheme="majorHAnsi"/>
          <w:sz w:val="21"/>
          <w:szCs w:val="21"/>
        </w:rPr>
        <w:t>Engzell</w:t>
      </w:r>
      <w:proofErr w:type="spellEnd"/>
      <w:r w:rsidRPr="0001094A">
        <w:rPr>
          <w:rFonts w:asciiTheme="majorHAnsi" w:hAnsiTheme="majorHAnsi" w:cstheme="majorHAnsi"/>
          <w:sz w:val="21"/>
          <w:szCs w:val="21"/>
        </w:rPr>
        <w:t xml:space="preserve">, Frey, </w:t>
      </w:r>
      <w:r w:rsidR="0028089E" w:rsidRPr="0001094A">
        <w:rPr>
          <w:rFonts w:asciiTheme="majorHAnsi" w:hAnsiTheme="majorHAnsi" w:cstheme="majorHAnsi"/>
          <w:sz w:val="21"/>
          <w:szCs w:val="21"/>
        </w:rPr>
        <w:t xml:space="preserve">&amp; </w:t>
      </w:r>
      <w:proofErr w:type="spellStart"/>
      <w:r w:rsidRPr="0001094A">
        <w:rPr>
          <w:rFonts w:asciiTheme="majorHAnsi" w:hAnsiTheme="majorHAnsi" w:cstheme="majorHAnsi"/>
          <w:sz w:val="21"/>
          <w:szCs w:val="21"/>
        </w:rPr>
        <w:t>Verhagen</w:t>
      </w:r>
      <w:proofErr w:type="spellEnd"/>
      <w:r w:rsidRPr="0001094A">
        <w:rPr>
          <w:rFonts w:asciiTheme="majorHAnsi" w:hAnsiTheme="majorHAnsi" w:cstheme="majorHAnsi"/>
          <w:sz w:val="21"/>
          <w:szCs w:val="21"/>
        </w:rPr>
        <w:t xml:space="preserve"> 2021). While it is still unclear the extent to which individual strategies rank in importance and contribute to reduced spread, it appears that COVID-19 </w:t>
      </w:r>
      <w:r w:rsidR="00040A09" w:rsidRPr="0001094A">
        <w:rPr>
          <w:rFonts w:asciiTheme="majorHAnsi" w:hAnsiTheme="majorHAnsi" w:cstheme="majorHAnsi"/>
          <w:sz w:val="21"/>
          <w:szCs w:val="21"/>
        </w:rPr>
        <w:t xml:space="preserve">prevention </w:t>
      </w:r>
      <w:r w:rsidRPr="0001094A">
        <w:rPr>
          <w:rFonts w:asciiTheme="majorHAnsi" w:hAnsiTheme="majorHAnsi" w:cstheme="majorHAnsi"/>
          <w:sz w:val="21"/>
          <w:szCs w:val="21"/>
        </w:rPr>
        <w:t>is achieved in schools when districts develop policies and/or provide prevention guidance and communicate that schools should utilize a combination of prevention strategies</w:t>
      </w:r>
      <w:r w:rsidR="00040A09" w:rsidRPr="0001094A">
        <w:rPr>
          <w:rFonts w:asciiTheme="majorHAnsi" w:hAnsiTheme="majorHAnsi" w:cstheme="majorHAnsi"/>
          <w:sz w:val="21"/>
          <w:szCs w:val="21"/>
        </w:rPr>
        <w:t xml:space="preserve">, even after accounting for </w:t>
      </w:r>
      <w:r w:rsidRPr="0001094A">
        <w:rPr>
          <w:rFonts w:asciiTheme="majorHAnsi" w:hAnsiTheme="majorHAnsi" w:cstheme="majorHAnsi"/>
          <w:sz w:val="21"/>
          <w:szCs w:val="21"/>
        </w:rPr>
        <w:t xml:space="preserve">nesting of schools within state and region, underscoring the generalizability of </w:t>
      </w:r>
      <w:r w:rsidR="00BE5C35" w:rsidRPr="0001094A">
        <w:rPr>
          <w:rFonts w:asciiTheme="majorHAnsi" w:hAnsiTheme="majorHAnsi" w:cstheme="majorHAnsi"/>
          <w:sz w:val="21"/>
          <w:szCs w:val="21"/>
        </w:rPr>
        <w:t xml:space="preserve">prevention </w:t>
      </w:r>
      <w:r w:rsidRPr="0001094A">
        <w:rPr>
          <w:rFonts w:asciiTheme="majorHAnsi" w:hAnsiTheme="majorHAnsi" w:cstheme="majorHAnsi"/>
          <w:sz w:val="21"/>
          <w:szCs w:val="21"/>
        </w:rPr>
        <w:t>strateg</w:t>
      </w:r>
      <w:r w:rsidR="008B4108" w:rsidRPr="0001094A">
        <w:rPr>
          <w:rFonts w:asciiTheme="majorHAnsi" w:hAnsiTheme="majorHAnsi" w:cstheme="majorHAnsi"/>
          <w:sz w:val="21"/>
          <w:szCs w:val="21"/>
        </w:rPr>
        <w:t xml:space="preserve">y implementation. </w:t>
      </w:r>
    </w:p>
    <w:p w14:paraId="4F29878B" w14:textId="1EEFB386" w:rsidR="007677EA" w:rsidRPr="0001094A" w:rsidRDefault="00EA1561" w:rsidP="0001094A">
      <w:pPr>
        <w:pStyle w:val="BodyText"/>
        <w:ind w:firstLine="720"/>
        <w:rPr>
          <w:rFonts w:asciiTheme="majorHAnsi" w:hAnsiTheme="majorHAnsi" w:cstheme="majorHAnsi"/>
          <w:sz w:val="21"/>
          <w:szCs w:val="21"/>
        </w:rPr>
      </w:pPr>
      <w:r w:rsidRPr="0001094A">
        <w:rPr>
          <w:rFonts w:asciiTheme="majorHAnsi" w:hAnsiTheme="majorHAnsi" w:cstheme="majorHAnsi"/>
          <w:sz w:val="21"/>
          <w:szCs w:val="21"/>
        </w:rPr>
        <w:t xml:space="preserve">Second, district-level COVID-19 prevention requirements and recommendations served as a proxy for strategy implementation in schools. Although we do not fully understand schools’ implementation fidelity or additional strategies that schools may have employed on their own, these results demonstrate the influence of school districts to effectively provide guidance to schools. As such, there is an opportunity for federal and state public health agencies to further improve schools’ </w:t>
      </w:r>
      <w:r w:rsidR="00040A09" w:rsidRPr="0001094A">
        <w:rPr>
          <w:rFonts w:asciiTheme="majorHAnsi" w:hAnsiTheme="majorHAnsi" w:cstheme="majorHAnsi"/>
          <w:sz w:val="21"/>
          <w:szCs w:val="21"/>
        </w:rPr>
        <w:t>capacity</w:t>
      </w:r>
      <w:r w:rsidRPr="0001094A">
        <w:rPr>
          <w:rFonts w:asciiTheme="majorHAnsi" w:hAnsiTheme="majorHAnsi" w:cstheme="majorHAnsi"/>
          <w:sz w:val="21"/>
          <w:szCs w:val="21"/>
        </w:rPr>
        <w:t xml:space="preserve"> by tailoring guidance for districts to </w:t>
      </w:r>
      <w:r w:rsidR="00040A09" w:rsidRPr="0001094A">
        <w:rPr>
          <w:rFonts w:asciiTheme="majorHAnsi" w:hAnsiTheme="majorHAnsi" w:cstheme="majorHAnsi"/>
          <w:sz w:val="21"/>
          <w:szCs w:val="21"/>
        </w:rPr>
        <w:t>share with schools</w:t>
      </w:r>
      <w:r w:rsidRPr="0001094A">
        <w:rPr>
          <w:rFonts w:asciiTheme="majorHAnsi" w:hAnsiTheme="majorHAnsi" w:cstheme="majorHAnsi"/>
          <w:sz w:val="21"/>
          <w:szCs w:val="21"/>
        </w:rPr>
        <w:t xml:space="preserve"> (Li et al.</w:t>
      </w:r>
      <w:r w:rsidR="0028089E" w:rsidRPr="0001094A">
        <w:rPr>
          <w:rFonts w:asciiTheme="majorHAnsi" w:hAnsiTheme="majorHAnsi" w:cstheme="majorHAnsi"/>
          <w:sz w:val="21"/>
          <w:szCs w:val="21"/>
        </w:rPr>
        <w:t>,</w:t>
      </w:r>
      <w:r w:rsidRPr="0001094A">
        <w:rPr>
          <w:rFonts w:asciiTheme="majorHAnsi" w:hAnsiTheme="majorHAnsi" w:cstheme="majorHAnsi"/>
          <w:sz w:val="21"/>
          <w:szCs w:val="21"/>
        </w:rPr>
        <w:t xml:space="preserve"> 2022). Indeed, our results may also reflect that districts with stronger ties to schools as well as greater communication capabilities were more effective in translating </w:t>
      </w:r>
      <w:r w:rsidR="00040A09" w:rsidRPr="0001094A">
        <w:rPr>
          <w:rFonts w:asciiTheme="majorHAnsi" w:hAnsiTheme="majorHAnsi" w:cstheme="majorHAnsi"/>
          <w:sz w:val="21"/>
          <w:szCs w:val="21"/>
        </w:rPr>
        <w:t xml:space="preserve">recommended federal </w:t>
      </w:r>
      <w:r w:rsidRPr="0001094A">
        <w:rPr>
          <w:rFonts w:asciiTheme="majorHAnsi" w:hAnsiTheme="majorHAnsi" w:cstheme="majorHAnsi"/>
          <w:sz w:val="21"/>
          <w:szCs w:val="21"/>
        </w:rPr>
        <w:t xml:space="preserve">guidance to attainable </w:t>
      </w:r>
      <w:r w:rsidR="00040A09" w:rsidRPr="0001094A">
        <w:rPr>
          <w:rFonts w:asciiTheme="majorHAnsi" w:hAnsiTheme="majorHAnsi" w:cstheme="majorHAnsi"/>
          <w:sz w:val="21"/>
          <w:szCs w:val="21"/>
        </w:rPr>
        <w:t xml:space="preserve">strategy implementation </w:t>
      </w:r>
      <w:r w:rsidRPr="0001094A">
        <w:rPr>
          <w:rFonts w:asciiTheme="majorHAnsi" w:hAnsiTheme="majorHAnsi" w:cstheme="majorHAnsi"/>
          <w:sz w:val="21"/>
          <w:szCs w:val="21"/>
        </w:rPr>
        <w:t>by schools.</w:t>
      </w:r>
    </w:p>
    <w:p w14:paraId="4F29878C" w14:textId="3AA86830" w:rsidR="007677EA" w:rsidRPr="0001094A" w:rsidRDefault="00EA1561" w:rsidP="0001094A">
      <w:pPr>
        <w:pStyle w:val="BodyText"/>
        <w:ind w:firstLine="720"/>
        <w:rPr>
          <w:rFonts w:asciiTheme="majorHAnsi" w:hAnsiTheme="majorHAnsi" w:cstheme="majorHAnsi"/>
          <w:sz w:val="21"/>
          <w:szCs w:val="21"/>
        </w:rPr>
      </w:pPr>
      <w:r w:rsidRPr="0001094A">
        <w:rPr>
          <w:rFonts w:asciiTheme="majorHAnsi" w:hAnsiTheme="majorHAnsi" w:cstheme="majorHAnsi"/>
          <w:sz w:val="21"/>
          <w:szCs w:val="21"/>
        </w:rPr>
        <w:t xml:space="preserve">Third, the lack of responsiveness from </w:t>
      </w:r>
      <w:r w:rsidR="0083197B" w:rsidRPr="0001094A">
        <w:rPr>
          <w:rFonts w:asciiTheme="majorHAnsi" w:hAnsiTheme="majorHAnsi" w:cstheme="majorHAnsi"/>
          <w:sz w:val="21"/>
          <w:szCs w:val="21"/>
        </w:rPr>
        <w:t>most</w:t>
      </w:r>
      <w:r w:rsidRPr="0001094A">
        <w:rPr>
          <w:rFonts w:asciiTheme="majorHAnsi" w:hAnsiTheme="majorHAnsi" w:cstheme="majorHAnsi"/>
          <w:sz w:val="21"/>
          <w:szCs w:val="21"/>
        </w:rPr>
        <w:t xml:space="preserve"> state health departments as well the limited availability of school-level case data, may indicate an opportunity for improving infrastructure in preparation for future emergencies. Only 28 of 51 (55%) health departments were responsive to our request for data, and of these health departments, only 20 had data usable for the current analysis. While it is </w:t>
      </w:r>
      <w:r w:rsidR="00040A09" w:rsidRPr="0001094A">
        <w:rPr>
          <w:rFonts w:asciiTheme="majorHAnsi" w:hAnsiTheme="majorHAnsi" w:cstheme="majorHAnsi"/>
          <w:sz w:val="21"/>
          <w:szCs w:val="21"/>
        </w:rPr>
        <w:t xml:space="preserve">likely </w:t>
      </w:r>
      <w:r w:rsidRPr="0001094A">
        <w:rPr>
          <w:rFonts w:asciiTheme="majorHAnsi" w:hAnsiTheme="majorHAnsi" w:cstheme="majorHAnsi"/>
          <w:sz w:val="21"/>
          <w:szCs w:val="21"/>
        </w:rPr>
        <w:t xml:space="preserve">that many health departments were simply too overwhelmed to accommodate our request, others </w:t>
      </w:r>
      <w:r w:rsidR="00040A09" w:rsidRPr="0001094A">
        <w:rPr>
          <w:rFonts w:asciiTheme="majorHAnsi" w:hAnsiTheme="majorHAnsi" w:cstheme="majorHAnsi"/>
          <w:sz w:val="21"/>
          <w:szCs w:val="21"/>
        </w:rPr>
        <w:t xml:space="preserve">may have been </w:t>
      </w:r>
      <w:r w:rsidRPr="0001094A">
        <w:rPr>
          <w:rFonts w:asciiTheme="majorHAnsi" w:hAnsiTheme="majorHAnsi" w:cstheme="majorHAnsi"/>
          <w:sz w:val="21"/>
          <w:szCs w:val="21"/>
        </w:rPr>
        <w:t xml:space="preserve">hesitant </w:t>
      </w:r>
      <w:r w:rsidR="00040A09" w:rsidRPr="0001094A">
        <w:rPr>
          <w:rFonts w:asciiTheme="majorHAnsi" w:hAnsiTheme="majorHAnsi" w:cstheme="majorHAnsi"/>
          <w:sz w:val="21"/>
          <w:szCs w:val="21"/>
        </w:rPr>
        <w:t>to provide data</w:t>
      </w:r>
      <w:r w:rsidRPr="0001094A">
        <w:rPr>
          <w:rFonts w:asciiTheme="majorHAnsi" w:hAnsiTheme="majorHAnsi" w:cstheme="majorHAnsi"/>
          <w:sz w:val="21"/>
          <w:szCs w:val="21"/>
        </w:rPr>
        <w:t xml:space="preserve">. </w:t>
      </w:r>
      <w:r w:rsidR="00002C98" w:rsidRPr="0001094A">
        <w:rPr>
          <w:rFonts w:asciiTheme="majorHAnsi" w:hAnsiTheme="majorHAnsi" w:cstheme="majorHAnsi"/>
          <w:sz w:val="21"/>
          <w:szCs w:val="21"/>
        </w:rPr>
        <w:t>As such</w:t>
      </w:r>
      <w:r w:rsidRPr="0001094A">
        <w:rPr>
          <w:rFonts w:asciiTheme="majorHAnsi" w:hAnsiTheme="majorHAnsi" w:cstheme="majorHAnsi"/>
          <w:sz w:val="21"/>
          <w:szCs w:val="21"/>
        </w:rPr>
        <w:t xml:space="preserve"> federal agencies</w:t>
      </w:r>
      <w:r w:rsidR="00002C98" w:rsidRPr="0001094A">
        <w:rPr>
          <w:rFonts w:asciiTheme="majorHAnsi" w:hAnsiTheme="majorHAnsi" w:cstheme="majorHAnsi"/>
          <w:sz w:val="21"/>
          <w:szCs w:val="21"/>
        </w:rPr>
        <w:t xml:space="preserve"> should seek</w:t>
      </w:r>
      <w:r w:rsidRPr="0001094A">
        <w:rPr>
          <w:rFonts w:asciiTheme="majorHAnsi" w:hAnsiTheme="majorHAnsi" w:cstheme="majorHAnsi"/>
          <w:sz w:val="21"/>
          <w:szCs w:val="21"/>
        </w:rPr>
        <w:t xml:space="preserve"> to build stronger relationships with states/local health departments </w:t>
      </w:r>
      <w:r w:rsidR="0083197B" w:rsidRPr="0001094A">
        <w:rPr>
          <w:rFonts w:asciiTheme="majorHAnsi" w:hAnsiTheme="majorHAnsi" w:cstheme="majorHAnsi"/>
          <w:sz w:val="21"/>
          <w:szCs w:val="21"/>
        </w:rPr>
        <w:t>to</w:t>
      </w:r>
      <w:r w:rsidRPr="0001094A">
        <w:rPr>
          <w:rFonts w:asciiTheme="majorHAnsi" w:hAnsiTheme="majorHAnsi" w:cstheme="majorHAnsi"/>
          <w:sz w:val="21"/>
          <w:szCs w:val="21"/>
        </w:rPr>
        <w:t xml:space="preserve"> improve surveillance systems and </w:t>
      </w:r>
      <w:r w:rsidR="00002C98" w:rsidRPr="0001094A">
        <w:rPr>
          <w:rFonts w:asciiTheme="majorHAnsi" w:hAnsiTheme="majorHAnsi" w:cstheme="majorHAnsi"/>
          <w:sz w:val="21"/>
          <w:szCs w:val="21"/>
        </w:rPr>
        <w:t xml:space="preserve">build </w:t>
      </w:r>
      <w:r w:rsidR="0083197B" w:rsidRPr="0001094A">
        <w:rPr>
          <w:rFonts w:asciiTheme="majorHAnsi" w:hAnsiTheme="majorHAnsi" w:cstheme="majorHAnsi"/>
          <w:sz w:val="21"/>
          <w:szCs w:val="21"/>
        </w:rPr>
        <w:t>trust.</w:t>
      </w:r>
    </w:p>
    <w:p w14:paraId="4F29878D" w14:textId="77777777" w:rsidR="007677EA" w:rsidRDefault="00EA1561" w:rsidP="00F175C5">
      <w:pPr>
        <w:pStyle w:val="Heading2"/>
        <w:spacing w:line="480" w:lineRule="auto"/>
      </w:pPr>
      <w:bookmarkStart w:id="9" w:name="limitations"/>
      <w:r>
        <w:t>Limitations</w:t>
      </w:r>
    </w:p>
    <w:p w14:paraId="4F29878E" w14:textId="443574C3" w:rsidR="007677EA" w:rsidRPr="0001094A" w:rsidRDefault="00EA1561" w:rsidP="0001094A">
      <w:pPr>
        <w:pStyle w:val="FirstParagraph"/>
        <w:ind w:firstLine="720"/>
        <w:rPr>
          <w:rFonts w:asciiTheme="majorHAnsi" w:hAnsiTheme="majorHAnsi" w:cstheme="majorHAnsi"/>
          <w:sz w:val="21"/>
          <w:szCs w:val="21"/>
        </w:rPr>
      </w:pPr>
      <w:r w:rsidRPr="0001094A">
        <w:rPr>
          <w:rFonts w:asciiTheme="majorHAnsi" w:hAnsiTheme="majorHAnsi" w:cstheme="majorHAnsi"/>
          <w:sz w:val="21"/>
          <w:szCs w:val="21"/>
        </w:rPr>
        <w:t xml:space="preserve">There are several limitations to consider in the context of the current study that should be considered for future research. </w:t>
      </w:r>
      <w:r w:rsidR="00616199" w:rsidRPr="0001094A">
        <w:rPr>
          <w:rFonts w:asciiTheme="majorHAnsi" w:hAnsiTheme="majorHAnsi" w:cstheme="majorHAnsi"/>
          <w:sz w:val="21"/>
          <w:szCs w:val="21"/>
        </w:rPr>
        <w:t>Sample</w:t>
      </w:r>
      <w:r w:rsidRPr="0001094A">
        <w:rPr>
          <w:rFonts w:asciiTheme="majorHAnsi" w:hAnsiTheme="majorHAnsi" w:cstheme="majorHAnsi"/>
          <w:sz w:val="21"/>
          <w:szCs w:val="21"/>
        </w:rPr>
        <w:t xml:space="preserve"> size significantly limited our ability to detect smaller effects. We were only able to cull usable </w:t>
      </w:r>
      <w:r w:rsidR="00616199" w:rsidRPr="0001094A">
        <w:rPr>
          <w:rFonts w:asciiTheme="majorHAnsi" w:hAnsiTheme="majorHAnsi" w:cstheme="majorHAnsi"/>
          <w:sz w:val="21"/>
          <w:szCs w:val="21"/>
        </w:rPr>
        <w:t xml:space="preserve">school-level COVID-19 case </w:t>
      </w:r>
      <w:r w:rsidRPr="0001094A">
        <w:rPr>
          <w:rFonts w:asciiTheme="majorHAnsi" w:hAnsiTheme="majorHAnsi" w:cstheme="majorHAnsi"/>
          <w:sz w:val="21"/>
          <w:szCs w:val="21"/>
        </w:rPr>
        <w:t>data</w:t>
      </w:r>
      <w:r w:rsidR="00616199" w:rsidRPr="0001094A">
        <w:rPr>
          <w:rFonts w:asciiTheme="majorHAnsi" w:hAnsiTheme="majorHAnsi" w:cstheme="majorHAnsi"/>
          <w:sz w:val="21"/>
          <w:szCs w:val="21"/>
        </w:rPr>
        <w:t xml:space="preserve"> from health departments</w:t>
      </w:r>
      <w:r w:rsidRPr="0001094A">
        <w:rPr>
          <w:rFonts w:asciiTheme="majorHAnsi" w:hAnsiTheme="majorHAnsi" w:cstheme="majorHAnsi"/>
          <w:sz w:val="21"/>
          <w:szCs w:val="21"/>
        </w:rPr>
        <w:t xml:space="preserve"> for approximately 22% of study schools. As such, there is likely response bias (e.g., well-resourced districts may have been more likely to post policy guidance, and schools in these districts may also have had greater potential for collecting case data</w:t>
      </w:r>
      <w:r w:rsidR="00616199" w:rsidRPr="0001094A">
        <w:rPr>
          <w:rFonts w:asciiTheme="majorHAnsi" w:hAnsiTheme="majorHAnsi" w:cstheme="majorHAnsi"/>
          <w:sz w:val="21"/>
          <w:szCs w:val="21"/>
        </w:rPr>
        <w:t xml:space="preserve"> and reporting to health departments</w:t>
      </w:r>
      <w:r w:rsidRPr="0001094A">
        <w:rPr>
          <w:rFonts w:asciiTheme="majorHAnsi" w:hAnsiTheme="majorHAnsi" w:cstheme="majorHAnsi"/>
          <w:sz w:val="21"/>
          <w:szCs w:val="21"/>
        </w:rPr>
        <w:t xml:space="preserve">) due to health department self-selection to participate and share available data. Furthermore, since health departments collected data from schools without a unified approach, we cannot rule out that our results may be reflective of disparate COVID-19 data collection methods. For instance, it is unclear whether schools were able to distinguish between student cases </w:t>
      </w:r>
      <w:r w:rsidRPr="0001094A">
        <w:rPr>
          <w:rFonts w:asciiTheme="majorHAnsi" w:hAnsiTheme="majorHAnsi" w:cstheme="majorHAnsi"/>
          <w:sz w:val="21"/>
          <w:szCs w:val="21"/>
        </w:rPr>
        <w:lastRenderedPageBreak/>
        <w:t xml:space="preserve">occurring </w:t>
      </w:r>
      <w:r w:rsidR="005F388A" w:rsidRPr="0001094A">
        <w:rPr>
          <w:rFonts w:asciiTheme="majorHAnsi" w:hAnsiTheme="majorHAnsi" w:cstheme="majorHAnsi"/>
          <w:sz w:val="21"/>
          <w:szCs w:val="21"/>
        </w:rPr>
        <w:t>because of</w:t>
      </w:r>
      <w:r w:rsidRPr="0001094A">
        <w:rPr>
          <w:rFonts w:asciiTheme="majorHAnsi" w:hAnsiTheme="majorHAnsi" w:cstheme="majorHAnsi"/>
          <w:sz w:val="21"/>
          <w:szCs w:val="21"/>
        </w:rPr>
        <w:t xml:space="preserve"> in-person attendance or from outside contexts (e.g., social gatherings). </w:t>
      </w:r>
      <w:r w:rsidR="00284069" w:rsidRPr="0001094A">
        <w:rPr>
          <w:rFonts w:asciiTheme="majorHAnsi" w:hAnsiTheme="majorHAnsi" w:cstheme="majorHAnsi"/>
          <w:sz w:val="21"/>
          <w:szCs w:val="21"/>
        </w:rPr>
        <w:t>To</w:t>
      </w:r>
      <w:r w:rsidRPr="0001094A">
        <w:rPr>
          <w:rFonts w:asciiTheme="majorHAnsi" w:hAnsiTheme="majorHAnsi" w:cstheme="majorHAnsi"/>
          <w:sz w:val="21"/>
          <w:szCs w:val="21"/>
        </w:rPr>
        <w:t xml:space="preserve"> conduct more robust research and evaluation with respect to public health</w:t>
      </w:r>
      <w:r w:rsidR="00616199" w:rsidRPr="0001094A">
        <w:rPr>
          <w:rFonts w:asciiTheme="majorHAnsi" w:hAnsiTheme="majorHAnsi" w:cstheme="majorHAnsi"/>
          <w:sz w:val="21"/>
          <w:szCs w:val="21"/>
        </w:rPr>
        <w:t xml:space="preserve"> emergency</w:t>
      </w:r>
      <w:r w:rsidRPr="0001094A">
        <w:rPr>
          <w:rFonts w:asciiTheme="majorHAnsi" w:hAnsiTheme="majorHAnsi" w:cstheme="majorHAnsi"/>
          <w:sz w:val="21"/>
          <w:szCs w:val="21"/>
        </w:rPr>
        <w:t xml:space="preserve"> response and intervention in the school context, it is essential that rigorous and transparent surveillance systems be built in </w:t>
      </w:r>
      <w:r w:rsidR="00616199" w:rsidRPr="0001094A">
        <w:rPr>
          <w:rFonts w:asciiTheme="majorHAnsi" w:hAnsiTheme="majorHAnsi" w:cstheme="majorHAnsi"/>
          <w:sz w:val="21"/>
          <w:szCs w:val="21"/>
        </w:rPr>
        <w:t xml:space="preserve">collaboration </w:t>
      </w:r>
      <w:r w:rsidRPr="0001094A">
        <w:rPr>
          <w:rFonts w:asciiTheme="majorHAnsi" w:hAnsiTheme="majorHAnsi" w:cstheme="majorHAnsi"/>
          <w:sz w:val="21"/>
          <w:szCs w:val="21"/>
        </w:rPr>
        <w:t>with states, health departments, districts, and schools.</w:t>
      </w:r>
    </w:p>
    <w:p w14:paraId="432ABD66" w14:textId="7A52E0C1" w:rsidR="000755B9" w:rsidRPr="0001094A" w:rsidRDefault="000755B9" w:rsidP="0001094A">
      <w:pPr>
        <w:pStyle w:val="BodyText"/>
        <w:ind w:firstLine="720"/>
        <w:rPr>
          <w:rFonts w:asciiTheme="majorHAnsi" w:hAnsiTheme="majorHAnsi" w:cstheme="majorHAnsi"/>
          <w:sz w:val="21"/>
          <w:szCs w:val="21"/>
        </w:rPr>
      </w:pPr>
      <w:r w:rsidRPr="0001094A">
        <w:rPr>
          <w:rFonts w:asciiTheme="majorHAnsi" w:hAnsiTheme="majorHAnsi" w:cstheme="majorHAnsi"/>
          <w:sz w:val="21"/>
          <w:szCs w:val="21"/>
        </w:rPr>
        <w:t xml:space="preserve">Internet retrieval of publicly available district-level COVID-19 prevention guidance can be an imprecise and resource intensive process subject to error. For instance, our scraping of district websites was limited to the timing that guidance documents were updated, as data were scraped during the fall of 2021, and guidance may have been updated before or after this time. To address this limitation for the current study, we assessed </w:t>
      </w:r>
      <w:r w:rsidR="00F47F06" w:rsidRPr="0001094A">
        <w:rPr>
          <w:rFonts w:asciiTheme="majorHAnsi" w:hAnsiTheme="majorHAnsi" w:cstheme="majorHAnsi"/>
          <w:sz w:val="21"/>
          <w:szCs w:val="21"/>
        </w:rPr>
        <w:t>the date</w:t>
      </w:r>
      <w:r w:rsidRPr="0001094A">
        <w:rPr>
          <w:rFonts w:asciiTheme="majorHAnsi" w:hAnsiTheme="majorHAnsi" w:cstheme="majorHAnsi"/>
          <w:sz w:val="21"/>
          <w:szCs w:val="21"/>
        </w:rPr>
        <w:t xml:space="preserve"> district guidance</w:t>
      </w:r>
      <w:r w:rsidR="00F47F06" w:rsidRPr="0001094A">
        <w:rPr>
          <w:rFonts w:asciiTheme="majorHAnsi" w:hAnsiTheme="majorHAnsi" w:cstheme="majorHAnsi"/>
          <w:sz w:val="21"/>
          <w:szCs w:val="21"/>
        </w:rPr>
        <w:t xml:space="preserve"> </w:t>
      </w:r>
      <w:r w:rsidR="006B352D" w:rsidRPr="0001094A">
        <w:rPr>
          <w:rFonts w:asciiTheme="majorHAnsi" w:hAnsiTheme="majorHAnsi" w:cstheme="majorHAnsi"/>
          <w:sz w:val="21"/>
          <w:szCs w:val="21"/>
        </w:rPr>
        <w:t xml:space="preserve">documents </w:t>
      </w:r>
      <w:r w:rsidR="00F47F06" w:rsidRPr="0001094A">
        <w:rPr>
          <w:rFonts w:asciiTheme="majorHAnsi" w:hAnsiTheme="majorHAnsi" w:cstheme="majorHAnsi"/>
          <w:sz w:val="21"/>
          <w:szCs w:val="21"/>
        </w:rPr>
        <w:t>w</w:t>
      </w:r>
      <w:r w:rsidR="006B352D" w:rsidRPr="0001094A">
        <w:rPr>
          <w:rFonts w:asciiTheme="majorHAnsi" w:hAnsiTheme="majorHAnsi" w:cstheme="majorHAnsi"/>
          <w:sz w:val="21"/>
          <w:szCs w:val="21"/>
        </w:rPr>
        <w:t>ere</w:t>
      </w:r>
      <w:r w:rsidR="00F47F06" w:rsidRPr="0001094A">
        <w:rPr>
          <w:rFonts w:asciiTheme="majorHAnsi" w:hAnsiTheme="majorHAnsi" w:cstheme="majorHAnsi"/>
          <w:sz w:val="21"/>
          <w:szCs w:val="21"/>
        </w:rPr>
        <w:t xml:space="preserve"> </w:t>
      </w:r>
      <w:r w:rsidR="00877BCF" w:rsidRPr="0001094A">
        <w:rPr>
          <w:rFonts w:asciiTheme="majorHAnsi" w:hAnsiTheme="majorHAnsi" w:cstheme="majorHAnsi"/>
          <w:sz w:val="21"/>
          <w:szCs w:val="21"/>
        </w:rPr>
        <w:t xml:space="preserve">created or </w:t>
      </w:r>
      <w:r w:rsidR="0034232F" w:rsidRPr="0001094A">
        <w:rPr>
          <w:rFonts w:asciiTheme="majorHAnsi" w:hAnsiTheme="majorHAnsi" w:cstheme="majorHAnsi"/>
          <w:sz w:val="21"/>
          <w:szCs w:val="21"/>
        </w:rPr>
        <w:t xml:space="preserve">last </w:t>
      </w:r>
      <w:r w:rsidR="00877BCF" w:rsidRPr="0001094A">
        <w:rPr>
          <w:rFonts w:asciiTheme="majorHAnsi" w:hAnsiTheme="majorHAnsi" w:cstheme="majorHAnsi"/>
          <w:sz w:val="21"/>
          <w:szCs w:val="21"/>
        </w:rPr>
        <w:t>updated</w:t>
      </w:r>
      <w:r w:rsidRPr="0001094A">
        <w:rPr>
          <w:rFonts w:asciiTheme="majorHAnsi" w:hAnsiTheme="majorHAnsi" w:cstheme="majorHAnsi"/>
          <w:sz w:val="21"/>
          <w:szCs w:val="21"/>
        </w:rPr>
        <w:t xml:space="preserve"> and their potential association with cases in spring 2022. </w:t>
      </w:r>
    </w:p>
    <w:p w14:paraId="4F29878F" w14:textId="01A998B2" w:rsidR="007677EA" w:rsidRPr="0001094A" w:rsidRDefault="00C876E0" w:rsidP="0001094A">
      <w:pPr>
        <w:pStyle w:val="BodyText"/>
        <w:ind w:firstLine="720"/>
        <w:rPr>
          <w:rFonts w:asciiTheme="majorHAnsi" w:hAnsiTheme="majorHAnsi" w:cstheme="majorHAnsi"/>
          <w:sz w:val="21"/>
          <w:szCs w:val="21"/>
        </w:rPr>
      </w:pPr>
      <w:r w:rsidRPr="0001094A">
        <w:rPr>
          <w:rFonts w:asciiTheme="majorHAnsi" w:hAnsiTheme="majorHAnsi" w:cstheme="majorHAnsi"/>
          <w:sz w:val="21"/>
          <w:szCs w:val="21"/>
        </w:rPr>
        <w:t>In addition</w:t>
      </w:r>
      <w:r w:rsidR="00EA1561" w:rsidRPr="0001094A">
        <w:rPr>
          <w:rFonts w:asciiTheme="majorHAnsi" w:hAnsiTheme="majorHAnsi" w:cstheme="majorHAnsi"/>
          <w:sz w:val="21"/>
          <w:szCs w:val="21"/>
        </w:rPr>
        <w:t xml:space="preserve">, from a modeling perspective the relatively high number of recommended strategies introduced the potential for reporting spurious associations. For example, actively selecting which strategies to include in cumulative indices is subject to researchers’ discretion and therefore the potential for </w:t>
      </w:r>
      <w:r w:rsidR="00C611AF" w:rsidRPr="0001094A">
        <w:rPr>
          <w:rFonts w:asciiTheme="majorHAnsi" w:hAnsiTheme="majorHAnsi" w:cstheme="majorHAnsi"/>
          <w:sz w:val="21"/>
          <w:szCs w:val="21"/>
        </w:rPr>
        <w:t>biase</w:t>
      </w:r>
      <w:r w:rsidR="00875E29" w:rsidRPr="0001094A">
        <w:rPr>
          <w:rFonts w:asciiTheme="majorHAnsi" w:hAnsiTheme="majorHAnsi" w:cstheme="majorHAnsi"/>
          <w:sz w:val="21"/>
          <w:szCs w:val="21"/>
        </w:rPr>
        <w:t>d</w:t>
      </w:r>
      <w:r w:rsidR="00EA1561" w:rsidRPr="0001094A">
        <w:rPr>
          <w:rFonts w:asciiTheme="majorHAnsi" w:hAnsiTheme="majorHAnsi" w:cstheme="majorHAnsi"/>
          <w:sz w:val="21"/>
          <w:szCs w:val="21"/>
        </w:rPr>
        <w:t xml:space="preserve"> results </w:t>
      </w:r>
      <w:r w:rsidR="00284069" w:rsidRPr="0001094A">
        <w:rPr>
          <w:rFonts w:asciiTheme="majorHAnsi" w:hAnsiTheme="majorHAnsi" w:cstheme="majorHAnsi"/>
          <w:sz w:val="21"/>
          <w:szCs w:val="21"/>
        </w:rPr>
        <w:t>remains</w:t>
      </w:r>
      <w:r w:rsidR="00EA1561" w:rsidRPr="0001094A">
        <w:rPr>
          <w:rFonts w:asciiTheme="majorHAnsi" w:hAnsiTheme="majorHAnsi" w:cstheme="majorHAnsi"/>
          <w:sz w:val="21"/>
          <w:szCs w:val="21"/>
        </w:rPr>
        <w:t xml:space="preserve">. The current study attempted to address this possibility by using a Random Forest approach for selecting the most important covariates to be included in modeling. </w:t>
      </w:r>
      <w:r w:rsidRPr="0001094A">
        <w:rPr>
          <w:rFonts w:asciiTheme="majorHAnsi" w:hAnsiTheme="majorHAnsi" w:cstheme="majorHAnsi"/>
          <w:sz w:val="21"/>
          <w:szCs w:val="21"/>
        </w:rPr>
        <w:t>Rather</w:t>
      </w:r>
      <w:r w:rsidR="00EA1561" w:rsidRPr="0001094A">
        <w:rPr>
          <w:rFonts w:asciiTheme="majorHAnsi" w:hAnsiTheme="majorHAnsi" w:cstheme="majorHAnsi"/>
          <w:sz w:val="21"/>
          <w:szCs w:val="21"/>
        </w:rPr>
        <w:t xml:space="preserve"> than relying on a “throw in the kitchen sink” approach to analyzing the strategies of interest, a priori approach was used to assess inclusion of individual prevention strategies within district-level guidance and then to develop cumulative indices from those meeting particular thresholds of association with the outcome (p-values &lt; 0.10 and &lt; 0.20, see appendix for additional tests). Despite these efforts to objectively evaluate </w:t>
      </w:r>
      <w:r w:rsidR="0049618E" w:rsidRPr="0001094A">
        <w:rPr>
          <w:rFonts w:asciiTheme="majorHAnsi" w:hAnsiTheme="majorHAnsi" w:cstheme="majorHAnsi"/>
          <w:sz w:val="21"/>
          <w:szCs w:val="21"/>
        </w:rPr>
        <w:t xml:space="preserve">the impact of </w:t>
      </w:r>
      <w:r w:rsidR="00EA1561" w:rsidRPr="0001094A">
        <w:rPr>
          <w:rFonts w:asciiTheme="majorHAnsi" w:hAnsiTheme="majorHAnsi" w:cstheme="majorHAnsi"/>
          <w:sz w:val="21"/>
          <w:szCs w:val="21"/>
        </w:rPr>
        <w:t>prevention strateg</w:t>
      </w:r>
      <w:r w:rsidR="0049618E" w:rsidRPr="0001094A">
        <w:rPr>
          <w:rFonts w:asciiTheme="majorHAnsi" w:hAnsiTheme="majorHAnsi" w:cstheme="majorHAnsi"/>
          <w:sz w:val="21"/>
          <w:szCs w:val="21"/>
        </w:rPr>
        <w:t>y guidance and implantation</w:t>
      </w:r>
      <w:r w:rsidR="00EA1561" w:rsidRPr="0001094A">
        <w:rPr>
          <w:rFonts w:asciiTheme="majorHAnsi" w:hAnsiTheme="majorHAnsi" w:cstheme="majorHAnsi"/>
          <w:sz w:val="21"/>
          <w:szCs w:val="21"/>
        </w:rPr>
        <w:t xml:space="preserve">, it remains essential that future research be conducted to </w:t>
      </w:r>
      <w:r w:rsidR="0049618E" w:rsidRPr="0001094A">
        <w:rPr>
          <w:rFonts w:asciiTheme="majorHAnsi" w:hAnsiTheme="majorHAnsi" w:cstheme="majorHAnsi"/>
          <w:sz w:val="21"/>
          <w:szCs w:val="21"/>
        </w:rPr>
        <w:t>explore these associations further</w:t>
      </w:r>
      <w:r w:rsidR="00EA1561" w:rsidRPr="0001094A">
        <w:rPr>
          <w:rFonts w:asciiTheme="majorHAnsi" w:hAnsiTheme="majorHAnsi" w:cstheme="majorHAnsi"/>
          <w:sz w:val="21"/>
          <w:szCs w:val="21"/>
        </w:rPr>
        <w:t xml:space="preserve">. While the cumulative index from the 0.5 cutoff had a significant association </w:t>
      </w:r>
      <w:r w:rsidR="0049618E" w:rsidRPr="0001094A">
        <w:rPr>
          <w:rFonts w:asciiTheme="majorHAnsi" w:hAnsiTheme="majorHAnsi" w:cstheme="majorHAnsi"/>
          <w:sz w:val="21"/>
          <w:szCs w:val="21"/>
        </w:rPr>
        <w:t xml:space="preserve">among schools </w:t>
      </w:r>
      <w:r w:rsidR="00EA1561" w:rsidRPr="0001094A">
        <w:rPr>
          <w:rFonts w:asciiTheme="majorHAnsi" w:hAnsiTheme="majorHAnsi" w:cstheme="majorHAnsi"/>
          <w:sz w:val="21"/>
          <w:szCs w:val="21"/>
        </w:rPr>
        <w:t>employing all six strategies, the other cumulative indices did not reach statistical significance</w:t>
      </w:r>
      <w:r w:rsidR="0049618E" w:rsidRPr="0001094A">
        <w:rPr>
          <w:rFonts w:asciiTheme="majorHAnsi" w:hAnsiTheme="majorHAnsi" w:cstheme="majorHAnsi"/>
          <w:sz w:val="21"/>
          <w:szCs w:val="21"/>
        </w:rPr>
        <w:t xml:space="preserve"> (see Appendix)</w:t>
      </w:r>
      <w:r w:rsidR="00EA1561" w:rsidRPr="0001094A">
        <w:rPr>
          <w:rFonts w:asciiTheme="majorHAnsi" w:hAnsiTheme="majorHAnsi" w:cstheme="majorHAnsi"/>
          <w:sz w:val="21"/>
          <w:szCs w:val="21"/>
        </w:rPr>
        <w:t xml:space="preserve">. With this limitation in mind, schools in districts with </w:t>
      </w:r>
      <w:r w:rsidR="0049618E" w:rsidRPr="0001094A">
        <w:rPr>
          <w:rFonts w:asciiTheme="majorHAnsi" w:hAnsiTheme="majorHAnsi" w:cstheme="majorHAnsi"/>
          <w:sz w:val="21"/>
          <w:szCs w:val="21"/>
        </w:rPr>
        <w:t xml:space="preserve">prevention </w:t>
      </w:r>
      <w:r w:rsidR="00EA1561" w:rsidRPr="0001094A">
        <w:rPr>
          <w:rFonts w:asciiTheme="majorHAnsi" w:hAnsiTheme="majorHAnsi" w:cstheme="majorHAnsi"/>
          <w:sz w:val="21"/>
          <w:szCs w:val="21"/>
        </w:rPr>
        <w:t xml:space="preserve">guidance on all five strategies had a reduced change in case rates, suggesting the importance of taking a layered approach to prevention. Future research should </w:t>
      </w:r>
      <w:r w:rsidR="007C73F9" w:rsidRPr="0001094A">
        <w:rPr>
          <w:rFonts w:asciiTheme="majorHAnsi" w:hAnsiTheme="majorHAnsi" w:cstheme="majorHAnsi"/>
          <w:sz w:val="21"/>
          <w:szCs w:val="21"/>
        </w:rPr>
        <w:t>investigate</w:t>
      </w:r>
      <w:r w:rsidR="00EA1561" w:rsidRPr="0001094A">
        <w:rPr>
          <w:rFonts w:asciiTheme="majorHAnsi" w:hAnsiTheme="majorHAnsi" w:cstheme="majorHAnsi"/>
          <w:sz w:val="21"/>
          <w:szCs w:val="21"/>
        </w:rPr>
        <w:t xml:space="preserve"> the benefits to layered prevention approaches to further identify important combinations of strategies, as well as addressing issues associated with limits to availability of data. For example, exploring non-parametric methods may yield additional insights, particularly in the context of outliers (Whitaker et al. 2020). Using the current methodology, we removed five observations that were greater than 3.5 standard deviations from the mean. Including these observations in the sample resulted in models where none of the strategies, cumulative index, or covariates were statistically significant.</w:t>
      </w:r>
    </w:p>
    <w:p w14:paraId="0F9809C6" w14:textId="2A3695FA" w:rsidR="3F7FE85D" w:rsidRDefault="3F7FE85D" w:rsidP="6CC4C59F">
      <w:pPr>
        <w:pStyle w:val="BodyText"/>
        <w:spacing w:line="480" w:lineRule="auto"/>
        <w:rPr>
          <w:b/>
          <w:bCs/>
        </w:rPr>
      </w:pPr>
      <w:r w:rsidRPr="6CC4C59F">
        <w:rPr>
          <w:b/>
          <w:bCs/>
        </w:rPr>
        <w:t>Conclusion</w:t>
      </w:r>
    </w:p>
    <w:p w14:paraId="7627EFE9" w14:textId="40B613AB" w:rsidR="00615D85" w:rsidRPr="0001094A" w:rsidRDefault="3F7FE85D" w:rsidP="0001094A">
      <w:pPr>
        <w:pStyle w:val="BodyText"/>
        <w:ind w:firstLine="720"/>
        <w:rPr>
          <w:rFonts w:asciiTheme="majorHAnsi" w:hAnsiTheme="majorHAnsi" w:cstheme="majorHAnsi"/>
          <w:sz w:val="21"/>
          <w:szCs w:val="21"/>
        </w:rPr>
        <w:sectPr w:rsidR="00615D85" w:rsidRPr="0001094A" w:rsidSect="0049225F">
          <w:footerReference w:type="default" r:id="rId12"/>
          <w:pgSz w:w="12240" w:h="15840"/>
          <w:pgMar w:top="1440" w:right="1440" w:bottom="1440" w:left="1440" w:header="720" w:footer="720" w:gutter="0"/>
          <w:cols w:space="720"/>
          <w:titlePg/>
          <w:docGrid w:linePitch="326"/>
        </w:sectPr>
      </w:pPr>
      <w:r w:rsidRPr="0001094A">
        <w:rPr>
          <w:rFonts w:asciiTheme="majorHAnsi" w:hAnsiTheme="majorHAnsi" w:cstheme="majorHAnsi"/>
          <w:sz w:val="21"/>
          <w:szCs w:val="21"/>
        </w:rPr>
        <w:t xml:space="preserve">Despite these limitations, this study provides a baseline understanding of the impact </w:t>
      </w:r>
      <w:r w:rsidR="13596428" w:rsidRPr="0001094A">
        <w:rPr>
          <w:rFonts w:asciiTheme="majorHAnsi" w:hAnsiTheme="majorHAnsi" w:cstheme="majorHAnsi"/>
          <w:sz w:val="21"/>
          <w:szCs w:val="21"/>
        </w:rPr>
        <w:t xml:space="preserve">district </w:t>
      </w:r>
      <w:r w:rsidRPr="0001094A">
        <w:rPr>
          <w:rFonts w:asciiTheme="majorHAnsi" w:hAnsiTheme="majorHAnsi" w:cstheme="majorHAnsi"/>
          <w:sz w:val="21"/>
          <w:szCs w:val="21"/>
        </w:rPr>
        <w:t>polic</w:t>
      </w:r>
      <w:r w:rsidR="00964E67" w:rsidRPr="0001094A">
        <w:rPr>
          <w:rFonts w:asciiTheme="majorHAnsi" w:hAnsiTheme="majorHAnsi" w:cstheme="majorHAnsi"/>
          <w:sz w:val="21"/>
          <w:szCs w:val="21"/>
        </w:rPr>
        <w:t xml:space="preserve">y </w:t>
      </w:r>
      <w:r w:rsidR="00DE6289" w:rsidRPr="0001094A">
        <w:rPr>
          <w:rFonts w:asciiTheme="majorHAnsi" w:hAnsiTheme="majorHAnsi" w:cstheme="majorHAnsi"/>
          <w:sz w:val="21"/>
          <w:szCs w:val="21"/>
        </w:rPr>
        <w:t xml:space="preserve">and prevention </w:t>
      </w:r>
      <w:r w:rsidR="00964E67" w:rsidRPr="0001094A">
        <w:rPr>
          <w:rFonts w:asciiTheme="majorHAnsi" w:hAnsiTheme="majorHAnsi" w:cstheme="majorHAnsi"/>
          <w:sz w:val="21"/>
          <w:szCs w:val="21"/>
        </w:rPr>
        <w:t>guidance</w:t>
      </w:r>
      <w:r w:rsidR="51112620" w:rsidRPr="0001094A">
        <w:rPr>
          <w:rFonts w:asciiTheme="majorHAnsi" w:hAnsiTheme="majorHAnsi" w:cstheme="majorHAnsi"/>
          <w:sz w:val="21"/>
          <w:szCs w:val="21"/>
        </w:rPr>
        <w:t xml:space="preserve"> can</w:t>
      </w:r>
      <w:r w:rsidRPr="0001094A">
        <w:rPr>
          <w:rFonts w:asciiTheme="majorHAnsi" w:hAnsiTheme="majorHAnsi" w:cstheme="majorHAnsi"/>
          <w:sz w:val="21"/>
          <w:szCs w:val="21"/>
        </w:rPr>
        <w:t xml:space="preserve"> ha</w:t>
      </w:r>
      <w:r w:rsidR="70E88198" w:rsidRPr="0001094A">
        <w:rPr>
          <w:rFonts w:asciiTheme="majorHAnsi" w:hAnsiTheme="majorHAnsi" w:cstheme="majorHAnsi"/>
          <w:sz w:val="21"/>
          <w:szCs w:val="21"/>
        </w:rPr>
        <w:t>ve</w:t>
      </w:r>
      <w:r w:rsidRPr="0001094A">
        <w:rPr>
          <w:rFonts w:asciiTheme="majorHAnsi" w:hAnsiTheme="majorHAnsi" w:cstheme="majorHAnsi"/>
          <w:sz w:val="21"/>
          <w:szCs w:val="21"/>
        </w:rPr>
        <w:t xml:space="preserve"> on </w:t>
      </w:r>
      <w:r w:rsidR="77BE372A" w:rsidRPr="0001094A">
        <w:rPr>
          <w:rFonts w:asciiTheme="majorHAnsi" w:hAnsiTheme="majorHAnsi" w:cstheme="majorHAnsi"/>
          <w:sz w:val="21"/>
          <w:szCs w:val="21"/>
        </w:rPr>
        <w:t xml:space="preserve">COVID-19 prevention. </w:t>
      </w:r>
      <w:r w:rsidR="28BCC329" w:rsidRPr="0001094A">
        <w:rPr>
          <w:rFonts w:asciiTheme="majorHAnsi" w:hAnsiTheme="majorHAnsi" w:cstheme="majorHAnsi"/>
          <w:sz w:val="21"/>
          <w:szCs w:val="21"/>
        </w:rPr>
        <w:t xml:space="preserve">Layering </w:t>
      </w:r>
      <w:r w:rsidR="04A4970C" w:rsidRPr="0001094A">
        <w:rPr>
          <w:rFonts w:asciiTheme="majorHAnsi" w:hAnsiTheme="majorHAnsi" w:cstheme="majorHAnsi"/>
          <w:sz w:val="21"/>
          <w:szCs w:val="21"/>
        </w:rPr>
        <w:t>COVID-19 prevention strategies, in combination with district</w:t>
      </w:r>
      <w:r w:rsidR="00DE6289" w:rsidRPr="0001094A">
        <w:rPr>
          <w:rFonts w:asciiTheme="majorHAnsi" w:hAnsiTheme="majorHAnsi" w:cstheme="majorHAnsi"/>
          <w:sz w:val="21"/>
          <w:szCs w:val="21"/>
        </w:rPr>
        <w:t>-level guidance</w:t>
      </w:r>
      <w:r w:rsidR="04A4970C" w:rsidRPr="0001094A">
        <w:rPr>
          <w:rFonts w:asciiTheme="majorHAnsi" w:hAnsiTheme="majorHAnsi" w:cstheme="majorHAnsi"/>
          <w:sz w:val="21"/>
          <w:szCs w:val="21"/>
        </w:rPr>
        <w:t>,</w:t>
      </w:r>
      <w:r w:rsidR="0BC271C3" w:rsidRPr="0001094A">
        <w:rPr>
          <w:rFonts w:asciiTheme="majorHAnsi" w:hAnsiTheme="majorHAnsi" w:cstheme="majorHAnsi"/>
          <w:sz w:val="21"/>
          <w:szCs w:val="21"/>
        </w:rPr>
        <w:t xml:space="preserve"> </w:t>
      </w:r>
      <w:r w:rsidR="391D6A5D" w:rsidRPr="0001094A">
        <w:rPr>
          <w:rFonts w:asciiTheme="majorHAnsi" w:hAnsiTheme="majorHAnsi" w:cstheme="majorHAnsi"/>
          <w:sz w:val="21"/>
          <w:szCs w:val="21"/>
        </w:rPr>
        <w:t>was associated with a smaller increase</w:t>
      </w:r>
      <w:r w:rsidR="00CF3A08" w:rsidRPr="0001094A">
        <w:rPr>
          <w:rFonts w:asciiTheme="majorHAnsi" w:hAnsiTheme="majorHAnsi" w:cstheme="majorHAnsi"/>
          <w:sz w:val="21"/>
          <w:szCs w:val="21"/>
        </w:rPr>
        <w:t>d change</w:t>
      </w:r>
      <w:r w:rsidR="391D6A5D" w:rsidRPr="0001094A">
        <w:rPr>
          <w:rFonts w:asciiTheme="majorHAnsi" w:hAnsiTheme="majorHAnsi" w:cstheme="majorHAnsi"/>
          <w:sz w:val="21"/>
          <w:szCs w:val="21"/>
        </w:rPr>
        <w:t xml:space="preserve"> in COVID-19 case rates. </w:t>
      </w:r>
      <w:r w:rsidR="13274F50" w:rsidRPr="0001094A">
        <w:rPr>
          <w:rFonts w:asciiTheme="majorHAnsi" w:hAnsiTheme="majorHAnsi" w:cstheme="majorHAnsi"/>
          <w:sz w:val="21"/>
          <w:szCs w:val="21"/>
        </w:rPr>
        <w:t xml:space="preserve">This study provides evidence and support for </w:t>
      </w:r>
      <w:r w:rsidR="00676BD1" w:rsidRPr="0001094A">
        <w:rPr>
          <w:rFonts w:asciiTheme="majorHAnsi" w:hAnsiTheme="majorHAnsi" w:cstheme="majorHAnsi"/>
          <w:sz w:val="21"/>
          <w:szCs w:val="21"/>
        </w:rPr>
        <w:t xml:space="preserve">improving </w:t>
      </w:r>
      <w:r w:rsidR="13274F50" w:rsidRPr="0001094A">
        <w:rPr>
          <w:rFonts w:asciiTheme="majorHAnsi" w:hAnsiTheme="majorHAnsi" w:cstheme="majorHAnsi"/>
          <w:sz w:val="21"/>
          <w:szCs w:val="21"/>
        </w:rPr>
        <w:t>school districts</w:t>
      </w:r>
      <w:r w:rsidR="00FD436B" w:rsidRPr="0001094A">
        <w:rPr>
          <w:rFonts w:asciiTheme="majorHAnsi" w:hAnsiTheme="majorHAnsi" w:cstheme="majorHAnsi"/>
          <w:sz w:val="21"/>
          <w:szCs w:val="21"/>
        </w:rPr>
        <w:t xml:space="preserve"> capacity</w:t>
      </w:r>
      <w:r w:rsidR="13274F50" w:rsidRPr="0001094A">
        <w:rPr>
          <w:rFonts w:asciiTheme="majorHAnsi" w:hAnsiTheme="majorHAnsi" w:cstheme="majorHAnsi"/>
          <w:sz w:val="21"/>
          <w:szCs w:val="21"/>
        </w:rPr>
        <w:t xml:space="preserve"> to </w:t>
      </w:r>
      <w:r w:rsidR="60699BAD" w:rsidRPr="0001094A">
        <w:rPr>
          <w:rFonts w:asciiTheme="majorHAnsi" w:hAnsiTheme="majorHAnsi" w:cstheme="majorHAnsi"/>
          <w:sz w:val="21"/>
          <w:szCs w:val="21"/>
        </w:rPr>
        <w:t xml:space="preserve">develop </w:t>
      </w:r>
      <w:r w:rsidR="00A12764" w:rsidRPr="0001094A">
        <w:rPr>
          <w:rFonts w:asciiTheme="majorHAnsi" w:hAnsiTheme="majorHAnsi" w:cstheme="majorHAnsi"/>
          <w:sz w:val="21"/>
          <w:szCs w:val="21"/>
        </w:rPr>
        <w:t>clear policies</w:t>
      </w:r>
      <w:r w:rsidR="60699BAD" w:rsidRPr="0001094A">
        <w:rPr>
          <w:rFonts w:asciiTheme="majorHAnsi" w:hAnsiTheme="majorHAnsi" w:cstheme="majorHAnsi"/>
          <w:sz w:val="21"/>
          <w:szCs w:val="21"/>
        </w:rPr>
        <w:t xml:space="preserve"> to improve schools’</w:t>
      </w:r>
      <w:r w:rsidR="1D8B633C" w:rsidRPr="0001094A">
        <w:rPr>
          <w:rFonts w:asciiTheme="majorHAnsi" w:hAnsiTheme="majorHAnsi" w:cstheme="majorHAnsi"/>
          <w:sz w:val="21"/>
          <w:szCs w:val="21"/>
        </w:rPr>
        <w:t xml:space="preserve"> public health emergency preparedness and response capabilities</w:t>
      </w:r>
      <w:r w:rsidR="798F2201" w:rsidRPr="0001094A">
        <w:rPr>
          <w:rFonts w:asciiTheme="majorHAnsi" w:hAnsiTheme="majorHAnsi" w:cstheme="majorHAnsi"/>
          <w:sz w:val="21"/>
          <w:szCs w:val="21"/>
        </w:rPr>
        <w:t>.</w:t>
      </w:r>
      <w:bookmarkStart w:id="10" w:name="appendix"/>
      <w:bookmarkEnd w:id="9"/>
      <w:r w:rsidR="00371759" w:rsidRPr="0001094A">
        <w:rPr>
          <w:rFonts w:asciiTheme="majorHAnsi" w:hAnsiTheme="majorHAnsi" w:cstheme="majorHAnsi"/>
          <w:sz w:val="21"/>
          <w:szCs w:val="21"/>
        </w:rPr>
        <w:br w:type="page"/>
      </w:r>
    </w:p>
    <w:p w14:paraId="4F298792" w14:textId="0F4D97F4" w:rsidR="007677EA" w:rsidRPr="00F679EB" w:rsidRDefault="00EA1561">
      <w:pPr>
        <w:pStyle w:val="Heading2"/>
        <w:rPr>
          <w:sz w:val="24"/>
          <w:szCs w:val="24"/>
        </w:rPr>
      </w:pPr>
      <w:r w:rsidRPr="00F679EB">
        <w:rPr>
          <w:sz w:val="24"/>
          <w:szCs w:val="24"/>
        </w:rPr>
        <w:lastRenderedPageBreak/>
        <w:t>Appendix</w:t>
      </w:r>
    </w:p>
    <w:p w14:paraId="7044BD9D" w14:textId="77777777" w:rsidR="00F679EB" w:rsidRDefault="00F679EB">
      <w:pPr>
        <w:pStyle w:val="TableCaption"/>
        <w:jc w:val="center"/>
      </w:pPr>
    </w:p>
    <w:p w14:paraId="48B04AE5" w14:textId="77777777" w:rsidR="00F679EB" w:rsidRDefault="00F679EB">
      <w:pPr>
        <w:pStyle w:val="TableCaption"/>
        <w:jc w:val="center"/>
      </w:pPr>
    </w:p>
    <w:p w14:paraId="4F298793" w14:textId="182B1AD0" w:rsidR="007677EA" w:rsidRDefault="00EA1561">
      <w:pPr>
        <w:pStyle w:val="TableCaption"/>
        <w:jc w:val="center"/>
      </w:pPr>
      <w:r>
        <w:t>Results of multilevel models with cumulative indices of thresholds 0.5, .06, 0.7, 0.8, and 1</w:t>
      </w:r>
    </w:p>
    <w:tbl>
      <w:tblPr>
        <w:tblW w:w="12465" w:type="dxa"/>
        <w:jc w:val="center"/>
        <w:tblLayout w:type="fixed"/>
        <w:tblLook w:val="0420" w:firstRow="1" w:lastRow="0" w:firstColumn="0" w:lastColumn="0" w:noHBand="0" w:noVBand="1"/>
      </w:tblPr>
      <w:tblGrid>
        <w:gridCol w:w="1035"/>
        <w:gridCol w:w="1350"/>
        <w:gridCol w:w="765"/>
        <w:gridCol w:w="1395"/>
        <w:gridCol w:w="855"/>
        <w:gridCol w:w="1373"/>
        <w:gridCol w:w="900"/>
        <w:gridCol w:w="1462"/>
        <w:gridCol w:w="990"/>
        <w:gridCol w:w="1418"/>
        <w:gridCol w:w="922"/>
      </w:tblGrid>
      <w:tr w:rsidR="002A2845" w:rsidRPr="00712ED3" w14:paraId="4F29879F" w14:textId="77777777" w:rsidTr="00A47D49">
        <w:trPr>
          <w:tblHeader/>
          <w:jc w:val="center"/>
        </w:trPr>
        <w:tc>
          <w:tcPr>
            <w:tcW w:w="103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94" w14:textId="4A2C28BB" w:rsidR="007677EA" w:rsidRPr="00712ED3" w:rsidRDefault="00340F0D"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Pr>
                <w:rFonts w:ascii="Times New Roman" w:eastAsia="Times New Roman" w:hAnsi="Times New Roman" w:cs="Times New Roman"/>
                <w:color w:val="000000"/>
                <w:sz w:val="20"/>
                <w:szCs w:val="20"/>
              </w:rPr>
              <w:t>N</w:t>
            </w:r>
            <w:r w:rsidR="00EA1561" w:rsidRPr="00712ED3">
              <w:rPr>
                <w:rFonts w:ascii="Times New Roman" w:eastAsia="Times New Roman" w:hAnsi="Times New Roman" w:cs="Times New Roman"/>
                <w:color w:val="000000"/>
                <w:sz w:val="20"/>
                <w:szCs w:val="20"/>
              </w:rPr>
              <w:t>umber strategies</w:t>
            </w:r>
          </w:p>
        </w:tc>
        <w:tc>
          <w:tcPr>
            <w:tcW w:w="13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95" w14:textId="6660C14F"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Times New Roman" w:eastAsia="Times New Roman" w:hAnsi="Times New Roman" w:cs="Times New Roman"/>
                <w:color w:val="000000"/>
                <w:sz w:val="20"/>
                <w:szCs w:val="20"/>
              </w:rPr>
              <w:t>Coefficient (95% CI)</w:t>
            </w:r>
          </w:p>
        </w:tc>
        <w:tc>
          <w:tcPr>
            <w:tcW w:w="76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96" w14:textId="40A99841" w:rsidR="007677EA" w:rsidRPr="00712ED3" w:rsidRDefault="00340F0D"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Pr>
                <w:rFonts w:ascii="Times New Roman" w:eastAsia="Times New Roman" w:hAnsi="Times New Roman" w:cs="Times New Roman"/>
                <w:color w:val="000000"/>
                <w:sz w:val="20"/>
                <w:szCs w:val="20"/>
              </w:rPr>
              <w:t>p</w:t>
            </w:r>
            <w:r w:rsidR="00EA1561" w:rsidRPr="00712ED3">
              <w:rPr>
                <w:rFonts w:ascii="Times New Roman" w:eastAsia="Times New Roman" w:hAnsi="Times New Roman" w:cs="Times New Roman"/>
                <w:color w:val="000000"/>
                <w:sz w:val="20"/>
                <w:szCs w:val="20"/>
              </w:rPr>
              <w:t>-value</w:t>
            </w:r>
          </w:p>
        </w:tc>
        <w:tc>
          <w:tcPr>
            <w:tcW w:w="139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97" w14:textId="6E44632B"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Times New Roman" w:eastAsia="Times New Roman" w:hAnsi="Times New Roman" w:cs="Times New Roman"/>
                <w:color w:val="000000"/>
                <w:sz w:val="20"/>
                <w:szCs w:val="20"/>
              </w:rPr>
              <w:t>Coefficient (95% CI)</w:t>
            </w:r>
          </w:p>
        </w:tc>
        <w:tc>
          <w:tcPr>
            <w:tcW w:w="85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98" w14:textId="0675713F"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Times New Roman" w:eastAsia="Times New Roman" w:hAnsi="Times New Roman" w:cs="Times New Roman"/>
                <w:color w:val="000000"/>
                <w:sz w:val="20"/>
                <w:szCs w:val="20"/>
              </w:rPr>
              <w:t>p-value</w:t>
            </w:r>
          </w:p>
        </w:tc>
        <w:tc>
          <w:tcPr>
            <w:tcW w:w="137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99" w14:textId="3A0E2B73"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Times New Roman" w:eastAsia="Times New Roman" w:hAnsi="Times New Roman" w:cs="Times New Roman"/>
                <w:color w:val="000000"/>
                <w:sz w:val="20"/>
                <w:szCs w:val="20"/>
              </w:rPr>
              <w:t>Coefficient (95% CI)</w:t>
            </w:r>
          </w:p>
        </w:tc>
        <w:tc>
          <w:tcPr>
            <w:tcW w:w="90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9A" w14:textId="0CD2AA94"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Times New Roman" w:eastAsia="Times New Roman" w:hAnsi="Times New Roman" w:cs="Times New Roman"/>
                <w:color w:val="000000"/>
                <w:sz w:val="20"/>
                <w:szCs w:val="20"/>
              </w:rPr>
              <w:t>p-value</w:t>
            </w:r>
          </w:p>
        </w:tc>
        <w:tc>
          <w:tcPr>
            <w:tcW w:w="146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4E057EB" w14:textId="77777777"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Times New Roman" w:eastAsia="Times New Roman" w:hAnsi="Times New Roman" w:cs="Times New Roman"/>
                <w:color w:val="000000"/>
                <w:sz w:val="20"/>
                <w:szCs w:val="20"/>
              </w:rPr>
            </w:pPr>
            <w:r w:rsidRPr="00712ED3">
              <w:rPr>
                <w:rFonts w:ascii="Times New Roman" w:eastAsia="Times New Roman" w:hAnsi="Times New Roman" w:cs="Times New Roman"/>
                <w:color w:val="000000"/>
                <w:sz w:val="20"/>
                <w:szCs w:val="20"/>
              </w:rPr>
              <w:t>Coefficient</w:t>
            </w:r>
          </w:p>
          <w:p w14:paraId="4F29879B" w14:textId="6FADAD5A"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Times New Roman" w:eastAsia="Times New Roman" w:hAnsi="Times New Roman" w:cs="Times New Roman"/>
                <w:color w:val="000000"/>
                <w:sz w:val="20"/>
                <w:szCs w:val="20"/>
              </w:rPr>
              <w:t>(95% CI)</w:t>
            </w:r>
          </w:p>
        </w:tc>
        <w:tc>
          <w:tcPr>
            <w:tcW w:w="99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9C" w14:textId="0BC91380"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Times New Roman" w:eastAsia="Times New Roman" w:hAnsi="Times New Roman" w:cs="Times New Roman"/>
                <w:color w:val="000000"/>
                <w:sz w:val="20"/>
                <w:szCs w:val="20"/>
              </w:rPr>
              <w:t>p-value</w:t>
            </w:r>
          </w:p>
        </w:tc>
        <w:tc>
          <w:tcPr>
            <w:tcW w:w="141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052A4F1" w14:textId="77777777"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Times New Roman" w:eastAsia="Times New Roman" w:hAnsi="Times New Roman" w:cs="Times New Roman"/>
                <w:color w:val="000000"/>
                <w:sz w:val="20"/>
                <w:szCs w:val="20"/>
              </w:rPr>
            </w:pPr>
            <w:r w:rsidRPr="00712ED3">
              <w:rPr>
                <w:rFonts w:ascii="Times New Roman" w:eastAsia="Times New Roman" w:hAnsi="Times New Roman" w:cs="Times New Roman"/>
                <w:color w:val="000000"/>
                <w:sz w:val="20"/>
                <w:szCs w:val="20"/>
              </w:rPr>
              <w:t>Coefficient</w:t>
            </w:r>
          </w:p>
          <w:p w14:paraId="4F29879D" w14:textId="30ACCD74"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Times New Roman" w:eastAsia="Times New Roman" w:hAnsi="Times New Roman" w:cs="Times New Roman"/>
                <w:color w:val="000000"/>
                <w:sz w:val="20"/>
                <w:szCs w:val="20"/>
              </w:rPr>
              <w:t>(95% CI)</w:t>
            </w:r>
          </w:p>
        </w:tc>
        <w:tc>
          <w:tcPr>
            <w:tcW w:w="92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9E" w14:textId="48DAB2CE"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Times New Roman" w:eastAsia="Times New Roman" w:hAnsi="Times New Roman" w:cs="Times New Roman"/>
                <w:color w:val="000000"/>
                <w:sz w:val="20"/>
                <w:szCs w:val="20"/>
              </w:rPr>
              <w:t>p-value</w:t>
            </w:r>
          </w:p>
        </w:tc>
      </w:tr>
      <w:tr w:rsidR="00F175C5" w:rsidRPr="00712ED3" w14:paraId="3AAE05A2" w14:textId="77777777" w:rsidTr="00A47D49">
        <w:trPr>
          <w:tblHeader/>
          <w:jc w:val="center"/>
        </w:trPr>
        <w:tc>
          <w:tcPr>
            <w:tcW w:w="103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905EC0B" w14:textId="57A8EEAA" w:rsidR="002A2845" w:rsidRPr="00712ED3" w:rsidRDefault="002A2845" w:rsidP="002A2845">
            <w:pPr>
              <w:pBdr>
                <w:top w:val="none" w:sz="0" w:space="0" w:color="000000"/>
                <w:left w:val="none" w:sz="0" w:space="0" w:color="000000"/>
                <w:bottom w:val="none" w:sz="0" w:space="0" w:color="000000"/>
                <w:right w:val="none" w:sz="0" w:space="0" w:color="000000"/>
              </w:pBdr>
              <w:spacing w:after="0"/>
              <w:ind w:left="100" w:right="10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Index cutoffs</w:t>
            </w:r>
          </w:p>
        </w:tc>
        <w:tc>
          <w:tcPr>
            <w:tcW w:w="13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B7F905" w14:textId="583CAF57" w:rsidR="002A2845" w:rsidRPr="00712ED3" w:rsidRDefault="002A2845" w:rsidP="002A2845">
            <w:pPr>
              <w:pBdr>
                <w:top w:val="none" w:sz="0" w:space="0" w:color="000000"/>
                <w:left w:val="none" w:sz="0" w:space="0" w:color="000000"/>
                <w:bottom w:val="none" w:sz="0" w:space="0" w:color="000000"/>
                <w:right w:val="none" w:sz="0" w:space="0" w:color="000000"/>
              </w:pBdr>
              <w:spacing w:after="0"/>
              <w:ind w:left="100" w:right="100"/>
              <w:jc w:val="center"/>
              <w:rPr>
                <w:rFonts w:ascii="Times New Roman" w:eastAsia="Times New Roman" w:hAnsi="Times New Roman" w:cs="Times New Roman"/>
                <w:color w:val="000000"/>
                <w:sz w:val="20"/>
                <w:szCs w:val="20"/>
              </w:rPr>
            </w:pPr>
          </w:p>
        </w:tc>
        <w:tc>
          <w:tcPr>
            <w:tcW w:w="765" w:type="dxa"/>
            <w:tcBorders>
              <w:top w:val="single" w:sz="4" w:space="0" w:color="auto"/>
              <w:bottom w:val="single" w:sz="4" w:space="0" w:color="auto"/>
            </w:tcBorders>
            <w:shd w:val="clear" w:color="auto" w:fill="FFFFFF"/>
            <w:vAlign w:val="center"/>
          </w:tcPr>
          <w:p w14:paraId="1593C8C7" w14:textId="70D0152F" w:rsidR="002A2845" w:rsidRPr="00712ED3" w:rsidRDefault="002A2845" w:rsidP="002A2845">
            <w:pPr>
              <w:pBdr>
                <w:top w:val="none" w:sz="0" w:space="0" w:color="000000"/>
                <w:left w:val="none" w:sz="0" w:space="0" w:color="000000"/>
                <w:bottom w:val="none" w:sz="0" w:space="0" w:color="000000"/>
                <w:right w:val="none" w:sz="0" w:space="0" w:color="000000"/>
              </w:pBdr>
              <w:spacing w:after="0"/>
              <w:ind w:left="100" w:right="100"/>
              <w:jc w:val="center"/>
              <w:rPr>
                <w:rFonts w:ascii="Times New Roman" w:eastAsia="Times New Roman" w:hAnsi="Times New Roman" w:cs="Times New Roman"/>
                <w:color w:val="000000"/>
                <w:sz w:val="20"/>
                <w:szCs w:val="20"/>
              </w:rPr>
            </w:pPr>
            <w:r w:rsidRPr="002A2845">
              <w:rPr>
                <w:rFonts w:ascii="Times New Roman" w:eastAsia="Times New Roman" w:hAnsi="Times New Roman" w:cs="Times New Roman"/>
                <w:color w:val="000000"/>
                <w:sz w:val="20"/>
                <w:szCs w:val="20"/>
              </w:rPr>
              <w:t>0.5</w:t>
            </w:r>
          </w:p>
        </w:tc>
        <w:tc>
          <w:tcPr>
            <w:tcW w:w="139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22A0A54" w14:textId="66D2F0DF" w:rsidR="002A2845" w:rsidRPr="00712ED3" w:rsidRDefault="002A2845" w:rsidP="002A2845">
            <w:pPr>
              <w:pBdr>
                <w:top w:val="none" w:sz="0" w:space="0" w:color="000000"/>
                <w:left w:val="none" w:sz="0" w:space="0" w:color="000000"/>
                <w:bottom w:val="none" w:sz="0" w:space="0" w:color="000000"/>
                <w:right w:val="none" w:sz="0" w:space="0" w:color="000000"/>
              </w:pBdr>
              <w:spacing w:after="0"/>
              <w:ind w:left="100" w:right="100"/>
              <w:jc w:val="center"/>
              <w:rPr>
                <w:rFonts w:ascii="Times New Roman" w:eastAsia="Times New Roman" w:hAnsi="Times New Roman" w:cs="Times New Roman"/>
                <w:color w:val="000000"/>
                <w:sz w:val="20"/>
                <w:szCs w:val="20"/>
              </w:rPr>
            </w:pPr>
          </w:p>
        </w:tc>
        <w:tc>
          <w:tcPr>
            <w:tcW w:w="855" w:type="dxa"/>
            <w:tcBorders>
              <w:top w:val="single" w:sz="4" w:space="0" w:color="auto"/>
              <w:bottom w:val="single" w:sz="4" w:space="0" w:color="auto"/>
            </w:tcBorders>
            <w:shd w:val="clear" w:color="auto" w:fill="FFFFFF"/>
            <w:vAlign w:val="center"/>
          </w:tcPr>
          <w:p w14:paraId="0CB4741F" w14:textId="79C9A647" w:rsidR="002A2845" w:rsidRPr="00712ED3" w:rsidRDefault="002A2845" w:rsidP="002A2845">
            <w:pPr>
              <w:pBdr>
                <w:top w:val="none" w:sz="0" w:space="0" w:color="000000"/>
                <w:left w:val="none" w:sz="0" w:space="0" w:color="000000"/>
                <w:bottom w:val="none" w:sz="0" w:space="0" w:color="000000"/>
                <w:right w:val="none" w:sz="0" w:space="0" w:color="000000"/>
              </w:pBdr>
              <w:spacing w:after="0"/>
              <w:ind w:left="100" w:right="10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w:t>
            </w:r>
          </w:p>
        </w:tc>
        <w:tc>
          <w:tcPr>
            <w:tcW w:w="137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1D784D5" w14:textId="5D393954" w:rsidR="002A2845" w:rsidRPr="00712ED3" w:rsidRDefault="002A2845" w:rsidP="002A2845">
            <w:pPr>
              <w:pBdr>
                <w:top w:val="none" w:sz="0" w:space="0" w:color="000000"/>
                <w:left w:val="none" w:sz="0" w:space="0" w:color="000000"/>
                <w:bottom w:val="none" w:sz="0" w:space="0" w:color="000000"/>
                <w:right w:val="none" w:sz="0" w:space="0" w:color="000000"/>
              </w:pBdr>
              <w:spacing w:after="0"/>
              <w:ind w:left="100" w:right="100"/>
              <w:jc w:val="center"/>
              <w:rPr>
                <w:rFonts w:ascii="Times New Roman" w:eastAsia="Times New Roman" w:hAnsi="Times New Roman" w:cs="Times New Roman"/>
                <w:color w:val="000000"/>
                <w:sz w:val="20"/>
                <w:szCs w:val="20"/>
              </w:rPr>
            </w:pPr>
          </w:p>
        </w:tc>
        <w:tc>
          <w:tcPr>
            <w:tcW w:w="90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40FA25D" w14:textId="77593696" w:rsidR="002A2845" w:rsidRPr="00712ED3" w:rsidRDefault="002A2845" w:rsidP="002A2845">
            <w:pPr>
              <w:pBdr>
                <w:top w:val="none" w:sz="0" w:space="0" w:color="000000"/>
                <w:left w:val="none" w:sz="0" w:space="0" w:color="000000"/>
                <w:bottom w:val="none" w:sz="0" w:space="0" w:color="000000"/>
                <w:right w:val="none" w:sz="0" w:space="0" w:color="000000"/>
              </w:pBdr>
              <w:spacing w:after="0"/>
              <w:ind w:left="100" w:right="10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w:t>
            </w:r>
          </w:p>
        </w:tc>
        <w:tc>
          <w:tcPr>
            <w:tcW w:w="146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6D4B277" w14:textId="3D299C0C" w:rsidR="002A2845" w:rsidRPr="00712ED3" w:rsidRDefault="002A2845" w:rsidP="002A2845">
            <w:pPr>
              <w:pBdr>
                <w:top w:val="none" w:sz="0" w:space="0" w:color="000000"/>
                <w:left w:val="none" w:sz="0" w:space="0" w:color="000000"/>
                <w:bottom w:val="none" w:sz="0" w:space="0" w:color="000000"/>
                <w:right w:val="none" w:sz="0" w:space="0" w:color="000000"/>
              </w:pBdr>
              <w:spacing w:after="0"/>
              <w:ind w:left="100" w:right="100"/>
              <w:jc w:val="center"/>
              <w:rPr>
                <w:rFonts w:ascii="Times New Roman" w:eastAsia="Times New Roman" w:hAnsi="Times New Roman" w:cs="Times New Roman"/>
                <w:color w:val="000000"/>
                <w:sz w:val="20"/>
                <w:szCs w:val="20"/>
              </w:rPr>
            </w:pPr>
          </w:p>
        </w:tc>
        <w:tc>
          <w:tcPr>
            <w:tcW w:w="99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8CF4031" w14:textId="005452A7" w:rsidR="002A2845" w:rsidRPr="00712ED3" w:rsidRDefault="002A2845" w:rsidP="002A2845">
            <w:pPr>
              <w:pBdr>
                <w:top w:val="none" w:sz="0" w:space="0" w:color="000000"/>
                <w:left w:val="none" w:sz="0" w:space="0" w:color="000000"/>
                <w:bottom w:val="none" w:sz="0" w:space="0" w:color="000000"/>
                <w:right w:val="none" w:sz="0" w:space="0" w:color="000000"/>
              </w:pBdr>
              <w:spacing w:after="0"/>
              <w:ind w:left="100" w:right="10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0.8</w:t>
            </w:r>
          </w:p>
        </w:tc>
        <w:tc>
          <w:tcPr>
            <w:tcW w:w="141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668A271" w14:textId="05711F55" w:rsidR="002A2845" w:rsidRPr="00712ED3" w:rsidRDefault="002A2845" w:rsidP="002A2845">
            <w:pPr>
              <w:pBdr>
                <w:top w:val="none" w:sz="0" w:space="0" w:color="000000"/>
                <w:left w:val="none" w:sz="0" w:space="0" w:color="000000"/>
                <w:bottom w:val="none" w:sz="0" w:space="0" w:color="000000"/>
                <w:right w:val="none" w:sz="0" w:space="0" w:color="000000"/>
              </w:pBdr>
              <w:spacing w:after="0"/>
              <w:ind w:left="100" w:right="100"/>
              <w:jc w:val="center"/>
              <w:rPr>
                <w:rFonts w:ascii="Times New Roman" w:eastAsia="Times New Roman" w:hAnsi="Times New Roman" w:cs="Times New Roman"/>
                <w:color w:val="000000"/>
                <w:sz w:val="20"/>
                <w:szCs w:val="20"/>
              </w:rPr>
            </w:pPr>
          </w:p>
        </w:tc>
        <w:tc>
          <w:tcPr>
            <w:tcW w:w="922" w:type="dxa"/>
            <w:tcBorders>
              <w:top w:val="single" w:sz="4" w:space="0" w:color="auto"/>
              <w:bottom w:val="single" w:sz="4" w:space="0" w:color="auto"/>
            </w:tcBorders>
            <w:shd w:val="clear" w:color="auto" w:fill="FFFFFF"/>
            <w:vAlign w:val="center"/>
          </w:tcPr>
          <w:p w14:paraId="6080724E" w14:textId="6EE4A347" w:rsidR="002A2845" w:rsidRPr="00712ED3" w:rsidRDefault="002A2845" w:rsidP="002A2845">
            <w:pPr>
              <w:pBdr>
                <w:top w:val="none" w:sz="0" w:space="0" w:color="000000"/>
                <w:left w:val="none" w:sz="0" w:space="0" w:color="000000"/>
                <w:bottom w:val="none" w:sz="0" w:space="0" w:color="000000"/>
                <w:right w:val="none" w:sz="0" w:space="0" w:color="000000"/>
              </w:pBdr>
              <w:spacing w:after="0"/>
              <w:ind w:left="100" w:right="10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2A2845" w:rsidRPr="00712ED3" w14:paraId="4F2987AB" w14:textId="77777777" w:rsidTr="00A47D49">
        <w:trPr>
          <w:jc w:val="center"/>
        </w:trPr>
        <w:tc>
          <w:tcPr>
            <w:tcW w:w="103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A0"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1</w:t>
            </w:r>
          </w:p>
        </w:tc>
        <w:tc>
          <w:tcPr>
            <w:tcW w:w="13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77D9CF1" w14:textId="47FCFBE3"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1.28</w:t>
            </w:r>
          </w:p>
          <w:p w14:paraId="4F2987A1" w14:textId="147D56F4"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(0.37, 2.04)</w:t>
            </w:r>
          </w:p>
        </w:tc>
        <w:tc>
          <w:tcPr>
            <w:tcW w:w="76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A2"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w:t>
            </w:r>
          </w:p>
        </w:tc>
        <w:tc>
          <w:tcPr>
            <w:tcW w:w="139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09F824F" w14:textId="4F580450"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1.22</w:t>
            </w:r>
          </w:p>
          <w:p w14:paraId="4F2987A3" w14:textId="440027BE" w:rsidR="007677EA" w:rsidRPr="00712ED3" w:rsidRDefault="00EA1561" w:rsidP="002A2845">
            <w:pPr>
              <w:pBdr>
                <w:top w:val="none" w:sz="0" w:space="0" w:color="000000"/>
                <w:left w:val="none" w:sz="0" w:space="0" w:color="000000"/>
                <w:bottom w:val="none" w:sz="0" w:space="0" w:color="000000"/>
                <w:right w:val="none" w:sz="0" w:space="0" w:color="000000"/>
              </w:pBdr>
              <w:spacing w:after="0"/>
              <w:ind w:right="100"/>
              <w:jc w:val="center"/>
              <w:rPr>
                <w:sz w:val="20"/>
                <w:szCs w:val="20"/>
              </w:rPr>
            </w:pPr>
            <w:r w:rsidRPr="00712ED3">
              <w:rPr>
                <w:rFonts w:ascii="Helvetica" w:eastAsia="Helvetica" w:hAnsi="Helvetica" w:cs="Helvetica"/>
                <w:color w:val="000000"/>
                <w:sz w:val="20"/>
                <w:szCs w:val="20"/>
              </w:rPr>
              <w:t>(0.27, 1.98)</w:t>
            </w:r>
          </w:p>
        </w:tc>
        <w:tc>
          <w:tcPr>
            <w:tcW w:w="85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A4"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0.01</w:t>
            </w:r>
          </w:p>
        </w:tc>
        <w:tc>
          <w:tcPr>
            <w:tcW w:w="137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505FB32" w14:textId="7EAA4A86"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1.23</w:t>
            </w:r>
          </w:p>
          <w:p w14:paraId="4F2987A5" w14:textId="35E31E16"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(0.31, 2.14)</w:t>
            </w:r>
          </w:p>
        </w:tc>
        <w:tc>
          <w:tcPr>
            <w:tcW w:w="90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A6"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0.01</w:t>
            </w:r>
          </w:p>
        </w:tc>
        <w:tc>
          <w:tcPr>
            <w:tcW w:w="146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1950789" w14:textId="65F9F23C"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1.25</w:t>
            </w:r>
          </w:p>
          <w:p w14:paraId="4F2987A7" w14:textId="4815A62E"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(0.22, 2.16)</w:t>
            </w:r>
          </w:p>
        </w:tc>
        <w:tc>
          <w:tcPr>
            <w:tcW w:w="99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A8"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0.01</w:t>
            </w:r>
          </w:p>
        </w:tc>
        <w:tc>
          <w:tcPr>
            <w:tcW w:w="141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771AAC" w14:textId="40CED5DE"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1.16</w:t>
            </w:r>
          </w:p>
          <w:p w14:paraId="4F2987A9" w14:textId="6A9EBAF4"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(0.13, 2.09)</w:t>
            </w:r>
          </w:p>
        </w:tc>
        <w:tc>
          <w:tcPr>
            <w:tcW w:w="92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AA"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0.03</w:t>
            </w:r>
          </w:p>
        </w:tc>
      </w:tr>
      <w:tr w:rsidR="002A2845" w:rsidRPr="00712ED3" w14:paraId="4F2987B7" w14:textId="77777777" w:rsidTr="00A47D49">
        <w:trPr>
          <w:jc w:val="center"/>
        </w:trPr>
        <w:tc>
          <w:tcPr>
            <w:tcW w:w="103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AC"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2</w:t>
            </w:r>
          </w:p>
        </w:tc>
        <w:tc>
          <w:tcPr>
            <w:tcW w:w="13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E2E7D7" w14:textId="59EF78F8"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-0.04</w:t>
            </w:r>
          </w:p>
          <w:p w14:paraId="4F2987AD" w14:textId="44F6ECB0"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(-0.69, 0.66)</w:t>
            </w:r>
          </w:p>
        </w:tc>
        <w:tc>
          <w:tcPr>
            <w:tcW w:w="76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AE"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0.92</w:t>
            </w:r>
          </w:p>
        </w:tc>
        <w:tc>
          <w:tcPr>
            <w:tcW w:w="139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1DE2A5" w14:textId="53009B55"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-0.07</w:t>
            </w:r>
          </w:p>
          <w:p w14:paraId="4F2987AF" w14:textId="3C11635E"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(-0.9, 0.74)</w:t>
            </w:r>
          </w:p>
        </w:tc>
        <w:tc>
          <w:tcPr>
            <w:tcW w:w="85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B0"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0.86</w:t>
            </w:r>
          </w:p>
        </w:tc>
        <w:tc>
          <w:tcPr>
            <w:tcW w:w="137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3E07572" w14:textId="5953F288"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-0.26</w:t>
            </w:r>
          </w:p>
          <w:p w14:paraId="4F2987B1" w14:textId="063F4255"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(-1.08, 0.62)</w:t>
            </w:r>
          </w:p>
        </w:tc>
        <w:tc>
          <w:tcPr>
            <w:tcW w:w="90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B2"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0.53</w:t>
            </w:r>
          </w:p>
        </w:tc>
        <w:tc>
          <w:tcPr>
            <w:tcW w:w="146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947C466" w14:textId="77777777"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0.01</w:t>
            </w:r>
          </w:p>
          <w:p w14:paraId="4F2987B3" w14:textId="048C1F68" w:rsidR="007677EA" w:rsidRP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(-0.86, 0.82)</w:t>
            </w:r>
          </w:p>
        </w:tc>
        <w:tc>
          <w:tcPr>
            <w:tcW w:w="99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B4"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0.98</w:t>
            </w:r>
          </w:p>
        </w:tc>
        <w:tc>
          <w:tcPr>
            <w:tcW w:w="141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9A1E32D" w14:textId="0E9D7DA6"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0.13</w:t>
            </w:r>
          </w:p>
          <w:p w14:paraId="4F2987B5" w14:textId="18B4C2CD"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(-0.62, 0.94)</w:t>
            </w:r>
          </w:p>
        </w:tc>
        <w:tc>
          <w:tcPr>
            <w:tcW w:w="92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B6"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0.75</w:t>
            </w:r>
          </w:p>
        </w:tc>
      </w:tr>
      <w:tr w:rsidR="002A2845" w:rsidRPr="00712ED3" w14:paraId="4F2987C3" w14:textId="77777777" w:rsidTr="00A47D49">
        <w:trPr>
          <w:jc w:val="center"/>
        </w:trPr>
        <w:tc>
          <w:tcPr>
            <w:tcW w:w="103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B8"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3</w:t>
            </w:r>
          </w:p>
        </w:tc>
        <w:tc>
          <w:tcPr>
            <w:tcW w:w="13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BCDB5EA" w14:textId="4AEA0ADE"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-0.22</w:t>
            </w:r>
          </w:p>
          <w:p w14:paraId="4F2987B9" w14:textId="01F2D478"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(-0.75, 0.33)</w:t>
            </w:r>
          </w:p>
        </w:tc>
        <w:tc>
          <w:tcPr>
            <w:tcW w:w="76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BA"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0.45</w:t>
            </w:r>
          </w:p>
        </w:tc>
        <w:tc>
          <w:tcPr>
            <w:tcW w:w="139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7100E47" w14:textId="0FAFBE05"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0.12</w:t>
            </w:r>
          </w:p>
          <w:p w14:paraId="4F2987BB" w14:textId="4BDAE1AA"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(-0.5, 0.74)</w:t>
            </w:r>
          </w:p>
        </w:tc>
        <w:tc>
          <w:tcPr>
            <w:tcW w:w="85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BC"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0.71</w:t>
            </w:r>
          </w:p>
        </w:tc>
        <w:tc>
          <w:tcPr>
            <w:tcW w:w="137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8920F63" w14:textId="77777777" w:rsidR="00A47D49"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 xml:space="preserve">0.01 </w:t>
            </w:r>
          </w:p>
          <w:p w14:paraId="4F2987BD" w14:textId="6DB29F31"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(-0.77, 0.67)</w:t>
            </w:r>
          </w:p>
        </w:tc>
        <w:tc>
          <w:tcPr>
            <w:tcW w:w="90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BE"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0.99</w:t>
            </w:r>
          </w:p>
        </w:tc>
        <w:tc>
          <w:tcPr>
            <w:tcW w:w="146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4270E7A" w14:textId="64197159"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-0.26</w:t>
            </w:r>
          </w:p>
          <w:p w14:paraId="4F2987BF" w14:textId="68057359"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(-1.01, 0.4)</w:t>
            </w:r>
          </w:p>
        </w:tc>
        <w:tc>
          <w:tcPr>
            <w:tcW w:w="99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C0"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0.49</w:t>
            </w:r>
          </w:p>
        </w:tc>
        <w:tc>
          <w:tcPr>
            <w:tcW w:w="141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D7139A9" w14:textId="3B35BD1E" w:rsidR="002A2845" w:rsidRDefault="00EA1561" w:rsidP="00A47D49">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-0.24</w:t>
            </w:r>
          </w:p>
          <w:p w14:paraId="4F2987C1" w14:textId="0B18B1FF"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(-1.02, 0.46)</w:t>
            </w:r>
          </w:p>
        </w:tc>
        <w:tc>
          <w:tcPr>
            <w:tcW w:w="92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C2"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0.53</w:t>
            </w:r>
          </w:p>
        </w:tc>
      </w:tr>
      <w:tr w:rsidR="002A2845" w:rsidRPr="00712ED3" w14:paraId="4F2987CF" w14:textId="77777777" w:rsidTr="00A47D49">
        <w:trPr>
          <w:jc w:val="center"/>
        </w:trPr>
        <w:tc>
          <w:tcPr>
            <w:tcW w:w="103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C4"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4</w:t>
            </w:r>
          </w:p>
        </w:tc>
        <w:tc>
          <w:tcPr>
            <w:tcW w:w="13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5A7FA92" w14:textId="092E4F5B"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-0.28</w:t>
            </w:r>
          </w:p>
          <w:p w14:paraId="4F2987C5" w14:textId="059F91C6"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(-0.89, 0.31)</w:t>
            </w:r>
          </w:p>
        </w:tc>
        <w:tc>
          <w:tcPr>
            <w:tcW w:w="76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C6"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0.37</w:t>
            </w:r>
          </w:p>
        </w:tc>
        <w:tc>
          <w:tcPr>
            <w:tcW w:w="139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57E9C41" w14:textId="50A6FC92"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-0.25</w:t>
            </w:r>
          </w:p>
          <w:p w14:paraId="4F2987C7" w14:textId="606B7544"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(-0.79, 0.37)</w:t>
            </w:r>
          </w:p>
        </w:tc>
        <w:tc>
          <w:tcPr>
            <w:tcW w:w="85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C8"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0.41</w:t>
            </w:r>
          </w:p>
        </w:tc>
        <w:tc>
          <w:tcPr>
            <w:tcW w:w="137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8924A9B" w14:textId="77777777" w:rsidR="00A47D49"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 xml:space="preserve">0.1 </w:t>
            </w:r>
          </w:p>
          <w:p w14:paraId="4F2987C9" w14:textId="75898A79"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(-0.52, 0.74)</w:t>
            </w:r>
          </w:p>
        </w:tc>
        <w:tc>
          <w:tcPr>
            <w:tcW w:w="90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CA"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0.76</w:t>
            </w:r>
          </w:p>
        </w:tc>
        <w:tc>
          <w:tcPr>
            <w:tcW w:w="146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34B7DDA" w14:textId="313454D1"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0.46</w:t>
            </w:r>
          </w:p>
          <w:p w14:paraId="4F2987CB" w14:textId="5A10D86C"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(-0.39, 1.14)</w:t>
            </w:r>
          </w:p>
        </w:tc>
        <w:tc>
          <w:tcPr>
            <w:tcW w:w="99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CC"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0.24</w:t>
            </w:r>
          </w:p>
        </w:tc>
        <w:tc>
          <w:tcPr>
            <w:tcW w:w="141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D904B3" w14:textId="77777777" w:rsidR="00A47D49"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0.46</w:t>
            </w:r>
          </w:p>
          <w:p w14:paraId="4F2987CD" w14:textId="6FCC11F0"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 xml:space="preserve"> (-0.38, 1.33)</w:t>
            </w:r>
          </w:p>
        </w:tc>
        <w:tc>
          <w:tcPr>
            <w:tcW w:w="92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CE"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0.24</w:t>
            </w:r>
          </w:p>
        </w:tc>
      </w:tr>
      <w:tr w:rsidR="002A2845" w:rsidRPr="00712ED3" w14:paraId="4F2987DB" w14:textId="77777777" w:rsidTr="00A47D49">
        <w:trPr>
          <w:jc w:val="center"/>
        </w:trPr>
        <w:tc>
          <w:tcPr>
            <w:tcW w:w="103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D0"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5</w:t>
            </w:r>
          </w:p>
        </w:tc>
        <w:tc>
          <w:tcPr>
            <w:tcW w:w="13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9EE3D89" w14:textId="3FA69F5B"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-0.1</w:t>
            </w:r>
          </w:p>
          <w:p w14:paraId="4F2987D1" w14:textId="780604AC"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(-0.74, 0.55)</w:t>
            </w:r>
          </w:p>
        </w:tc>
        <w:tc>
          <w:tcPr>
            <w:tcW w:w="76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D2"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0.77</w:t>
            </w:r>
          </w:p>
        </w:tc>
        <w:tc>
          <w:tcPr>
            <w:tcW w:w="139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5E65197" w14:textId="763C4032"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-0.19</w:t>
            </w:r>
          </w:p>
          <w:p w14:paraId="4F2987D3" w14:textId="3350980F"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(-0.88, 0.53)</w:t>
            </w:r>
          </w:p>
        </w:tc>
        <w:tc>
          <w:tcPr>
            <w:tcW w:w="85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D4"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0.6</w:t>
            </w:r>
          </w:p>
        </w:tc>
        <w:tc>
          <w:tcPr>
            <w:tcW w:w="137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6416B2F" w14:textId="77777777" w:rsidR="00A47D49"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-0.26</w:t>
            </w:r>
          </w:p>
          <w:p w14:paraId="4F2987D5" w14:textId="634C6EBE"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 xml:space="preserve"> (-0.9, 0.39)</w:t>
            </w:r>
          </w:p>
        </w:tc>
        <w:tc>
          <w:tcPr>
            <w:tcW w:w="90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D6"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0.44</w:t>
            </w:r>
          </w:p>
        </w:tc>
        <w:tc>
          <w:tcPr>
            <w:tcW w:w="146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885F736" w14:textId="0077ABB7"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-0.26</w:t>
            </w:r>
          </w:p>
          <w:p w14:paraId="4F2987D7" w14:textId="74493BBF"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(-0.92, 0.32)</w:t>
            </w:r>
          </w:p>
        </w:tc>
        <w:tc>
          <w:tcPr>
            <w:tcW w:w="99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D8"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0.38</w:t>
            </w:r>
          </w:p>
        </w:tc>
        <w:tc>
          <w:tcPr>
            <w:tcW w:w="141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AD7A8E9" w14:textId="0A032E2D"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-0.19</w:t>
            </w:r>
          </w:p>
          <w:p w14:paraId="4F2987D9" w14:textId="443B87DB"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(-0.86, 0.37)</w:t>
            </w:r>
          </w:p>
        </w:tc>
        <w:tc>
          <w:tcPr>
            <w:tcW w:w="92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DA"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0.55</w:t>
            </w:r>
          </w:p>
        </w:tc>
      </w:tr>
      <w:tr w:rsidR="002A2845" w:rsidRPr="00712ED3" w14:paraId="4F2987E7" w14:textId="77777777" w:rsidTr="00A47D49">
        <w:trPr>
          <w:jc w:val="center"/>
        </w:trPr>
        <w:tc>
          <w:tcPr>
            <w:tcW w:w="103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DC"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6</w:t>
            </w:r>
          </w:p>
        </w:tc>
        <w:tc>
          <w:tcPr>
            <w:tcW w:w="13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6266BAA" w14:textId="370F2BA6"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-0.93</w:t>
            </w:r>
          </w:p>
          <w:p w14:paraId="4F2987DD" w14:textId="32B742B3"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(-1.69, 0.09)</w:t>
            </w:r>
          </w:p>
        </w:tc>
        <w:tc>
          <w:tcPr>
            <w:tcW w:w="76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DE"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0.03</w:t>
            </w:r>
          </w:p>
        </w:tc>
        <w:tc>
          <w:tcPr>
            <w:tcW w:w="139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978F52C" w14:textId="77777777"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-0.4</w:t>
            </w:r>
          </w:p>
          <w:p w14:paraId="4F2987DF" w14:textId="5C0A403B"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(-1.11, 0.29)</w:t>
            </w:r>
          </w:p>
        </w:tc>
        <w:tc>
          <w:tcPr>
            <w:tcW w:w="85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E0"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0.26</w:t>
            </w:r>
          </w:p>
        </w:tc>
        <w:tc>
          <w:tcPr>
            <w:tcW w:w="137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EBDB371" w14:textId="77777777" w:rsidR="00A47D49"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 xml:space="preserve">-0.38 </w:t>
            </w:r>
          </w:p>
          <w:p w14:paraId="4F2987E1" w14:textId="45CC6EA6"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(-1.08, 0.29)</w:t>
            </w:r>
          </w:p>
        </w:tc>
        <w:tc>
          <w:tcPr>
            <w:tcW w:w="90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E2"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0.27</w:t>
            </w:r>
          </w:p>
        </w:tc>
        <w:tc>
          <w:tcPr>
            <w:tcW w:w="146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5F567DB" w14:textId="104EED28"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-0.67</w:t>
            </w:r>
          </w:p>
          <w:p w14:paraId="4F2987E3" w14:textId="1109F47F"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(-1.41, 0.02)</w:t>
            </w:r>
          </w:p>
        </w:tc>
        <w:tc>
          <w:tcPr>
            <w:tcW w:w="99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E4"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0.06</w:t>
            </w:r>
          </w:p>
        </w:tc>
        <w:tc>
          <w:tcPr>
            <w:tcW w:w="141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E032672" w14:textId="3EECC337"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-0.72</w:t>
            </w:r>
          </w:p>
          <w:p w14:paraId="4F2987E5" w14:textId="11DBF2ED"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(-1.37, 0)</w:t>
            </w:r>
          </w:p>
        </w:tc>
        <w:tc>
          <w:tcPr>
            <w:tcW w:w="92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E6"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0.05</w:t>
            </w:r>
          </w:p>
        </w:tc>
      </w:tr>
      <w:tr w:rsidR="002A2845" w:rsidRPr="00712ED3" w14:paraId="4F2987F3" w14:textId="77777777" w:rsidTr="00A47D49">
        <w:trPr>
          <w:jc w:val="center"/>
        </w:trPr>
        <w:tc>
          <w:tcPr>
            <w:tcW w:w="103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E8"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7</w:t>
            </w:r>
          </w:p>
        </w:tc>
        <w:tc>
          <w:tcPr>
            <w:tcW w:w="13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E9" w14:textId="77777777" w:rsidR="007677EA" w:rsidRPr="00712ED3" w:rsidRDefault="007677EA"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p>
        </w:tc>
        <w:tc>
          <w:tcPr>
            <w:tcW w:w="76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EA" w14:textId="77777777" w:rsidR="007677EA" w:rsidRPr="00712ED3" w:rsidRDefault="007677EA"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p>
        </w:tc>
        <w:tc>
          <w:tcPr>
            <w:tcW w:w="139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DEACBB3" w14:textId="1C09EADA"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-0.76</w:t>
            </w:r>
          </w:p>
          <w:p w14:paraId="4F2987EB" w14:textId="5A669EE6"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(-1.87, 0.34)</w:t>
            </w:r>
          </w:p>
        </w:tc>
        <w:tc>
          <w:tcPr>
            <w:tcW w:w="85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EC"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0.15</w:t>
            </w:r>
          </w:p>
        </w:tc>
        <w:tc>
          <w:tcPr>
            <w:tcW w:w="137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3B4232C" w14:textId="77777777" w:rsidR="00A47D49"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-0.21</w:t>
            </w:r>
          </w:p>
          <w:p w14:paraId="4F2987ED" w14:textId="0E9CF0FD"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 xml:space="preserve"> (-1.08,</w:t>
            </w:r>
            <w:r w:rsidR="00A47D49">
              <w:rPr>
                <w:rFonts w:ascii="Helvetica" w:eastAsia="Helvetica" w:hAnsi="Helvetica" w:cs="Helvetica"/>
                <w:color w:val="000000"/>
                <w:sz w:val="20"/>
                <w:szCs w:val="20"/>
              </w:rPr>
              <w:t xml:space="preserve"> </w:t>
            </w:r>
            <w:r w:rsidRPr="00712ED3">
              <w:rPr>
                <w:rFonts w:ascii="Helvetica" w:eastAsia="Helvetica" w:hAnsi="Helvetica" w:cs="Helvetica"/>
                <w:color w:val="000000"/>
                <w:sz w:val="20"/>
                <w:szCs w:val="20"/>
              </w:rPr>
              <w:t>0.75)</w:t>
            </w:r>
          </w:p>
        </w:tc>
        <w:tc>
          <w:tcPr>
            <w:tcW w:w="90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EE"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0.64</w:t>
            </w:r>
          </w:p>
        </w:tc>
        <w:tc>
          <w:tcPr>
            <w:tcW w:w="146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7B2EC15" w14:textId="438366D1"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0.23</w:t>
            </w:r>
          </w:p>
          <w:p w14:paraId="4F2987EF" w14:textId="7E57C1CE"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(-0.56, 1.05)</w:t>
            </w:r>
          </w:p>
        </w:tc>
        <w:tc>
          <w:tcPr>
            <w:tcW w:w="99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F0"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0.57</w:t>
            </w:r>
          </w:p>
        </w:tc>
        <w:tc>
          <w:tcPr>
            <w:tcW w:w="141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524EE55" w14:textId="230C2D8E"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-0.12</w:t>
            </w:r>
          </w:p>
          <w:p w14:paraId="4F2987F1" w14:textId="3B2492EA"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(-0.87, 0.65)</w:t>
            </w:r>
          </w:p>
        </w:tc>
        <w:tc>
          <w:tcPr>
            <w:tcW w:w="92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F2"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0.75</w:t>
            </w:r>
          </w:p>
        </w:tc>
      </w:tr>
      <w:tr w:rsidR="002A2845" w:rsidRPr="00712ED3" w14:paraId="4F2987FF" w14:textId="77777777" w:rsidTr="00A47D49">
        <w:trPr>
          <w:jc w:val="center"/>
        </w:trPr>
        <w:tc>
          <w:tcPr>
            <w:tcW w:w="103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F4"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8</w:t>
            </w:r>
          </w:p>
        </w:tc>
        <w:tc>
          <w:tcPr>
            <w:tcW w:w="13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F5" w14:textId="77777777" w:rsidR="007677EA" w:rsidRPr="00712ED3" w:rsidRDefault="007677EA"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p>
        </w:tc>
        <w:tc>
          <w:tcPr>
            <w:tcW w:w="76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F6" w14:textId="77777777" w:rsidR="007677EA" w:rsidRPr="00712ED3" w:rsidRDefault="007677EA"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p>
        </w:tc>
        <w:tc>
          <w:tcPr>
            <w:tcW w:w="139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F7" w14:textId="77777777" w:rsidR="007677EA" w:rsidRPr="00712ED3" w:rsidRDefault="007677EA"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p>
        </w:tc>
        <w:tc>
          <w:tcPr>
            <w:tcW w:w="85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F8" w14:textId="77777777" w:rsidR="007677EA" w:rsidRPr="00712ED3" w:rsidRDefault="007677EA"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p>
        </w:tc>
        <w:tc>
          <w:tcPr>
            <w:tcW w:w="137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6362AE2" w14:textId="77777777" w:rsidR="00A47D49"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 xml:space="preserve">-0.78 </w:t>
            </w:r>
          </w:p>
          <w:p w14:paraId="4F2987F9" w14:textId="16CC49C1"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(-1.83, 0.31)</w:t>
            </w:r>
          </w:p>
        </w:tc>
        <w:tc>
          <w:tcPr>
            <w:tcW w:w="90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FA"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0.14</w:t>
            </w:r>
          </w:p>
        </w:tc>
        <w:tc>
          <w:tcPr>
            <w:tcW w:w="146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18B4A0D" w14:textId="253C5AF5"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-0.82</w:t>
            </w:r>
          </w:p>
          <w:p w14:paraId="4F2987FB" w14:textId="28A30889"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(-1.75, 0.11)</w:t>
            </w:r>
          </w:p>
        </w:tc>
        <w:tc>
          <w:tcPr>
            <w:tcW w:w="99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FC"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0.09</w:t>
            </w:r>
          </w:p>
        </w:tc>
        <w:tc>
          <w:tcPr>
            <w:tcW w:w="141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9D6F2E2" w14:textId="177A2F97"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-0.41</w:t>
            </w:r>
          </w:p>
          <w:p w14:paraId="4F2987FD" w14:textId="39D7E0C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(-1.23, 0.54)</w:t>
            </w:r>
          </w:p>
        </w:tc>
        <w:tc>
          <w:tcPr>
            <w:tcW w:w="92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7FE"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0.35</w:t>
            </w:r>
          </w:p>
        </w:tc>
      </w:tr>
      <w:tr w:rsidR="002A2845" w:rsidRPr="00712ED3" w14:paraId="4F29880B" w14:textId="77777777" w:rsidTr="00A47D49">
        <w:trPr>
          <w:jc w:val="center"/>
        </w:trPr>
        <w:tc>
          <w:tcPr>
            <w:tcW w:w="103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800"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9</w:t>
            </w:r>
          </w:p>
        </w:tc>
        <w:tc>
          <w:tcPr>
            <w:tcW w:w="13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801" w14:textId="77777777" w:rsidR="007677EA" w:rsidRPr="00712ED3" w:rsidRDefault="007677EA"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p>
        </w:tc>
        <w:tc>
          <w:tcPr>
            <w:tcW w:w="76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802" w14:textId="77777777" w:rsidR="007677EA" w:rsidRPr="00712ED3" w:rsidRDefault="007677EA"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p>
        </w:tc>
        <w:tc>
          <w:tcPr>
            <w:tcW w:w="139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803" w14:textId="77777777" w:rsidR="007677EA" w:rsidRPr="00712ED3" w:rsidRDefault="007677EA"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p>
        </w:tc>
        <w:tc>
          <w:tcPr>
            <w:tcW w:w="85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804" w14:textId="77777777" w:rsidR="007677EA" w:rsidRPr="00712ED3" w:rsidRDefault="007677EA"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p>
        </w:tc>
        <w:tc>
          <w:tcPr>
            <w:tcW w:w="137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805" w14:textId="77777777" w:rsidR="007677EA" w:rsidRPr="00712ED3" w:rsidRDefault="007677EA"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p>
        </w:tc>
        <w:tc>
          <w:tcPr>
            <w:tcW w:w="90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806" w14:textId="77777777" w:rsidR="007677EA" w:rsidRPr="00712ED3" w:rsidRDefault="007677EA"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p>
        </w:tc>
        <w:tc>
          <w:tcPr>
            <w:tcW w:w="146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C38C2E9" w14:textId="45806B61" w:rsidR="002A2845"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-0.4</w:t>
            </w:r>
          </w:p>
          <w:p w14:paraId="4F298807" w14:textId="25997C0D"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(-2.24, 1.33)</w:t>
            </w:r>
          </w:p>
        </w:tc>
        <w:tc>
          <w:tcPr>
            <w:tcW w:w="99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808"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0.68</w:t>
            </w:r>
          </w:p>
        </w:tc>
        <w:tc>
          <w:tcPr>
            <w:tcW w:w="141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CB8F69C" w14:textId="77777777" w:rsidR="00A47D49"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rFonts w:ascii="Helvetica" w:eastAsia="Helvetica" w:hAnsi="Helvetica" w:cs="Helvetica"/>
                <w:color w:val="000000"/>
                <w:sz w:val="20"/>
                <w:szCs w:val="20"/>
              </w:rPr>
            </w:pPr>
            <w:r w:rsidRPr="00712ED3">
              <w:rPr>
                <w:rFonts w:ascii="Helvetica" w:eastAsia="Helvetica" w:hAnsi="Helvetica" w:cs="Helvetica"/>
                <w:color w:val="000000"/>
                <w:sz w:val="20"/>
                <w:szCs w:val="20"/>
              </w:rPr>
              <w:t xml:space="preserve">-0.46 </w:t>
            </w:r>
          </w:p>
          <w:p w14:paraId="4F298809" w14:textId="083B79B6"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(-2.43, 1.48)</w:t>
            </w:r>
          </w:p>
        </w:tc>
        <w:tc>
          <w:tcPr>
            <w:tcW w:w="92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9880A" w14:textId="77777777" w:rsidR="007677EA" w:rsidRPr="00712ED3" w:rsidRDefault="00EA1561" w:rsidP="002A2845">
            <w:pPr>
              <w:pBdr>
                <w:top w:val="none" w:sz="0" w:space="0" w:color="000000"/>
                <w:left w:val="none" w:sz="0" w:space="0" w:color="000000"/>
                <w:bottom w:val="none" w:sz="0" w:space="0" w:color="000000"/>
                <w:right w:val="none" w:sz="0" w:space="0" w:color="000000"/>
              </w:pBdr>
              <w:spacing w:after="0"/>
              <w:ind w:left="100" w:right="100"/>
              <w:jc w:val="center"/>
              <w:rPr>
                <w:sz w:val="20"/>
                <w:szCs w:val="20"/>
              </w:rPr>
            </w:pPr>
            <w:r w:rsidRPr="00712ED3">
              <w:rPr>
                <w:rFonts w:ascii="Helvetica" w:eastAsia="Helvetica" w:hAnsi="Helvetica" w:cs="Helvetica"/>
                <w:color w:val="000000"/>
                <w:sz w:val="20"/>
                <w:szCs w:val="20"/>
              </w:rPr>
              <w:t>0.63</w:t>
            </w:r>
          </w:p>
        </w:tc>
      </w:tr>
    </w:tbl>
    <w:p w14:paraId="523EDEAD" w14:textId="406EDBF9" w:rsidR="00615D85" w:rsidRDefault="00EA1561">
      <w:pPr>
        <w:sectPr w:rsidR="00615D85" w:rsidSect="00615D85">
          <w:pgSz w:w="15840" w:h="12240" w:orient="landscape"/>
          <w:pgMar w:top="1440" w:right="1440" w:bottom="1440" w:left="1440" w:header="720" w:footer="720" w:gutter="0"/>
          <w:cols w:space="720"/>
          <w:titlePg/>
          <w:docGrid w:linePitch="326"/>
        </w:sectPr>
      </w:pPr>
      <w:r>
        <w:br w:type="page"/>
      </w:r>
    </w:p>
    <w:p w14:paraId="4F29880D" w14:textId="77777777" w:rsidR="007677EA" w:rsidRPr="00972CFF" w:rsidRDefault="00EA1561" w:rsidP="00F175C5">
      <w:pPr>
        <w:pStyle w:val="BodyText"/>
        <w:jc w:val="center"/>
      </w:pPr>
      <w:bookmarkStart w:id="11" w:name="references"/>
      <w:bookmarkEnd w:id="10"/>
      <w:r w:rsidRPr="00F175C5">
        <w:rPr>
          <w:b/>
        </w:rPr>
        <w:lastRenderedPageBreak/>
        <w:t>References</w:t>
      </w:r>
    </w:p>
    <w:p w14:paraId="4F29880E" w14:textId="21E48905" w:rsidR="007677EA" w:rsidRPr="00F175C5" w:rsidRDefault="00EA1561" w:rsidP="00F175C5">
      <w:pPr>
        <w:pStyle w:val="Bibliography"/>
        <w:spacing w:line="480" w:lineRule="auto"/>
        <w:ind w:left="720" w:hanging="720"/>
        <w:rPr>
          <w:rFonts w:ascii="Times New Roman" w:hAnsi="Times New Roman" w:cs="Times New Roman"/>
        </w:rPr>
      </w:pPr>
      <w:bookmarkStart w:id="12" w:name="ref-breiman2001random"/>
      <w:bookmarkStart w:id="13" w:name="refs"/>
      <w:proofErr w:type="spellStart"/>
      <w:r w:rsidRPr="00F175C5">
        <w:rPr>
          <w:rFonts w:ascii="Times New Roman" w:hAnsi="Times New Roman" w:cs="Times New Roman"/>
        </w:rPr>
        <w:t>Breiman</w:t>
      </w:r>
      <w:proofErr w:type="spellEnd"/>
      <w:r w:rsidRPr="00F175C5">
        <w:rPr>
          <w:rFonts w:ascii="Times New Roman" w:hAnsi="Times New Roman" w:cs="Times New Roman"/>
        </w:rPr>
        <w:t>,</w:t>
      </w:r>
      <w:r>
        <w:rPr>
          <w:rFonts w:ascii="Times New Roman" w:hAnsi="Times New Roman" w:cs="Times New Roman"/>
        </w:rPr>
        <w:t xml:space="preserve"> </w:t>
      </w:r>
      <w:r w:rsidR="00F84822">
        <w:rPr>
          <w:rFonts w:ascii="Times New Roman" w:hAnsi="Times New Roman" w:cs="Times New Roman"/>
        </w:rPr>
        <w:t>L. (2001)</w:t>
      </w:r>
      <w:r w:rsidRPr="00F175C5">
        <w:rPr>
          <w:rFonts w:ascii="Times New Roman" w:hAnsi="Times New Roman" w:cs="Times New Roman"/>
        </w:rPr>
        <w:t xml:space="preserve">. Random Forests. </w:t>
      </w:r>
      <w:r w:rsidRPr="00F175C5">
        <w:rPr>
          <w:rFonts w:ascii="Times New Roman" w:hAnsi="Times New Roman" w:cs="Times New Roman"/>
          <w:i/>
        </w:rPr>
        <w:t>Machine Learning</w:t>
      </w:r>
      <w:r w:rsidR="00FC696F" w:rsidRPr="00F175C5">
        <w:rPr>
          <w:rFonts w:ascii="Times New Roman" w:hAnsi="Times New Roman" w:cs="Times New Roman"/>
        </w:rPr>
        <w:t>, 4</w:t>
      </w:r>
      <w:r w:rsidRPr="00F175C5">
        <w:rPr>
          <w:rFonts w:ascii="Times New Roman" w:hAnsi="Times New Roman" w:cs="Times New Roman"/>
        </w:rPr>
        <w:t>5 (1): 5–32.</w:t>
      </w:r>
    </w:p>
    <w:p w14:paraId="4F29880F" w14:textId="67C95C6E" w:rsidR="007677EA" w:rsidRPr="00F175C5" w:rsidRDefault="001F61B2" w:rsidP="00F175C5">
      <w:pPr>
        <w:pStyle w:val="Bibliography"/>
        <w:spacing w:line="480" w:lineRule="auto"/>
        <w:ind w:left="720" w:hanging="720"/>
        <w:rPr>
          <w:rFonts w:ascii="Times New Roman" w:hAnsi="Times New Roman" w:cs="Times New Roman"/>
        </w:rPr>
      </w:pPr>
      <w:bookmarkStart w:id="14" w:name="ref-Cernich2022"/>
      <w:bookmarkEnd w:id="12"/>
      <w:proofErr w:type="spellStart"/>
      <w:r w:rsidRPr="001F61B2">
        <w:rPr>
          <w:rFonts w:ascii="Times New Roman" w:hAnsi="Times New Roman" w:cs="Times New Roman"/>
        </w:rPr>
        <w:t>Cernich</w:t>
      </w:r>
      <w:proofErr w:type="spellEnd"/>
      <w:r w:rsidRPr="001F61B2">
        <w:rPr>
          <w:rFonts w:ascii="Times New Roman" w:hAnsi="Times New Roman" w:cs="Times New Roman"/>
        </w:rPr>
        <w:t>, A. N., Lee, S., &amp; Bianchi, D. W. (2022). Building the evidence for safe return to school during the Covid-19 pandemic. </w:t>
      </w:r>
      <w:r w:rsidRPr="001F61B2">
        <w:rPr>
          <w:rFonts w:ascii="Times New Roman" w:hAnsi="Times New Roman" w:cs="Times New Roman"/>
          <w:i/>
          <w:iCs/>
        </w:rPr>
        <w:t>Pediatrics</w:t>
      </w:r>
      <w:r w:rsidRPr="001F61B2">
        <w:rPr>
          <w:rFonts w:ascii="Times New Roman" w:hAnsi="Times New Roman" w:cs="Times New Roman"/>
        </w:rPr>
        <w:t>, </w:t>
      </w:r>
      <w:r w:rsidRPr="001F61B2">
        <w:rPr>
          <w:rFonts w:ascii="Times New Roman" w:hAnsi="Times New Roman" w:cs="Times New Roman"/>
          <w:i/>
          <w:iCs/>
        </w:rPr>
        <w:t>149</w:t>
      </w:r>
      <w:r w:rsidRPr="001F61B2">
        <w:rPr>
          <w:rFonts w:ascii="Times New Roman" w:hAnsi="Times New Roman" w:cs="Times New Roman"/>
        </w:rPr>
        <w:t>(Supplement_2).</w:t>
      </w:r>
      <w:r w:rsidRPr="001F61B2" w:rsidDel="001F61B2">
        <w:rPr>
          <w:rFonts w:ascii="Times New Roman" w:hAnsi="Times New Roman" w:cs="Times New Roman"/>
        </w:rPr>
        <w:t xml:space="preserve"> </w:t>
      </w:r>
      <w:hyperlink r:id="rId13">
        <w:r w:rsidR="00EA1561" w:rsidRPr="00F175C5">
          <w:rPr>
            <w:rStyle w:val="Hyperlink"/>
            <w:rFonts w:ascii="Times New Roman" w:hAnsi="Times New Roman" w:cs="Times New Roman"/>
          </w:rPr>
          <w:t>https://doi.org/10.1542/peds.2021-054268b</w:t>
        </w:r>
      </w:hyperlink>
      <w:r w:rsidR="00EA1561" w:rsidRPr="00F175C5">
        <w:rPr>
          <w:rFonts w:ascii="Times New Roman" w:hAnsi="Times New Roman" w:cs="Times New Roman"/>
        </w:rPr>
        <w:t>.</w:t>
      </w:r>
    </w:p>
    <w:p w14:paraId="4F298810" w14:textId="1DA3F70A" w:rsidR="007677EA" w:rsidRDefault="001F61B2" w:rsidP="00F175C5">
      <w:pPr>
        <w:pStyle w:val="Bibliography"/>
        <w:spacing w:line="480" w:lineRule="auto"/>
        <w:ind w:left="720" w:hanging="720"/>
        <w:rPr>
          <w:rFonts w:ascii="Times New Roman" w:hAnsi="Times New Roman" w:cs="Times New Roman"/>
        </w:rPr>
      </w:pPr>
      <w:bookmarkStart w:id="15" w:name="ref-guidance"/>
      <w:bookmarkEnd w:id="14"/>
      <w:r>
        <w:rPr>
          <w:rFonts w:ascii="Times New Roman" w:hAnsi="Times New Roman" w:cs="Times New Roman"/>
        </w:rPr>
        <w:t xml:space="preserve">Centers for Disease Control and Prevention. (2021). </w:t>
      </w:r>
      <w:r w:rsidR="00EA1561" w:rsidRPr="00F175C5">
        <w:rPr>
          <w:rFonts w:ascii="Times New Roman" w:hAnsi="Times New Roman" w:cs="Times New Roman"/>
        </w:rPr>
        <w:t xml:space="preserve">“Operational Guidance for k-12 Schools and Early Care and Education Programs to Support Safe in-Person Learning.” </w:t>
      </w:r>
      <w:hyperlink r:id="rId14">
        <w:r w:rsidR="00EA1561" w:rsidRPr="00F175C5">
          <w:rPr>
            <w:rStyle w:val="Hyperlink"/>
            <w:rFonts w:ascii="Times New Roman" w:hAnsi="Times New Roman" w:cs="Times New Roman"/>
          </w:rPr>
          <w:t>https://www.cdc.gov/coronavirus/2019-ncov/community/schools-childcare/k-12-childcare-guidance.html#</w:t>
        </w:r>
      </w:hyperlink>
      <w:r w:rsidR="00EA1561" w:rsidRPr="00F175C5">
        <w:rPr>
          <w:rFonts w:ascii="Times New Roman" w:hAnsi="Times New Roman" w:cs="Times New Roman"/>
        </w:rPr>
        <w:t>.</w:t>
      </w:r>
    </w:p>
    <w:p w14:paraId="2D7C01E2" w14:textId="35E338CF" w:rsidR="00DD10F6" w:rsidRPr="00F175C5" w:rsidRDefault="00DD10F6" w:rsidP="00F175C5">
      <w:pPr>
        <w:pStyle w:val="Bibliography"/>
        <w:spacing w:line="480" w:lineRule="auto"/>
        <w:ind w:left="720" w:hanging="720"/>
        <w:rPr>
          <w:rFonts w:ascii="Times New Roman" w:hAnsi="Times New Roman" w:cs="Times New Roman"/>
        </w:rPr>
      </w:pPr>
      <w:r w:rsidRPr="00DD10F6">
        <w:rPr>
          <w:rFonts w:ascii="Times New Roman" w:hAnsi="Times New Roman" w:cs="Times New Roman"/>
        </w:rPr>
        <w:t>Centers for Disease Control and Prevention/ Agency for Toxic Substances and Disease Registry/ Geospatial Research, Analysis, and Services Program. CDC/ATSDR Social Vulnerability Index</w:t>
      </w:r>
      <w:r>
        <w:rPr>
          <w:rFonts w:ascii="Times New Roman" w:hAnsi="Times New Roman" w:cs="Times New Roman"/>
        </w:rPr>
        <w:t xml:space="preserve"> 2020.</w:t>
      </w:r>
      <w:r w:rsidRPr="00DD10F6">
        <w:rPr>
          <w:rFonts w:ascii="Times New Roman" w:hAnsi="Times New Roman" w:cs="Times New Roman"/>
        </w:rPr>
        <w:t> Database</w:t>
      </w:r>
      <w:r>
        <w:rPr>
          <w:rFonts w:ascii="Times New Roman" w:hAnsi="Times New Roman" w:cs="Times New Roman"/>
        </w:rPr>
        <w:t xml:space="preserve"> US. </w:t>
      </w:r>
      <w:hyperlink r:id="rId15" w:history="1">
        <w:r w:rsidRPr="00DD10F6">
          <w:rPr>
            <w:rStyle w:val="Hyperlink"/>
            <w:rFonts w:ascii="Times New Roman" w:hAnsi="Times New Roman" w:cs="Times New Roman"/>
          </w:rPr>
          <w:t>https://www.atsdr.cdc.gov/placeandhealth/svi/data_documentation_download.html</w:t>
        </w:r>
      </w:hyperlink>
      <w:r w:rsidRPr="00DD10F6">
        <w:rPr>
          <w:rFonts w:ascii="Times New Roman" w:hAnsi="Times New Roman" w:cs="Times New Roman"/>
        </w:rPr>
        <w:t>. Accessed on</w:t>
      </w:r>
      <w:r>
        <w:rPr>
          <w:rFonts w:ascii="Times New Roman" w:hAnsi="Times New Roman" w:cs="Times New Roman"/>
        </w:rPr>
        <w:t xml:space="preserve"> November </w:t>
      </w:r>
      <w:r w:rsidR="00F47A16">
        <w:rPr>
          <w:rFonts w:ascii="Times New Roman" w:hAnsi="Times New Roman" w:cs="Times New Roman"/>
        </w:rPr>
        <w:t xml:space="preserve">15, 2022. </w:t>
      </w:r>
    </w:p>
    <w:p w14:paraId="4F298812" w14:textId="1BA0B55B" w:rsidR="007677EA" w:rsidRPr="00F175C5" w:rsidRDefault="00990B04" w:rsidP="00F175C5">
      <w:pPr>
        <w:pStyle w:val="Bibliography"/>
        <w:spacing w:line="480" w:lineRule="auto"/>
        <w:ind w:left="720" w:hanging="720"/>
        <w:rPr>
          <w:rFonts w:ascii="Times New Roman" w:hAnsi="Times New Roman" w:cs="Times New Roman"/>
        </w:rPr>
      </w:pPr>
      <w:bookmarkStart w:id="16" w:name="ref-Engzell2021"/>
      <w:bookmarkEnd w:id="15"/>
      <w:proofErr w:type="spellStart"/>
      <w:r w:rsidRPr="00990B04">
        <w:rPr>
          <w:rFonts w:ascii="Times New Roman" w:hAnsi="Times New Roman" w:cs="Times New Roman"/>
        </w:rPr>
        <w:t>Engzell</w:t>
      </w:r>
      <w:proofErr w:type="spellEnd"/>
      <w:r w:rsidRPr="00990B04">
        <w:rPr>
          <w:rFonts w:ascii="Times New Roman" w:hAnsi="Times New Roman" w:cs="Times New Roman"/>
        </w:rPr>
        <w:t xml:space="preserve">, P., Frey, A., &amp; </w:t>
      </w:r>
      <w:proofErr w:type="spellStart"/>
      <w:r w:rsidRPr="00990B04">
        <w:rPr>
          <w:rFonts w:ascii="Times New Roman" w:hAnsi="Times New Roman" w:cs="Times New Roman"/>
        </w:rPr>
        <w:t>Verhagen</w:t>
      </w:r>
      <w:proofErr w:type="spellEnd"/>
      <w:r w:rsidRPr="00990B04">
        <w:rPr>
          <w:rFonts w:ascii="Times New Roman" w:hAnsi="Times New Roman" w:cs="Times New Roman"/>
        </w:rPr>
        <w:t>, M. D. (2021). Learning loss due to school closures during the COVID-19 pandemic. </w:t>
      </w:r>
      <w:r w:rsidRPr="00990B04">
        <w:rPr>
          <w:rFonts w:ascii="Times New Roman" w:hAnsi="Times New Roman" w:cs="Times New Roman"/>
          <w:i/>
          <w:iCs/>
        </w:rPr>
        <w:t>Proceedings of the National Academy of Sciences</w:t>
      </w:r>
      <w:r w:rsidRPr="00990B04">
        <w:rPr>
          <w:rFonts w:ascii="Times New Roman" w:hAnsi="Times New Roman" w:cs="Times New Roman"/>
        </w:rPr>
        <w:t>, </w:t>
      </w:r>
      <w:r w:rsidRPr="00990B04">
        <w:rPr>
          <w:rFonts w:ascii="Times New Roman" w:hAnsi="Times New Roman" w:cs="Times New Roman"/>
          <w:i/>
          <w:iCs/>
        </w:rPr>
        <w:t>118</w:t>
      </w:r>
      <w:r w:rsidRPr="00990B04">
        <w:rPr>
          <w:rFonts w:ascii="Times New Roman" w:hAnsi="Times New Roman" w:cs="Times New Roman"/>
        </w:rPr>
        <w:t>(17), e2022376118.</w:t>
      </w:r>
      <w:r>
        <w:rPr>
          <w:rFonts w:ascii="Times New Roman" w:hAnsi="Times New Roman" w:cs="Times New Roman"/>
        </w:rPr>
        <w:t xml:space="preserve"> </w:t>
      </w:r>
      <w:hyperlink r:id="rId16">
        <w:r w:rsidR="00EA1561" w:rsidRPr="00F175C5">
          <w:rPr>
            <w:rStyle w:val="Hyperlink"/>
            <w:rFonts w:ascii="Times New Roman" w:hAnsi="Times New Roman" w:cs="Times New Roman"/>
          </w:rPr>
          <w:t>https://doi.org/10.1073/pnas.2022376118</w:t>
        </w:r>
      </w:hyperlink>
      <w:r w:rsidR="00EA1561" w:rsidRPr="00F175C5">
        <w:rPr>
          <w:rFonts w:ascii="Times New Roman" w:hAnsi="Times New Roman" w:cs="Times New Roman"/>
        </w:rPr>
        <w:t>.</w:t>
      </w:r>
    </w:p>
    <w:p w14:paraId="27C585F7" w14:textId="6D460BE5" w:rsidR="00B43895" w:rsidRPr="00F175C5" w:rsidRDefault="003B71A5" w:rsidP="00F175C5">
      <w:pPr>
        <w:pStyle w:val="Bibliography"/>
        <w:spacing w:line="480" w:lineRule="auto"/>
        <w:ind w:left="720" w:hanging="720"/>
        <w:rPr>
          <w:rFonts w:ascii="Times New Roman" w:hAnsi="Times New Roman" w:cs="Times New Roman"/>
        </w:rPr>
      </w:pPr>
      <w:bookmarkStart w:id="17" w:name="ref-finch2019multilevel"/>
      <w:bookmarkEnd w:id="16"/>
      <w:r w:rsidRPr="003B71A5">
        <w:rPr>
          <w:rFonts w:ascii="Times New Roman" w:hAnsi="Times New Roman" w:cs="Times New Roman"/>
        </w:rPr>
        <w:t>Finch, W. H., Bolin, J. E., &amp; Kelley, K. (2019). </w:t>
      </w:r>
      <w:r w:rsidRPr="003B71A5">
        <w:rPr>
          <w:rFonts w:ascii="Times New Roman" w:hAnsi="Times New Roman" w:cs="Times New Roman"/>
          <w:i/>
          <w:iCs/>
        </w:rPr>
        <w:t>Multilevel modeling using R</w:t>
      </w:r>
      <w:r w:rsidRPr="003B71A5">
        <w:rPr>
          <w:rFonts w:ascii="Times New Roman" w:hAnsi="Times New Roman" w:cs="Times New Roman"/>
        </w:rPr>
        <w:t xml:space="preserve">. </w:t>
      </w:r>
      <w:proofErr w:type="spellStart"/>
      <w:r w:rsidRPr="003B71A5">
        <w:rPr>
          <w:rFonts w:ascii="Times New Roman" w:hAnsi="Times New Roman" w:cs="Times New Roman"/>
        </w:rPr>
        <w:t>Crc</w:t>
      </w:r>
      <w:proofErr w:type="spellEnd"/>
      <w:r w:rsidRPr="003B71A5">
        <w:rPr>
          <w:rFonts w:ascii="Times New Roman" w:hAnsi="Times New Roman" w:cs="Times New Roman"/>
        </w:rPr>
        <w:t xml:space="preserve"> Press.</w:t>
      </w:r>
    </w:p>
    <w:p w14:paraId="4F298814" w14:textId="2E11651B" w:rsidR="007677EA" w:rsidRPr="00F175C5" w:rsidRDefault="007360E4" w:rsidP="00F175C5">
      <w:pPr>
        <w:pStyle w:val="Bibliography"/>
        <w:spacing w:line="480" w:lineRule="auto"/>
        <w:ind w:left="720" w:hanging="720"/>
        <w:rPr>
          <w:rFonts w:ascii="Times New Roman" w:hAnsi="Times New Roman" w:cs="Times New Roman"/>
        </w:rPr>
      </w:pPr>
      <w:bookmarkStart w:id="18" w:name="ref-gillani2022"/>
      <w:bookmarkEnd w:id="17"/>
      <w:r w:rsidRPr="007360E4">
        <w:rPr>
          <w:rFonts w:ascii="Times New Roman" w:hAnsi="Times New Roman" w:cs="Times New Roman"/>
        </w:rPr>
        <w:t xml:space="preserve">Gillani, A., </w:t>
      </w:r>
      <w:proofErr w:type="spellStart"/>
      <w:r w:rsidRPr="007360E4">
        <w:rPr>
          <w:rFonts w:ascii="Times New Roman" w:hAnsi="Times New Roman" w:cs="Times New Roman"/>
        </w:rPr>
        <w:t>Dierst</w:t>
      </w:r>
      <w:proofErr w:type="spellEnd"/>
      <w:r w:rsidRPr="007360E4">
        <w:rPr>
          <w:rFonts w:ascii="Times New Roman" w:hAnsi="Times New Roman" w:cs="Times New Roman"/>
        </w:rPr>
        <w:t>-Davies, R., Lee, S., Robin, L., Li, J., Glover-</w:t>
      </w:r>
      <w:proofErr w:type="spellStart"/>
      <w:r w:rsidRPr="007360E4">
        <w:rPr>
          <w:rFonts w:ascii="Times New Roman" w:hAnsi="Times New Roman" w:cs="Times New Roman"/>
        </w:rPr>
        <w:t>Kudon</w:t>
      </w:r>
      <w:proofErr w:type="spellEnd"/>
      <w:r w:rsidRPr="007360E4">
        <w:rPr>
          <w:rFonts w:ascii="Times New Roman" w:hAnsi="Times New Roman" w:cs="Times New Roman"/>
        </w:rPr>
        <w:t>, R., ... &amp; Whitton, A. (2022). Teachers’ dissatisfaction during the COVID-19 pandemic: Factors contributing to a desire to leave the profession. </w:t>
      </w:r>
      <w:r w:rsidRPr="007360E4">
        <w:rPr>
          <w:rFonts w:ascii="Times New Roman" w:hAnsi="Times New Roman" w:cs="Times New Roman"/>
          <w:i/>
          <w:iCs/>
        </w:rPr>
        <w:t xml:space="preserve">Frontiers in </w:t>
      </w:r>
      <w:r>
        <w:rPr>
          <w:rFonts w:ascii="Times New Roman" w:hAnsi="Times New Roman" w:cs="Times New Roman"/>
          <w:i/>
          <w:iCs/>
        </w:rPr>
        <w:t>P</w:t>
      </w:r>
      <w:r w:rsidRPr="007360E4">
        <w:rPr>
          <w:rFonts w:ascii="Times New Roman" w:hAnsi="Times New Roman" w:cs="Times New Roman"/>
          <w:i/>
          <w:iCs/>
        </w:rPr>
        <w:t>sychology</w:t>
      </w:r>
      <w:r w:rsidRPr="007360E4">
        <w:rPr>
          <w:rFonts w:ascii="Times New Roman" w:hAnsi="Times New Roman" w:cs="Times New Roman"/>
        </w:rPr>
        <w:t>, </w:t>
      </w:r>
      <w:r w:rsidRPr="007360E4">
        <w:rPr>
          <w:rFonts w:ascii="Times New Roman" w:hAnsi="Times New Roman" w:cs="Times New Roman"/>
          <w:i/>
          <w:iCs/>
        </w:rPr>
        <w:t>13</w:t>
      </w:r>
      <w:r w:rsidRPr="007360E4">
        <w:rPr>
          <w:rFonts w:ascii="Times New Roman" w:hAnsi="Times New Roman" w:cs="Times New Roman"/>
        </w:rPr>
        <w:t>.</w:t>
      </w:r>
      <w:r w:rsidRPr="007360E4" w:rsidDel="007360E4">
        <w:rPr>
          <w:rFonts w:ascii="Times New Roman" w:hAnsi="Times New Roman" w:cs="Times New Roman"/>
        </w:rPr>
        <w:t xml:space="preserve"> </w:t>
      </w:r>
      <w:hyperlink r:id="rId17">
        <w:r w:rsidR="00EA1561" w:rsidRPr="00F175C5">
          <w:rPr>
            <w:rStyle w:val="Hyperlink"/>
            <w:rFonts w:ascii="Times New Roman" w:hAnsi="Times New Roman" w:cs="Times New Roman"/>
          </w:rPr>
          <w:t>https://doi.org/10.3389/fpsyg.2022.940718</w:t>
        </w:r>
      </w:hyperlink>
      <w:r w:rsidR="00EA1561" w:rsidRPr="00F175C5">
        <w:rPr>
          <w:rFonts w:ascii="Times New Roman" w:hAnsi="Times New Roman" w:cs="Times New Roman"/>
        </w:rPr>
        <w:t>.</w:t>
      </w:r>
    </w:p>
    <w:p w14:paraId="4F298815" w14:textId="670DA102" w:rsidR="007677EA" w:rsidRPr="00F175C5" w:rsidRDefault="00387709" w:rsidP="00F175C5">
      <w:pPr>
        <w:pStyle w:val="Bibliography"/>
        <w:spacing w:line="480" w:lineRule="auto"/>
        <w:ind w:left="720" w:hanging="720"/>
        <w:rPr>
          <w:rFonts w:ascii="Times New Roman" w:hAnsi="Times New Roman" w:cs="Times New Roman"/>
        </w:rPr>
      </w:pPr>
      <w:bookmarkStart w:id="19" w:name="ref-honein2021"/>
      <w:bookmarkEnd w:id="18"/>
      <w:proofErr w:type="spellStart"/>
      <w:r w:rsidRPr="00387709">
        <w:rPr>
          <w:rFonts w:ascii="Times New Roman" w:hAnsi="Times New Roman" w:cs="Times New Roman"/>
        </w:rPr>
        <w:lastRenderedPageBreak/>
        <w:t>Honein</w:t>
      </w:r>
      <w:proofErr w:type="spellEnd"/>
      <w:r w:rsidRPr="00387709">
        <w:rPr>
          <w:rFonts w:ascii="Times New Roman" w:hAnsi="Times New Roman" w:cs="Times New Roman"/>
        </w:rPr>
        <w:t>, M. A., Barrios, L. C., &amp; Brooks, J. T. (2021). Data and policy to guide opening schools safely to limit the spread of SARS-CoV-2 infection. </w:t>
      </w:r>
      <w:r w:rsidRPr="00387709">
        <w:rPr>
          <w:rFonts w:ascii="Times New Roman" w:hAnsi="Times New Roman" w:cs="Times New Roman"/>
          <w:i/>
          <w:iCs/>
        </w:rPr>
        <w:t>Jama</w:t>
      </w:r>
      <w:r w:rsidRPr="00387709">
        <w:rPr>
          <w:rFonts w:ascii="Times New Roman" w:hAnsi="Times New Roman" w:cs="Times New Roman"/>
        </w:rPr>
        <w:t>, </w:t>
      </w:r>
      <w:r w:rsidRPr="00387709">
        <w:rPr>
          <w:rFonts w:ascii="Times New Roman" w:hAnsi="Times New Roman" w:cs="Times New Roman"/>
          <w:i/>
          <w:iCs/>
        </w:rPr>
        <w:t>325</w:t>
      </w:r>
      <w:r w:rsidRPr="00387709">
        <w:rPr>
          <w:rFonts w:ascii="Times New Roman" w:hAnsi="Times New Roman" w:cs="Times New Roman"/>
        </w:rPr>
        <w:t>(9), 823-824.</w:t>
      </w:r>
      <w:r w:rsidRPr="00387709" w:rsidDel="00387709">
        <w:rPr>
          <w:rFonts w:ascii="Times New Roman" w:hAnsi="Times New Roman" w:cs="Times New Roman"/>
        </w:rPr>
        <w:t xml:space="preserve"> </w:t>
      </w:r>
      <w:hyperlink r:id="rId18">
        <w:r w:rsidR="00EA1561" w:rsidRPr="00F175C5">
          <w:rPr>
            <w:rStyle w:val="Hyperlink"/>
            <w:rFonts w:ascii="Times New Roman" w:hAnsi="Times New Roman" w:cs="Times New Roman"/>
          </w:rPr>
          <w:t>https://doi.org/10.1001/jama.2021.0374</w:t>
        </w:r>
      </w:hyperlink>
      <w:r w:rsidR="00EA1561" w:rsidRPr="00F175C5">
        <w:rPr>
          <w:rFonts w:ascii="Times New Roman" w:hAnsi="Times New Roman" w:cs="Times New Roman"/>
        </w:rPr>
        <w:t>.</w:t>
      </w:r>
    </w:p>
    <w:p w14:paraId="4F298816" w14:textId="79F09474" w:rsidR="007677EA" w:rsidRPr="00F175C5" w:rsidRDefault="00D2119D" w:rsidP="00F175C5">
      <w:pPr>
        <w:pStyle w:val="Bibliography"/>
        <w:spacing w:line="480" w:lineRule="auto"/>
        <w:ind w:left="720" w:hanging="720"/>
        <w:rPr>
          <w:rFonts w:ascii="Times New Roman" w:hAnsi="Times New Roman" w:cs="Times New Roman"/>
        </w:rPr>
      </w:pPr>
      <w:bookmarkStart w:id="20" w:name="ref-kuhfeld2020"/>
      <w:bookmarkEnd w:id="19"/>
      <w:proofErr w:type="spellStart"/>
      <w:r w:rsidRPr="00D2119D">
        <w:rPr>
          <w:rFonts w:ascii="Times New Roman" w:hAnsi="Times New Roman" w:cs="Times New Roman"/>
        </w:rPr>
        <w:t>Kuhfeld</w:t>
      </w:r>
      <w:proofErr w:type="spellEnd"/>
      <w:r w:rsidRPr="00D2119D">
        <w:rPr>
          <w:rFonts w:ascii="Times New Roman" w:hAnsi="Times New Roman" w:cs="Times New Roman"/>
        </w:rPr>
        <w:t xml:space="preserve">, M., </w:t>
      </w:r>
      <w:proofErr w:type="spellStart"/>
      <w:r w:rsidRPr="00D2119D">
        <w:rPr>
          <w:rFonts w:ascii="Times New Roman" w:hAnsi="Times New Roman" w:cs="Times New Roman"/>
        </w:rPr>
        <w:t>Soland</w:t>
      </w:r>
      <w:proofErr w:type="spellEnd"/>
      <w:r w:rsidRPr="00D2119D">
        <w:rPr>
          <w:rFonts w:ascii="Times New Roman" w:hAnsi="Times New Roman" w:cs="Times New Roman"/>
        </w:rPr>
        <w:t xml:space="preserve">, J., </w:t>
      </w:r>
      <w:proofErr w:type="spellStart"/>
      <w:r w:rsidRPr="00D2119D">
        <w:rPr>
          <w:rFonts w:ascii="Times New Roman" w:hAnsi="Times New Roman" w:cs="Times New Roman"/>
        </w:rPr>
        <w:t>Tarasawa</w:t>
      </w:r>
      <w:proofErr w:type="spellEnd"/>
      <w:r w:rsidRPr="00D2119D">
        <w:rPr>
          <w:rFonts w:ascii="Times New Roman" w:hAnsi="Times New Roman" w:cs="Times New Roman"/>
        </w:rPr>
        <w:t xml:space="preserve">, B., Johnson, A., </w:t>
      </w:r>
      <w:proofErr w:type="spellStart"/>
      <w:r w:rsidRPr="00D2119D">
        <w:rPr>
          <w:rFonts w:ascii="Times New Roman" w:hAnsi="Times New Roman" w:cs="Times New Roman"/>
        </w:rPr>
        <w:t>Ruzek</w:t>
      </w:r>
      <w:proofErr w:type="spellEnd"/>
      <w:r w:rsidRPr="00D2119D">
        <w:rPr>
          <w:rFonts w:ascii="Times New Roman" w:hAnsi="Times New Roman" w:cs="Times New Roman"/>
        </w:rPr>
        <w:t>, E., &amp; Liu, J. (2020). Projecting the potential impact of COVID-19 school closures on academic achievement. </w:t>
      </w:r>
      <w:r w:rsidRPr="00D2119D">
        <w:rPr>
          <w:rFonts w:ascii="Times New Roman" w:hAnsi="Times New Roman" w:cs="Times New Roman"/>
          <w:i/>
          <w:iCs/>
        </w:rPr>
        <w:t>Educational Researcher</w:t>
      </w:r>
      <w:r w:rsidRPr="00D2119D">
        <w:rPr>
          <w:rFonts w:ascii="Times New Roman" w:hAnsi="Times New Roman" w:cs="Times New Roman"/>
        </w:rPr>
        <w:t>, </w:t>
      </w:r>
      <w:r w:rsidRPr="00D2119D">
        <w:rPr>
          <w:rFonts w:ascii="Times New Roman" w:hAnsi="Times New Roman" w:cs="Times New Roman"/>
          <w:i/>
          <w:iCs/>
        </w:rPr>
        <w:t>49</w:t>
      </w:r>
      <w:r w:rsidRPr="00D2119D">
        <w:rPr>
          <w:rFonts w:ascii="Times New Roman" w:hAnsi="Times New Roman" w:cs="Times New Roman"/>
        </w:rPr>
        <w:t>(8), 549-565.</w:t>
      </w:r>
      <w:r w:rsidRPr="00D2119D" w:rsidDel="00D2119D">
        <w:rPr>
          <w:rFonts w:ascii="Times New Roman" w:hAnsi="Times New Roman" w:cs="Times New Roman"/>
        </w:rPr>
        <w:t xml:space="preserve"> </w:t>
      </w:r>
      <w:hyperlink r:id="rId19">
        <w:r w:rsidR="00EA1561" w:rsidRPr="00F175C5">
          <w:rPr>
            <w:rStyle w:val="Hyperlink"/>
            <w:rFonts w:ascii="Times New Roman" w:hAnsi="Times New Roman" w:cs="Times New Roman"/>
          </w:rPr>
          <w:t>https://doi.org/10.3102/0013189x20965918</w:t>
        </w:r>
      </w:hyperlink>
      <w:r w:rsidR="00EA1561" w:rsidRPr="00F175C5">
        <w:rPr>
          <w:rFonts w:ascii="Times New Roman" w:hAnsi="Times New Roman" w:cs="Times New Roman"/>
        </w:rPr>
        <w:t>.</w:t>
      </w:r>
    </w:p>
    <w:p w14:paraId="4F298817" w14:textId="63759CE8" w:rsidR="007677EA" w:rsidRPr="00F175C5" w:rsidRDefault="008B21BD" w:rsidP="00F175C5">
      <w:pPr>
        <w:pStyle w:val="Bibliography"/>
        <w:spacing w:line="480" w:lineRule="auto"/>
        <w:ind w:left="720" w:hanging="720"/>
        <w:rPr>
          <w:rFonts w:ascii="Times New Roman" w:hAnsi="Times New Roman" w:cs="Times New Roman"/>
        </w:rPr>
      </w:pPr>
      <w:bookmarkStart w:id="21" w:name="ref-lambert2020"/>
      <w:bookmarkEnd w:id="20"/>
      <w:r w:rsidRPr="008B21BD">
        <w:rPr>
          <w:rFonts w:ascii="Times New Roman" w:hAnsi="Times New Roman" w:cs="Times New Roman"/>
        </w:rPr>
        <w:t>Lambert, J. A., Trott, K., &amp; Baugh, R. F. (2020). An Analysis of K-12 School Reopening and Its’ Impact on Teachers. </w:t>
      </w:r>
      <w:r w:rsidRPr="008B21BD">
        <w:rPr>
          <w:rFonts w:ascii="Times New Roman" w:hAnsi="Times New Roman" w:cs="Times New Roman"/>
          <w:i/>
          <w:iCs/>
        </w:rPr>
        <w:t xml:space="preserve">Journal of </w:t>
      </w:r>
      <w:r>
        <w:rPr>
          <w:rFonts w:ascii="Times New Roman" w:hAnsi="Times New Roman" w:cs="Times New Roman"/>
          <w:i/>
          <w:iCs/>
        </w:rPr>
        <w:t>P</w:t>
      </w:r>
      <w:r w:rsidRPr="008B21BD">
        <w:rPr>
          <w:rFonts w:ascii="Times New Roman" w:hAnsi="Times New Roman" w:cs="Times New Roman"/>
          <w:i/>
          <w:iCs/>
        </w:rPr>
        <w:t xml:space="preserve">rimary </w:t>
      </w:r>
      <w:r>
        <w:rPr>
          <w:rFonts w:ascii="Times New Roman" w:hAnsi="Times New Roman" w:cs="Times New Roman"/>
          <w:i/>
          <w:iCs/>
        </w:rPr>
        <w:t>C</w:t>
      </w:r>
      <w:r w:rsidRPr="008B21BD">
        <w:rPr>
          <w:rFonts w:ascii="Times New Roman" w:hAnsi="Times New Roman" w:cs="Times New Roman"/>
          <w:i/>
          <w:iCs/>
        </w:rPr>
        <w:t xml:space="preserve">are &amp; </w:t>
      </w:r>
      <w:r>
        <w:rPr>
          <w:rFonts w:ascii="Times New Roman" w:hAnsi="Times New Roman" w:cs="Times New Roman"/>
          <w:i/>
          <w:iCs/>
        </w:rPr>
        <w:t>C</w:t>
      </w:r>
      <w:r w:rsidRPr="008B21BD">
        <w:rPr>
          <w:rFonts w:ascii="Times New Roman" w:hAnsi="Times New Roman" w:cs="Times New Roman"/>
          <w:i/>
          <w:iCs/>
        </w:rPr>
        <w:t xml:space="preserve">ommunity </w:t>
      </w:r>
      <w:r>
        <w:rPr>
          <w:rFonts w:ascii="Times New Roman" w:hAnsi="Times New Roman" w:cs="Times New Roman"/>
          <w:i/>
          <w:iCs/>
        </w:rPr>
        <w:t>H</w:t>
      </w:r>
      <w:r w:rsidRPr="008B21BD">
        <w:rPr>
          <w:rFonts w:ascii="Times New Roman" w:hAnsi="Times New Roman" w:cs="Times New Roman"/>
          <w:i/>
          <w:iCs/>
        </w:rPr>
        <w:t>ealth</w:t>
      </w:r>
      <w:r w:rsidRPr="008B21BD">
        <w:rPr>
          <w:rFonts w:ascii="Times New Roman" w:hAnsi="Times New Roman" w:cs="Times New Roman"/>
        </w:rPr>
        <w:t>, </w:t>
      </w:r>
      <w:r w:rsidRPr="008B21BD">
        <w:rPr>
          <w:rFonts w:ascii="Times New Roman" w:hAnsi="Times New Roman" w:cs="Times New Roman"/>
          <w:i/>
          <w:iCs/>
        </w:rPr>
        <w:t>11</w:t>
      </w:r>
      <w:r w:rsidRPr="008B21BD">
        <w:rPr>
          <w:rFonts w:ascii="Times New Roman" w:hAnsi="Times New Roman" w:cs="Times New Roman"/>
        </w:rPr>
        <w:t>, 2150132720967503.</w:t>
      </w:r>
      <w:hyperlink r:id="rId20">
        <w:r w:rsidR="00EA1561" w:rsidRPr="00F175C5">
          <w:rPr>
            <w:rStyle w:val="Hyperlink"/>
            <w:rFonts w:ascii="Times New Roman" w:hAnsi="Times New Roman" w:cs="Times New Roman"/>
          </w:rPr>
          <w:t>https://doi.org/10.1177/2150132720967503</w:t>
        </w:r>
      </w:hyperlink>
      <w:r w:rsidR="00EA1561" w:rsidRPr="00F175C5">
        <w:rPr>
          <w:rFonts w:ascii="Times New Roman" w:hAnsi="Times New Roman" w:cs="Times New Roman"/>
        </w:rPr>
        <w:t>.</w:t>
      </w:r>
    </w:p>
    <w:p w14:paraId="4F298818" w14:textId="691E46A1" w:rsidR="007677EA" w:rsidRPr="00F175C5" w:rsidRDefault="00E31BB8" w:rsidP="00F175C5">
      <w:pPr>
        <w:pStyle w:val="Bibliography"/>
        <w:spacing w:line="480" w:lineRule="auto"/>
        <w:ind w:left="720" w:hanging="720"/>
        <w:rPr>
          <w:rFonts w:ascii="Times New Roman" w:hAnsi="Times New Roman" w:cs="Times New Roman"/>
        </w:rPr>
      </w:pPr>
      <w:bookmarkStart w:id="22" w:name="ref-Li2022"/>
      <w:bookmarkEnd w:id="21"/>
      <w:r w:rsidRPr="00E31BB8">
        <w:rPr>
          <w:rFonts w:ascii="Times New Roman" w:hAnsi="Times New Roman" w:cs="Times New Roman"/>
        </w:rPr>
        <w:t xml:space="preserve">Li, J., </w:t>
      </w:r>
      <w:proofErr w:type="spellStart"/>
      <w:r w:rsidRPr="00E31BB8">
        <w:rPr>
          <w:rFonts w:ascii="Times New Roman" w:hAnsi="Times New Roman" w:cs="Times New Roman"/>
        </w:rPr>
        <w:t>Timpe</w:t>
      </w:r>
      <w:proofErr w:type="spellEnd"/>
      <w:r w:rsidRPr="00E31BB8">
        <w:rPr>
          <w:rFonts w:ascii="Times New Roman" w:hAnsi="Times New Roman" w:cs="Times New Roman"/>
        </w:rPr>
        <w:t xml:space="preserve">, Z., Suarez, N., Ashley, C. L., </w:t>
      </w:r>
      <w:proofErr w:type="spellStart"/>
      <w:r w:rsidRPr="00E31BB8">
        <w:rPr>
          <w:rFonts w:ascii="Times New Roman" w:hAnsi="Times New Roman" w:cs="Times New Roman"/>
        </w:rPr>
        <w:t>Rasberry</w:t>
      </w:r>
      <w:proofErr w:type="spellEnd"/>
      <w:r w:rsidRPr="00E31BB8">
        <w:rPr>
          <w:rFonts w:ascii="Times New Roman" w:hAnsi="Times New Roman" w:cs="Times New Roman"/>
        </w:rPr>
        <w:t>, C. N., &amp; Robin, L. (2022). Intervening at the Right Level to Improve Student Health: An Analysis of Levels of Influence on Sexual Behavior of High School Students. </w:t>
      </w:r>
      <w:r w:rsidRPr="00E31BB8">
        <w:rPr>
          <w:rFonts w:ascii="Times New Roman" w:hAnsi="Times New Roman" w:cs="Times New Roman"/>
          <w:i/>
          <w:iCs/>
        </w:rPr>
        <w:t>AIDS Education and Prevention</w:t>
      </w:r>
      <w:r w:rsidRPr="00E31BB8">
        <w:rPr>
          <w:rFonts w:ascii="Times New Roman" w:hAnsi="Times New Roman" w:cs="Times New Roman"/>
        </w:rPr>
        <w:t>, </w:t>
      </w:r>
      <w:r w:rsidRPr="00E31BB8">
        <w:rPr>
          <w:rFonts w:ascii="Times New Roman" w:hAnsi="Times New Roman" w:cs="Times New Roman"/>
          <w:i/>
          <w:iCs/>
        </w:rPr>
        <w:t>34</w:t>
      </w:r>
      <w:r w:rsidRPr="00E31BB8">
        <w:rPr>
          <w:rFonts w:ascii="Times New Roman" w:hAnsi="Times New Roman" w:cs="Times New Roman"/>
        </w:rPr>
        <w:t>(4), 300-310.</w:t>
      </w:r>
      <w:r w:rsidRPr="00E31BB8" w:rsidDel="00E31BB8">
        <w:rPr>
          <w:rFonts w:ascii="Times New Roman" w:hAnsi="Times New Roman" w:cs="Times New Roman"/>
        </w:rPr>
        <w:t xml:space="preserve"> </w:t>
      </w:r>
      <w:hyperlink r:id="rId21">
        <w:r w:rsidR="00EA1561" w:rsidRPr="00F175C5">
          <w:rPr>
            <w:rStyle w:val="Hyperlink"/>
            <w:rFonts w:ascii="Times New Roman" w:hAnsi="Times New Roman" w:cs="Times New Roman"/>
          </w:rPr>
          <w:t>https://doi.org/10.1521/aeap.2022.34.4.300</w:t>
        </w:r>
      </w:hyperlink>
      <w:r w:rsidR="00EA1561" w:rsidRPr="00F175C5">
        <w:rPr>
          <w:rFonts w:ascii="Times New Roman" w:hAnsi="Times New Roman" w:cs="Times New Roman"/>
        </w:rPr>
        <w:t>.</w:t>
      </w:r>
    </w:p>
    <w:p w14:paraId="4F298819" w14:textId="11B089B9" w:rsidR="007677EA" w:rsidRPr="00F175C5" w:rsidRDefault="002F099B" w:rsidP="00F175C5">
      <w:pPr>
        <w:pStyle w:val="Bibliography"/>
        <w:spacing w:line="480" w:lineRule="auto"/>
        <w:ind w:left="720" w:hanging="720"/>
        <w:rPr>
          <w:rFonts w:ascii="Times New Roman" w:hAnsi="Times New Roman" w:cs="Times New Roman"/>
        </w:rPr>
      </w:pPr>
      <w:bookmarkStart w:id="23" w:name="ref-nicola2020"/>
      <w:bookmarkEnd w:id="22"/>
      <w:r w:rsidRPr="002F099B">
        <w:rPr>
          <w:rFonts w:ascii="Times New Roman" w:hAnsi="Times New Roman" w:cs="Times New Roman"/>
        </w:rPr>
        <w:t xml:space="preserve">Nicola, M., </w:t>
      </w:r>
      <w:proofErr w:type="spellStart"/>
      <w:r w:rsidRPr="002F099B">
        <w:rPr>
          <w:rFonts w:ascii="Times New Roman" w:hAnsi="Times New Roman" w:cs="Times New Roman"/>
        </w:rPr>
        <w:t>Alsafi</w:t>
      </w:r>
      <w:proofErr w:type="spellEnd"/>
      <w:r w:rsidRPr="002F099B">
        <w:rPr>
          <w:rFonts w:ascii="Times New Roman" w:hAnsi="Times New Roman" w:cs="Times New Roman"/>
        </w:rPr>
        <w:t xml:space="preserve">, Z., </w:t>
      </w:r>
      <w:proofErr w:type="spellStart"/>
      <w:r w:rsidRPr="002F099B">
        <w:rPr>
          <w:rFonts w:ascii="Times New Roman" w:hAnsi="Times New Roman" w:cs="Times New Roman"/>
        </w:rPr>
        <w:t>Sohrabi</w:t>
      </w:r>
      <w:proofErr w:type="spellEnd"/>
      <w:r w:rsidRPr="002F099B">
        <w:rPr>
          <w:rFonts w:ascii="Times New Roman" w:hAnsi="Times New Roman" w:cs="Times New Roman"/>
        </w:rPr>
        <w:t xml:space="preserve">, C., </w:t>
      </w:r>
      <w:proofErr w:type="spellStart"/>
      <w:r w:rsidRPr="002F099B">
        <w:rPr>
          <w:rFonts w:ascii="Times New Roman" w:hAnsi="Times New Roman" w:cs="Times New Roman"/>
        </w:rPr>
        <w:t>Kerwan</w:t>
      </w:r>
      <w:proofErr w:type="spellEnd"/>
      <w:r w:rsidRPr="002F099B">
        <w:rPr>
          <w:rFonts w:ascii="Times New Roman" w:hAnsi="Times New Roman" w:cs="Times New Roman"/>
        </w:rPr>
        <w:t xml:space="preserve">, A., Al-Jabir, A., </w:t>
      </w:r>
      <w:proofErr w:type="spellStart"/>
      <w:r w:rsidRPr="002F099B">
        <w:rPr>
          <w:rFonts w:ascii="Times New Roman" w:hAnsi="Times New Roman" w:cs="Times New Roman"/>
        </w:rPr>
        <w:t>Iosifidis</w:t>
      </w:r>
      <w:proofErr w:type="spellEnd"/>
      <w:r w:rsidRPr="002F099B">
        <w:rPr>
          <w:rFonts w:ascii="Times New Roman" w:hAnsi="Times New Roman" w:cs="Times New Roman"/>
        </w:rPr>
        <w:t>, C., ... &amp; Agha, R. (2020). The socio-economic implications of the coronavirus pandemic (COVID-19): A review. </w:t>
      </w:r>
      <w:r w:rsidRPr="002F099B">
        <w:rPr>
          <w:rFonts w:ascii="Times New Roman" w:hAnsi="Times New Roman" w:cs="Times New Roman"/>
          <w:i/>
          <w:iCs/>
        </w:rPr>
        <w:t xml:space="preserve">International </w:t>
      </w:r>
      <w:r>
        <w:rPr>
          <w:rFonts w:ascii="Times New Roman" w:hAnsi="Times New Roman" w:cs="Times New Roman"/>
          <w:i/>
          <w:iCs/>
        </w:rPr>
        <w:t>J</w:t>
      </w:r>
      <w:r w:rsidRPr="002F099B">
        <w:rPr>
          <w:rFonts w:ascii="Times New Roman" w:hAnsi="Times New Roman" w:cs="Times New Roman"/>
          <w:i/>
          <w:iCs/>
        </w:rPr>
        <w:t xml:space="preserve">ournal of </w:t>
      </w:r>
      <w:r>
        <w:rPr>
          <w:rFonts w:ascii="Times New Roman" w:hAnsi="Times New Roman" w:cs="Times New Roman"/>
          <w:i/>
          <w:iCs/>
        </w:rPr>
        <w:t>S</w:t>
      </w:r>
      <w:r w:rsidRPr="002F099B">
        <w:rPr>
          <w:rFonts w:ascii="Times New Roman" w:hAnsi="Times New Roman" w:cs="Times New Roman"/>
          <w:i/>
          <w:iCs/>
        </w:rPr>
        <w:t>urgery</w:t>
      </w:r>
      <w:r w:rsidRPr="002F099B">
        <w:rPr>
          <w:rFonts w:ascii="Times New Roman" w:hAnsi="Times New Roman" w:cs="Times New Roman"/>
        </w:rPr>
        <w:t>, </w:t>
      </w:r>
      <w:r w:rsidRPr="002F099B">
        <w:rPr>
          <w:rFonts w:ascii="Times New Roman" w:hAnsi="Times New Roman" w:cs="Times New Roman"/>
          <w:i/>
          <w:iCs/>
        </w:rPr>
        <w:t>78</w:t>
      </w:r>
      <w:r w:rsidRPr="002F099B">
        <w:rPr>
          <w:rFonts w:ascii="Times New Roman" w:hAnsi="Times New Roman" w:cs="Times New Roman"/>
        </w:rPr>
        <w:t>, 185-193.</w:t>
      </w:r>
      <w:r w:rsidRPr="002F099B" w:rsidDel="002F099B">
        <w:rPr>
          <w:rFonts w:ascii="Times New Roman" w:hAnsi="Times New Roman" w:cs="Times New Roman"/>
        </w:rPr>
        <w:t xml:space="preserve"> </w:t>
      </w:r>
      <w:hyperlink r:id="rId22">
        <w:r w:rsidR="00EA1561" w:rsidRPr="00F175C5">
          <w:rPr>
            <w:rStyle w:val="Hyperlink"/>
            <w:rFonts w:ascii="Times New Roman" w:hAnsi="Times New Roman" w:cs="Times New Roman"/>
          </w:rPr>
          <w:t>https://doi.org/10.1016/j.ijsu.2020.04.018</w:t>
        </w:r>
      </w:hyperlink>
      <w:r w:rsidR="00EA1561" w:rsidRPr="00F175C5">
        <w:rPr>
          <w:rFonts w:ascii="Times New Roman" w:hAnsi="Times New Roman" w:cs="Times New Roman"/>
        </w:rPr>
        <w:t>.</w:t>
      </w:r>
    </w:p>
    <w:p w14:paraId="4F29881A" w14:textId="3581E188" w:rsidR="007677EA" w:rsidRPr="00F175C5" w:rsidRDefault="00782540" w:rsidP="00F175C5">
      <w:pPr>
        <w:pStyle w:val="Bibliography"/>
        <w:spacing w:line="480" w:lineRule="auto"/>
        <w:ind w:left="720" w:hanging="720"/>
        <w:rPr>
          <w:rFonts w:ascii="Times New Roman" w:hAnsi="Times New Roman" w:cs="Times New Roman"/>
        </w:rPr>
      </w:pPr>
      <w:bookmarkStart w:id="24" w:name="ref-oster2021"/>
      <w:bookmarkEnd w:id="23"/>
      <w:r w:rsidRPr="00782540">
        <w:rPr>
          <w:rFonts w:ascii="Times New Roman" w:hAnsi="Times New Roman" w:cs="Times New Roman"/>
        </w:rPr>
        <w:t xml:space="preserve">Oster, E., Jack, R., Halloran, C., </w:t>
      </w:r>
      <w:proofErr w:type="spellStart"/>
      <w:r w:rsidRPr="00782540">
        <w:rPr>
          <w:rFonts w:ascii="Times New Roman" w:hAnsi="Times New Roman" w:cs="Times New Roman"/>
        </w:rPr>
        <w:t>Schoof</w:t>
      </w:r>
      <w:proofErr w:type="spellEnd"/>
      <w:r w:rsidRPr="00782540">
        <w:rPr>
          <w:rFonts w:ascii="Times New Roman" w:hAnsi="Times New Roman" w:cs="Times New Roman"/>
        </w:rPr>
        <w:t>, J., McLeod, D., Yang, H., ... &amp; Roche, D. (2021). Disparities in learning mode access among K–12 students during the COVID-19 pandemic, by race/ethnicity, geography, and grade level—United States, September 2020–April 2021. </w:t>
      </w:r>
      <w:r w:rsidRPr="00782540">
        <w:rPr>
          <w:rFonts w:ascii="Times New Roman" w:hAnsi="Times New Roman" w:cs="Times New Roman"/>
          <w:i/>
          <w:iCs/>
        </w:rPr>
        <w:t>Morbidity and Mortality Weekly Report</w:t>
      </w:r>
      <w:r w:rsidRPr="00782540">
        <w:rPr>
          <w:rFonts w:ascii="Times New Roman" w:hAnsi="Times New Roman" w:cs="Times New Roman"/>
        </w:rPr>
        <w:t>, </w:t>
      </w:r>
      <w:r w:rsidRPr="00782540">
        <w:rPr>
          <w:rFonts w:ascii="Times New Roman" w:hAnsi="Times New Roman" w:cs="Times New Roman"/>
          <w:i/>
          <w:iCs/>
        </w:rPr>
        <w:t>70</w:t>
      </w:r>
      <w:r w:rsidRPr="00782540">
        <w:rPr>
          <w:rFonts w:ascii="Times New Roman" w:hAnsi="Times New Roman" w:cs="Times New Roman"/>
        </w:rPr>
        <w:t>(26), 953.</w:t>
      </w:r>
      <w:r>
        <w:rPr>
          <w:rFonts w:ascii="Times New Roman" w:hAnsi="Times New Roman" w:cs="Times New Roman"/>
        </w:rPr>
        <w:t xml:space="preserve"> </w:t>
      </w:r>
      <w:hyperlink r:id="rId23">
        <w:r w:rsidR="00EA1561" w:rsidRPr="00F175C5">
          <w:rPr>
            <w:rStyle w:val="Hyperlink"/>
            <w:rFonts w:ascii="Times New Roman" w:hAnsi="Times New Roman" w:cs="Times New Roman"/>
          </w:rPr>
          <w:t>https://doi.org/10.15585/mmwr.mm7026e2</w:t>
        </w:r>
      </w:hyperlink>
      <w:r w:rsidR="00EA1561" w:rsidRPr="00F175C5">
        <w:rPr>
          <w:rFonts w:ascii="Times New Roman" w:hAnsi="Times New Roman" w:cs="Times New Roman"/>
        </w:rPr>
        <w:t>.</w:t>
      </w:r>
    </w:p>
    <w:p w14:paraId="4F29881B" w14:textId="5F3D3889" w:rsidR="007677EA" w:rsidRPr="00F175C5" w:rsidRDefault="005573D6" w:rsidP="00F175C5">
      <w:pPr>
        <w:pStyle w:val="Bibliography"/>
        <w:spacing w:line="480" w:lineRule="auto"/>
        <w:ind w:left="720" w:hanging="720"/>
        <w:rPr>
          <w:rFonts w:ascii="Times New Roman" w:hAnsi="Times New Roman" w:cs="Times New Roman"/>
        </w:rPr>
      </w:pPr>
      <w:bookmarkStart w:id="25" w:name="ref-rcore"/>
      <w:bookmarkEnd w:id="24"/>
      <w:r>
        <w:rPr>
          <w:rFonts w:ascii="Times New Roman" w:hAnsi="Times New Roman" w:cs="Times New Roman"/>
        </w:rPr>
        <w:lastRenderedPageBreak/>
        <w:t>R Core Team</w:t>
      </w:r>
      <w:r w:rsidR="0040210E" w:rsidRPr="0040210E">
        <w:rPr>
          <w:rFonts w:ascii="Times New Roman" w:hAnsi="Times New Roman" w:cs="Times New Roman"/>
        </w:rPr>
        <w:t>. (2013). R: A language and environment for statistical computing.</w:t>
      </w:r>
      <w:r w:rsidR="0040210E" w:rsidRPr="0040210E" w:rsidDel="0040210E">
        <w:rPr>
          <w:rFonts w:ascii="Times New Roman" w:hAnsi="Times New Roman" w:cs="Times New Roman"/>
        </w:rPr>
        <w:t xml:space="preserve"> </w:t>
      </w:r>
      <w:hyperlink r:id="rId24">
        <w:r w:rsidR="00EA1561" w:rsidRPr="00F175C5">
          <w:rPr>
            <w:rStyle w:val="Hyperlink"/>
            <w:rFonts w:ascii="Times New Roman" w:hAnsi="Times New Roman" w:cs="Times New Roman"/>
          </w:rPr>
          <w:t>https://www.R-project.org/</w:t>
        </w:r>
      </w:hyperlink>
      <w:r w:rsidR="00EA1561" w:rsidRPr="00F175C5">
        <w:rPr>
          <w:rFonts w:ascii="Times New Roman" w:hAnsi="Times New Roman" w:cs="Times New Roman"/>
        </w:rPr>
        <w:t>.</w:t>
      </w:r>
    </w:p>
    <w:p w14:paraId="4F29881C" w14:textId="084F628B" w:rsidR="007677EA" w:rsidRPr="00F175C5" w:rsidRDefault="00344824" w:rsidP="00F175C5">
      <w:pPr>
        <w:pStyle w:val="Bibliography"/>
        <w:spacing w:line="480" w:lineRule="auto"/>
        <w:ind w:left="720" w:hanging="720"/>
        <w:rPr>
          <w:rFonts w:ascii="Times New Roman" w:hAnsi="Times New Roman" w:cs="Times New Roman"/>
        </w:rPr>
      </w:pPr>
      <w:bookmarkStart w:id="26" w:name="ref-Strobl2008"/>
      <w:bookmarkEnd w:id="25"/>
      <w:r w:rsidRPr="00344824">
        <w:rPr>
          <w:rFonts w:ascii="Times New Roman" w:hAnsi="Times New Roman" w:cs="Times New Roman"/>
        </w:rPr>
        <w:t xml:space="preserve">Strobl, C., </w:t>
      </w:r>
      <w:proofErr w:type="spellStart"/>
      <w:r w:rsidRPr="00344824">
        <w:rPr>
          <w:rFonts w:ascii="Times New Roman" w:hAnsi="Times New Roman" w:cs="Times New Roman"/>
        </w:rPr>
        <w:t>Boulesteix</w:t>
      </w:r>
      <w:proofErr w:type="spellEnd"/>
      <w:r w:rsidRPr="00344824">
        <w:rPr>
          <w:rFonts w:ascii="Times New Roman" w:hAnsi="Times New Roman" w:cs="Times New Roman"/>
        </w:rPr>
        <w:t xml:space="preserve">, A. L., </w:t>
      </w:r>
      <w:proofErr w:type="spellStart"/>
      <w:r w:rsidRPr="00344824">
        <w:rPr>
          <w:rFonts w:ascii="Times New Roman" w:hAnsi="Times New Roman" w:cs="Times New Roman"/>
        </w:rPr>
        <w:t>Kneib</w:t>
      </w:r>
      <w:proofErr w:type="spellEnd"/>
      <w:r w:rsidRPr="00344824">
        <w:rPr>
          <w:rFonts w:ascii="Times New Roman" w:hAnsi="Times New Roman" w:cs="Times New Roman"/>
        </w:rPr>
        <w:t xml:space="preserve">, T., Augustin, T., &amp; </w:t>
      </w:r>
      <w:proofErr w:type="spellStart"/>
      <w:r w:rsidRPr="00344824">
        <w:rPr>
          <w:rFonts w:ascii="Times New Roman" w:hAnsi="Times New Roman" w:cs="Times New Roman"/>
        </w:rPr>
        <w:t>Zeileis</w:t>
      </w:r>
      <w:proofErr w:type="spellEnd"/>
      <w:r w:rsidRPr="00344824">
        <w:rPr>
          <w:rFonts w:ascii="Times New Roman" w:hAnsi="Times New Roman" w:cs="Times New Roman"/>
        </w:rPr>
        <w:t>, A. (2008). Conditional variable importance for random forests. </w:t>
      </w:r>
      <w:r w:rsidRPr="00344824">
        <w:rPr>
          <w:rFonts w:ascii="Times New Roman" w:hAnsi="Times New Roman" w:cs="Times New Roman"/>
          <w:i/>
          <w:iCs/>
        </w:rPr>
        <w:t>BMC bioinformatics</w:t>
      </w:r>
      <w:r w:rsidRPr="00344824">
        <w:rPr>
          <w:rFonts w:ascii="Times New Roman" w:hAnsi="Times New Roman" w:cs="Times New Roman"/>
        </w:rPr>
        <w:t>, </w:t>
      </w:r>
      <w:r w:rsidRPr="00344824">
        <w:rPr>
          <w:rFonts w:ascii="Times New Roman" w:hAnsi="Times New Roman" w:cs="Times New Roman"/>
          <w:i/>
          <w:iCs/>
        </w:rPr>
        <w:t>9</w:t>
      </w:r>
      <w:r w:rsidRPr="00344824">
        <w:rPr>
          <w:rFonts w:ascii="Times New Roman" w:hAnsi="Times New Roman" w:cs="Times New Roman"/>
        </w:rPr>
        <w:t>(1), 1-11.</w:t>
      </w:r>
      <w:r w:rsidRPr="00344824" w:rsidDel="00344824">
        <w:rPr>
          <w:rFonts w:ascii="Times New Roman" w:hAnsi="Times New Roman" w:cs="Times New Roman"/>
        </w:rPr>
        <w:t xml:space="preserve"> </w:t>
      </w:r>
      <w:hyperlink r:id="rId25">
        <w:r w:rsidR="00EA1561" w:rsidRPr="00F175C5">
          <w:rPr>
            <w:rStyle w:val="Hyperlink"/>
            <w:rFonts w:ascii="Times New Roman" w:hAnsi="Times New Roman" w:cs="Times New Roman"/>
          </w:rPr>
          <w:t>https://doi.org/10.1186/1471-2105-9-307</w:t>
        </w:r>
      </w:hyperlink>
      <w:r w:rsidR="00EA1561" w:rsidRPr="00F175C5">
        <w:rPr>
          <w:rFonts w:ascii="Times New Roman" w:hAnsi="Times New Roman" w:cs="Times New Roman"/>
        </w:rPr>
        <w:t>.</w:t>
      </w:r>
    </w:p>
    <w:p w14:paraId="4F29881D" w14:textId="27A18297" w:rsidR="007677EA" w:rsidRPr="00F175C5" w:rsidRDefault="00432689" w:rsidP="00F175C5">
      <w:pPr>
        <w:pStyle w:val="Bibliography"/>
        <w:spacing w:line="480" w:lineRule="auto"/>
        <w:ind w:left="720" w:hanging="720"/>
        <w:rPr>
          <w:rFonts w:ascii="Times New Roman" w:hAnsi="Times New Roman" w:cs="Times New Roman"/>
        </w:rPr>
      </w:pPr>
      <w:bookmarkStart w:id="27" w:name="ref-verlenden2021"/>
      <w:bookmarkEnd w:id="26"/>
      <w:proofErr w:type="spellStart"/>
      <w:r w:rsidRPr="00432689">
        <w:rPr>
          <w:rFonts w:ascii="Times New Roman" w:hAnsi="Times New Roman" w:cs="Times New Roman"/>
        </w:rPr>
        <w:t>Verlenden</w:t>
      </w:r>
      <w:proofErr w:type="spellEnd"/>
      <w:r w:rsidRPr="00432689">
        <w:rPr>
          <w:rFonts w:ascii="Times New Roman" w:hAnsi="Times New Roman" w:cs="Times New Roman"/>
        </w:rPr>
        <w:t xml:space="preserve">, J. V., </w:t>
      </w:r>
      <w:proofErr w:type="spellStart"/>
      <w:r w:rsidRPr="00432689">
        <w:rPr>
          <w:rFonts w:ascii="Times New Roman" w:hAnsi="Times New Roman" w:cs="Times New Roman"/>
        </w:rPr>
        <w:t>Pampati</w:t>
      </w:r>
      <w:proofErr w:type="spellEnd"/>
      <w:r w:rsidRPr="00432689">
        <w:rPr>
          <w:rFonts w:ascii="Times New Roman" w:hAnsi="Times New Roman" w:cs="Times New Roman"/>
        </w:rPr>
        <w:t xml:space="preserve">, S., </w:t>
      </w:r>
      <w:proofErr w:type="spellStart"/>
      <w:r w:rsidRPr="00432689">
        <w:rPr>
          <w:rFonts w:ascii="Times New Roman" w:hAnsi="Times New Roman" w:cs="Times New Roman"/>
        </w:rPr>
        <w:t>Rasberry</w:t>
      </w:r>
      <w:proofErr w:type="spellEnd"/>
      <w:r w:rsidRPr="00432689">
        <w:rPr>
          <w:rFonts w:ascii="Times New Roman" w:hAnsi="Times New Roman" w:cs="Times New Roman"/>
        </w:rPr>
        <w:t xml:space="preserve">, C. N., </w:t>
      </w:r>
      <w:proofErr w:type="spellStart"/>
      <w:r w:rsidRPr="00432689">
        <w:rPr>
          <w:rFonts w:ascii="Times New Roman" w:hAnsi="Times New Roman" w:cs="Times New Roman"/>
        </w:rPr>
        <w:t>Liddon</w:t>
      </w:r>
      <w:proofErr w:type="spellEnd"/>
      <w:r w:rsidRPr="00432689">
        <w:rPr>
          <w:rFonts w:ascii="Times New Roman" w:hAnsi="Times New Roman" w:cs="Times New Roman"/>
        </w:rPr>
        <w:t xml:space="preserve">, N., Hertz, M., Kilmer, G., ... &amp; </w:t>
      </w:r>
      <w:proofErr w:type="spellStart"/>
      <w:r w:rsidRPr="00432689">
        <w:rPr>
          <w:rFonts w:ascii="Times New Roman" w:hAnsi="Times New Roman" w:cs="Times New Roman"/>
        </w:rPr>
        <w:t>Ethier</w:t>
      </w:r>
      <w:proofErr w:type="spellEnd"/>
      <w:r w:rsidRPr="00432689">
        <w:rPr>
          <w:rFonts w:ascii="Times New Roman" w:hAnsi="Times New Roman" w:cs="Times New Roman"/>
        </w:rPr>
        <w:t>, K. A. (2021). Association of children’s mode of school instruction with child and parent experiences and well-being during the COVID-19 pandemic—COVID Experiences Survey, United States, October 8–November 13, 2020. </w:t>
      </w:r>
      <w:r w:rsidRPr="00432689">
        <w:rPr>
          <w:rFonts w:ascii="Times New Roman" w:hAnsi="Times New Roman" w:cs="Times New Roman"/>
          <w:i/>
          <w:iCs/>
        </w:rPr>
        <w:t>Morbidity and Mortality Weekly Report</w:t>
      </w:r>
      <w:r w:rsidRPr="00432689">
        <w:rPr>
          <w:rFonts w:ascii="Times New Roman" w:hAnsi="Times New Roman" w:cs="Times New Roman"/>
        </w:rPr>
        <w:t>, </w:t>
      </w:r>
      <w:r w:rsidRPr="00432689">
        <w:rPr>
          <w:rFonts w:ascii="Times New Roman" w:hAnsi="Times New Roman" w:cs="Times New Roman"/>
          <w:i/>
          <w:iCs/>
        </w:rPr>
        <w:t>70</w:t>
      </w:r>
      <w:r w:rsidRPr="00432689">
        <w:rPr>
          <w:rFonts w:ascii="Times New Roman" w:hAnsi="Times New Roman" w:cs="Times New Roman"/>
        </w:rPr>
        <w:t>(11), 369.</w:t>
      </w:r>
      <w:r>
        <w:rPr>
          <w:rFonts w:ascii="Times New Roman" w:hAnsi="Times New Roman" w:cs="Times New Roman"/>
        </w:rPr>
        <w:t xml:space="preserve"> </w:t>
      </w:r>
      <w:hyperlink r:id="rId26">
        <w:r w:rsidR="00EA1561" w:rsidRPr="00F175C5">
          <w:rPr>
            <w:rStyle w:val="Hyperlink"/>
            <w:rFonts w:ascii="Times New Roman" w:hAnsi="Times New Roman" w:cs="Times New Roman"/>
          </w:rPr>
          <w:t>https://doi.org/10.15585/mmwr.mm7011a1</w:t>
        </w:r>
      </w:hyperlink>
      <w:r w:rsidR="00EA1561" w:rsidRPr="00F175C5">
        <w:rPr>
          <w:rFonts w:ascii="Times New Roman" w:hAnsi="Times New Roman" w:cs="Times New Roman"/>
        </w:rPr>
        <w:t>.</w:t>
      </w:r>
    </w:p>
    <w:p w14:paraId="4F29881E" w14:textId="62CDC7AF" w:rsidR="007677EA" w:rsidRPr="00F175C5" w:rsidRDefault="00F75AFD" w:rsidP="00F175C5">
      <w:pPr>
        <w:pStyle w:val="Bibliography"/>
        <w:spacing w:line="480" w:lineRule="auto"/>
        <w:ind w:left="720" w:hanging="720"/>
        <w:rPr>
          <w:rFonts w:ascii="Times New Roman" w:hAnsi="Times New Roman" w:cs="Times New Roman"/>
        </w:rPr>
      </w:pPr>
      <w:bookmarkStart w:id="28" w:name="ref-Whitaker2020"/>
      <w:bookmarkEnd w:id="27"/>
      <w:r w:rsidRPr="00F75AFD">
        <w:rPr>
          <w:rFonts w:ascii="Times New Roman" w:hAnsi="Times New Roman" w:cs="Times New Roman"/>
        </w:rPr>
        <w:t xml:space="preserve">Whitaker, R. G., Sperber, N., Baumgartner, M., </w:t>
      </w:r>
      <w:proofErr w:type="spellStart"/>
      <w:r w:rsidRPr="00F75AFD">
        <w:rPr>
          <w:rFonts w:ascii="Times New Roman" w:hAnsi="Times New Roman" w:cs="Times New Roman"/>
        </w:rPr>
        <w:t>Thiem</w:t>
      </w:r>
      <w:proofErr w:type="spellEnd"/>
      <w:r w:rsidRPr="00F75AFD">
        <w:rPr>
          <w:rFonts w:ascii="Times New Roman" w:hAnsi="Times New Roman" w:cs="Times New Roman"/>
        </w:rPr>
        <w:t xml:space="preserve">, A., </w:t>
      </w:r>
      <w:proofErr w:type="spellStart"/>
      <w:r w:rsidRPr="00F75AFD">
        <w:rPr>
          <w:rFonts w:ascii="Times New Roman" w:hAnsi="Times New Roman" w:cs="Times New Roman"/>
        </w:rPr>
        <w:t>Cragun</w:t>
      </w:r>
      <w:proofErr w:type="spellEnd"/>
      <w:r w:rsidRPr="00F75AFD">
        <w:rPr>
          <w:rFonts w:ascii="Times New Roman" w:hAnsi="Times New Roman" w:cs="Times New Roman"/>
        </w:rPr>
        <w:t>, D., Damschroder, L., ... &amp; Birken, S. (2020). Coincidence analysis: a new method for causal inference in implementation science. </w:t>
      </w:r>
      <w:r w:rsidRPr="00F75AFD">
        <w:rPr>
          <w:rFonts w:ascii="Times New Roman" w:hAnsi="Times New Roman" w:cs="Times New Roman"/>
          <w:i/>
          <w:iCs/>
        </w:rPr>
        <w:t>Implementation Science</w:t>
      </w:r>
      <w:r w:rsidRPr="00F75AFD">
        <w:rPr>
          <w:rFonts w:ascii="Times New Roman" w:hAnsi="Times New Roman" w:cs="Times New Roman"/>
        </w:rPr>
        <w:t>, </w:t>
      </w:r>
      <w:r w:rsidRPr="00F75AFD">
        <w:rPr>
          <w:rFonts w:ascii="Times New Roman" w:hAnsi="Times New Roman" w:cs="Times New Roman"/>
          <w:i/>
          <w:iCs/>
        </w:rPr>
        <w:t>15</w:t>
      </w:r>
      <w:r w:rsidRPr="00F75AFD">
        <w:rPr>
          <w:rFonts w:ascii="Times New Roman" w:hAnsi="Times New Roman" w:cs="Times New Roman"/>
        </w:rPr>
        <w:t>(1), 1-10.</w:t>
      </w:r>
      <w:r w:rsidRPr="00F75AFD" w:rsidDel="00F75AFD">
        <w:rPr>
          <w:rFonts w:ascii="Times New Roman" w:hAnsi="Times New Roman" w:cs="Times New Roman"/>
        </w:rPr>
        <w:t xml:space="preserve"> </w:t>
      </w:r>
      <w:hyperlink r:id="rId27">
        <w:r w:rsidR="00EA1561" w:rsidRPr="00F175C5">
          <w:rPr>
            <w:rStyle w:val="Hyperlink"/>
            <w:rFonts w:ascii="Times New Roman" w:hAnsi="Times New Roman" w:cs="Times New Roman"/>
          </w:rPr>
          <w:t>https://doi.org/10.1186/s13012-020-01070-3</w:t>
        </w:r>
      </w:hyperlink>
      <w:r w:rsidR="00EA1561" w:rsidRPr="00F175C5">
        <w:rPr>
          <w:rFonts w:ascii="Times New Roman" w:hAnsi="Times New Roman" w:cs="Times New Roman"/>
        </w:rPr>
        <w:t>.</w:t>
      </w:r>
    </w:p>
    <w:p w14:paraId="4F29881F" w14:textId="06DE6078" w:rsidR="007677EA" w:rsidRDefault="00827EE1" w:rsidP="00F175C5">
      <w:pPr>
        <w:pStyle w:val="Bibliography"/>
        <w:spacing w:line="480" w:lineRule="auto"/>
        <w:ind w:left="720" w:hanging="720"/>
      </w:pPr>
      <w:bookmarkStart w:id="29" w:name="ref-zimmerman2022"/>
      <w:bookmarkEnd w:id="28"/>
      <w:r w:rsidRPr="00827EE1">
        <w:rPr>
          <w:rFonts w:ascii="Times New Roman" w:hAnsi="Times New Roman" w:cs="Times New Roman"/>
        </w:rPr>
        <w:t>Zimmerman, K. O., Jackman, J. G., &amp; Benjamin, D. K. (2022). From research to policy: Reopening K–12 schools in North Carolina during the COVID-19 pandemic. </w:t>
      </w:r>
      <w:r w:rsidRPr="00827EE1">
        <w:rPr>
          <w:rFonts w:ascii="Times New Roman" w:hAnsi="Times New Roman" w:cs="Times New Roman"/>
          <w:i/>
          <w:iCs/>
        </w:rPr>
        <w:t>Pediatrics</w:t>
      </w:r>
      <w:r w:rsidRPr="00827EE1">
        <w:rPr>
          <w:rFonts w:ascii="Times New Roman" w:hAnsi="Times New Roman" w:cs="Times New Roman"/>
        </w:rPr>
        <w:t>, </w:t>
      </w:r>
      <w:r w:rsidRPr="00827EE1">
        <w:rPr>
          <w:rFonts w:ascii="Times New Roman" w:hAnsi="Times New Roman" w:cs="Times New Roman"/>
          <w:i/>
          <w:iCs/>
        </w:rPr>
        <w:t>149</w:t>
      </w:r>
      <w:r w:rsidRPr="00827EE1">
        <w:rPr>
          <w:rFonts w:ascii="Times New Roman" w:hAnsi="Times New Roman" w:cs="Times New Roman"/>
        </w:rPr>
        <w:t>(Supplement_2).</w:t>
      </w:r>
      <w:r w:rsidRPr="00827EE1" w:rsidDel="00827EE1">
        <w:rPr>
          <w:rFonts w:ascii="Times New Roman" w:hAnsi="Times New Roman" w:cs="Times New Roman"/>
        </w:rPr>
        <w:t xml:space="preserve"> </w:t>
      </w:r>
      <w:hyperlink r:id="rId28">
        <w:r w:rsidR="00EA1561" w:rsidRPr="00F175C5">
          <w:rPr>
            <w:rStyle w:val="Hyperlink"/>
            <w:rFonts w:ascii="Times New Roman" w:hAnsi="Times New Roman" w:cs="Times New Roman"/>
          </w:rPr>
          <w:t>https://doi.org/10.1542/peds.2021-054268e</w:t>
        </w:r>
      </w:hyperlink>
      <w:r w:rsidR="00EA1561">
        <w:t>.</w:t>
      </w:r>
      <w:bookmarkEnd w:id="8"/>
      <w:bookmarkEnd w:id="11"/>
      <w:bookmarkEnd w:id="13"/>
      <w:bookmarkEnd w:id="29"/>
    </w:p>
    <w:sectPr w:rsidR="007677EA" w:rsidSect="00615D85">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24FA0" w14:textId="77777777" w:rsidR="007D738C" w:rsidRDefault="007D738C">
      <w:pPr>
        <w:spacing w:after="0"/>
      </w:pPr>
      <w:r>
        <w:separator/>
      </w:r>
    </w:p>
  </w:endnote>
  <w:endnote w:type="continuationSeparator" w:id="0">
    <w:p w14:paraId="5F7B9C58" w14:textId="77777777" w:rsidR="007D738C" w:rsidRDefault="007D738C">
      <w:pPr>
        <w:spacing w:after="0"/>
      </w:pPr>
      <w:r>
        <w:continuationSeparator/>
      </w:r>
    </w:p>
  </w:endnote>
  <w:endnote w:type="continuationNotice" w:id="1">
    <w:p w14:paraId="725573A8" w14:textId="77777777" w:rsidR="007D738C" w:rsidRDefault="007D738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F5924" w14:textId="6E8038F1" w:rsidR="00E340E6" w:rsidRDefault="00E340E6" w:rsidP="00977397">
    <w:pPr>
      <w:pStyle w:val="Footer"/>
    </w:pPr>
  </w:p>
  <w:p w14:paraId="241BE8C1" w14:textId="682945BB" w:rsidR="00825B96" w:rsidRDefault="00825B9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E3AA5" w14:textId="77777777" w:rsidR="007D738C" w:rsidRDefault="007D738C">
      <w:r>
        <w:separator/>
      </w:r>
    </w:p>
  </w:footnote>
  <w:footnote w:type="continuationSeparator" w:id="0">
    <w:p w14:paraId="2F66D217" w14:textId="77777777" w:rsidR="007D738C" w:rsidRDefault="007D738C">
      <w:r>
        <w:continuationSeparator/>
      </w:r>
    </w:p>
  </w:footnote>
  <w:footnote w:type="continuationNotice" w:id="1">
    <w:p w14:paraId="297194D2" w14:textId="77777777" w:rsidR="007D738C" w:rsidRDefault="007D738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5EFC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FAB2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147E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114D7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3ABA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A0B9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F7E83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402C5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463F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DE8E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04456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70CD2DE"/>
    <w:multiLevelType w:val="multilevel"/>
    <w:tmpl w:val="462A08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69213656">
    <w:abstractNumId w:val="11"/>
  </w:num>
  <w:num w:numId="2" w16cid:durableId="664479791">
    <w:abstractNumId w:val="0"/>
  </w:num>
  <w:num w:numId="3" w16cid:durableId="125052610">
    <w:abstractNumId w:val="1"/>
  </w:num>
  <w:num w:numId="4" w16cid:durableId="1350639417">
    <w:abstractNumId w:val="2"/>
  </w:num>
  <w:num w:numId="5" w16cid:durableId="90710033">
    <w:abstractNumId w:val="3"/>
  </w:num>
  <w:num w:numId="6" w16cid:durableId="1827434617">
    <w:abstractNumId w:val="8"/>
  </w:num>
  <w:num w:numId="7" w16cid:durableId="430669292">
    <w:abstractNumId w:val="4"/>
  </w:num>
  <w:num w:numId="8" w16cid:durableId="234586101">
    <w:abstractNumId w:val="5"/>
  </w:num>
  <w:num w:numId="9" w16cid:durableId="42483623">
    <w:abstractNumId w:val="6"/>
  </w:num>
  <w:num w:numId="10" w16cid:durableId="274220469">
    <w:abstractNumId w:val="7"/>
  </w:num>
  <w:num w:numId="11" w16cid:durableId="877862165">
    <w:abstractNumId w:val="9"/>
  </w:num>
  <w:num w:numId="12" w16cid:durableId="10199650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7EA"/>
    <w:rsid w:val="00001CC9"/>
    <w:rsid w:val="00002C98"/>
    <w:rsid w:val="0000385D"/>
    <w:rsid w:val="00007925"/>
    <w:rsid w:val="0001094A"/>
    <w:rsid w:val="000175CF"/>
    <w:rsid w:val="00026D57"/>
    <w:rsid w:val="000318C9"/>
    <w:rsid w:val="00036221"/>
    <w:rsid w:val="00040A09"/>
    <w:rsid w:val="00040A5D"/>
    <w:rsid w:val="00052411"/>
    <w:rsid w:val="00054024"/>
    <w:rsid w:val="00065A40"/>
    <w:rsid w:val="000755B9"/>
    <w:rsid w:val="00080E94"/>
    <w:rsid w:val="00091EA9"/>
    <w:rsid w:val="0009637A"/>
    <w:rsid w:val="00097E3A"/>
    <w:rsid w:val="000B0DE3"/>
    <w:rsid w:val="000B297A"/>
    <w:rsid w:val="000B3A4B"/>
    <w:rsid w:val="000B6B17"/>
    <w:rsid w:val="000C6673"/>
    <w:rsid w:val="000D1BDD"/>
    <w:rsid w:val="000E0ACF"/>
    <w:rsid w:val="000E5AE2"/>
    <w:rsid w:val="000F2A20"/>
    <w:rsid w:val="000F670A"/>
    <w:rsid w:val="000F7C7D"/>
    <w:rsid w:val="00106362"/>
    <w:rsid w:val="0010796A"/>
    <w:rsid w:val="00112322"/>
    <w:rsid w:val="00116A44"/>
    <w:rsid w:val="001262D7"/>
    <w:rsid w:val="00144990"/>
    <w:rsid w:val="00147B14"/>
    <w:rsid w:val="0016300E"/>
    <w:rsid w:val="00174ABD"/>
    <w:rsid w:val="00180128"/>
    <w:rsid w:val="00183114"/>
    <w:rsid w:val="00183B5B"/>
    <w:rsid w:val="001849E6"/>
    <w:rsid w:val="001A5B33"/>
    <w:rsid w:val="001C5E47"/>
    <w:rsid w:val="001D148C"/>
    <w:rsid w:val="001D42CA"/>
    <w:rsid w:val="001F61B2"/>
    <w:rsid w:val="002017FE"/>
    <w:rsid w:val="00202615"/>
    <w:rsid w:val="00206672"/>
    <w:rsid w:val="00211EEE"/>
    <w:rsid w:val="00224100"/>
    <w:rsid w:val="00234442"/>
    <w:rsid w:val="00236DF2"/>
    <w:rsid w:val="00242990"/>
    <w:rsid w:val="0024482C"/>
    <w:rsid w:val="0026340A"/>
    <w:rsid w:val="0027184F"/>
    <w:rsid w:val="00272958"/>
    <w:rsid w:val="00273487"/>
    <w:rsid w:val="002769DE"/>
    <w:rsid w:val="002771A7"/>
    <w:rsid w:val="00280139"/>
    <w:rsid w:val="0028089E"/>
    <w:rsid w:val="002817E2"/>
    <w:rsid w:val="00284069"/>
    <w:rsid w:val="0028694E"/>
    <w:rsid w:val="0029292D"/>
    <w:rsid w:val="00292C79"/>
    <w:rsid w:val="002A0F70"/>
    <w:rsid w:val="002A2845"/>
    <w:rsid w:val="002A3A3E"/>
    <w:rsid w:val="002A6909"/>
    <w:rsid w:val="002B53A9"/>
    <w:rsid w:val="002D1F8B"/>
    <w:rsid w:val="002D2205"/>
    <w:rsid w:val="002D2599"/>
    <w:rsid w:val="002D67B4"/>
    <w:rsid w:val="002E154C"/>
    <w:rsid w:val="002E29F0"/>
    <w:rsid w:val="002E7DCE"/>
    <w:rsid w:val="002F0267"/>
    <w:rsid w:val="002F0341"/>
    <w:rsid w:val="002F099B"/>
    <w:rsid w:val="002F2B9B"/>
    <w:rsid w:val="00301359"/>
    <w:rsid w:val="003063A8"/>
    <w:rsid w:val="00310193"/>
    <w:rsid w:val="003124E7"/>
    <w:rsid w:val="003136D7"/>
    <w:rsid w:val="00316044"/>
    <w:rsid w:val="00323619"/>
    <w:rsid w:val="003256F4"/>
    <w:rsid w:val="0032775F"/>
    <w:rsid w:val="0034035F"/>
    <w:rsid w:val="00340F0D"/>
    <w:rsid w:val="0034232F"/>
    <w:rsid w:val="00344824"/>
    <w:rsid w:val="00351F91"/>
    <w:rsid w:val="00371759"/>
    <w:rsid w:val="00374348"/>
    <w:rsid w:val="00383567"/>
    <w:rsid w:val="00385DEB"/>
    <w:rsid w:val="00387709"/>
    <w:rsid w:val="00391D85"/>
    <w:rsid w:val="00392F62"/>
    <w:rsid w:val="00393445"/>
    <w:rsid w:val="003A0992"/>
    <w:rsid w:val="003A2786"/>
    <w:rsid w:val="003A5753"/>
    <w:rsid w:val="003A7BC6"/>
    <w:rsid w:val="003B40D0"/>
    <w:rsid w:val="003B71A5"/>
    <w:rsid w:val="003C7130"/>
    <w:rsid w:val="003E47FF"/>
    <w:rsid w:val="0040210E"/>
    <w:rsid w:val="004060F1"/>
    <w:rsid w:val="00406A6B"/>
    <w:rsid w:val="00415EDD"/>
    <w:rsid w:val="00425BBE"/>
    <w:rsid w:val="0042690C"/>
    <w:rsid w:val="00426AC8"/>
    <w:rsid w:val="0043148C"/>
    <w:rsid w:val="00432689"/>
    <w:rsid w:val="00433432"/>
    <w:rsid w:val="004463E4"/>
    <w:rsid w:val="00460C7B"/>
    <w:rsid w:val="00462294"/>
    <w:rsid w:val="00491116"/>
    <w:rsid w:val="0049225F"/>
    <w:rsid w:val="00493BE1"/>
    <w:rsid w:val="0049618E"/>
    <w:rsid w:val="004A5A44"/>
    <w:rsid w:val="004B1DF5"/>
    <w:rsid w:val="004C1ED1"/>
    <w:rsid w:val="004C4E38"/>
    <w:rsid w:val="004C59AA"/>
    <w:rsid w:val="004C68D1"/>
    <w:rsid w:val="004C7DC5"/>
    <w:rsid w:val="004D14B8"/>
    <w:rsid w:val="004D3CEE"/>
    <w:rsid w:val="004F0226"/>
    <w:rsid w:val="004F0958"/>
    <w:rsid w:val="004F3D87"/>
    <w:rsid w:val="00507135"/>
    <w:rsid w:val="00507266"/>
    <w:rsid w:val="005177DE"/>
    <w:rsid w:val="005178C7"/>
    <w:rsid w:val="005223B6"/>
    <w:rsid w:val="00526BFE"/>
    <w:rsid w:val="0055323A"/>
    <w:rsid w:val="00554BF6"/>
    <w:rsid w:val="00556B0F"/>
    <w:rsid w:val="00556E5B"/>
    <w:rsid w:val="005573D6"/>
    <w:rsid w:val="0056715E"/>
    <w:rsid w:val="00581271"/>
    <w:rsid w:val="0058346C"/>
    <w:rsid w:val="00591348"/>
    <w:rsid w:val="005929AC"/>
    <w:rsid w:val="005A1E0C"/>
    <w:rsid w:val="005A5D88"/>
    <w:rsid w:val="005B0E2E"/>
    <w:rsid w:val="005B48DB"/>
    <w:rsid w:val="005E45DA"/>
    <w:rsid w:val="005F2D4F"/>
    <w:rsid w:val="005F2EC0"/>
    <w:rsid w:val="005F388A"/>
    <w:rsid w:val="005F4DC6"/>
    <w:rsid w:val="00600A57"/>
    <w:rsid w:val="0060265A"/>
    <w:rsid w:val="00602C5E"/>
    <w:rsid w:val="0060326E"/>
    <w:rsid w:val="00615D85"/>
    <w:rsid w:val="00616199"/>
    <w:rsid w:val="0062376B"/>
    <w:rsid w:val="00632847"/>
    <w:rsid w:val="0063521A"/>
    <w:rsid w:val="00635AAF"/>
    <w:rsid w:val="00645950"/>
    <w:rsid w:val="00651C5A"/>
    <w:rsid w:val="0066525F"/>
    <w:rsid w:val="006701DF"/>
    <w:rsid w:val="00671D67"/>
    <w:rsid w:val="00676BD1"/>
    <w:rsid w:val="00687B16"/>
    <w:rsid w:val="006936F1"/>
    <w:rsid w:val="00693767"/>
    <w:rsid w:val="006B352D"/>
    <w:rsid w:val="006B3A9D"/>
    <w:rsid w:val="006B3DDD"/>
    <w:rsid w:val="006B46E8"/>
    <w:rsid w:val="006B5C8C"/>
    <w:rsid w:val="006D00F6"/>
    <w:rsid w:val="006D2A2A"/>
    <w:rsid w:val="006D51EC"/>
    <w:rsid w:val="006D54D0"/>
    <w:rsid w:val="006D55C2"/>
    <w:rsid w:val="006D6E94"/>
    <w:rsid w:val="006E6250"/>
    <w:rsid w:val="006F2ACB"/>
    <w:rsid w:val="006F2FEC"/>
    <w:rsid w:val="006F3098"/>
    <w:rsid w:val="006F7BD4"/>
    <w:rsid w:val="00712ED3"/>
    <w:rsid w:val="00715467"/>
    <w:rsid w:val="00715AC8"/>
    <w:rsid w:val="00715AD0"/>
    <w:rsid w:val="00716A24"/>
    <w:rsid w:val="00717E2A"/>
    <w:rsid w:val="00723322"/>
    <w:rsid w:val="00727481"/>
    <w:rsid w:val="007360E4"/>
    <w:rsid w:val="007372BA"/>
    <w:rsid w:val="00742112"/>
    <w:rsid w:val="00747E93"/>
    <w:rsid w:val="007548D2"/>
    <w:rsid w:val="007648F3"/>
    <w:rsid w:val="007677EA"/>
    <w:rsid w:val="007735DF"/>
    <w:rsid w:val="00775DD3"/>
    <w:rsid w:val="007763AC"/>
    <w:rsid w:val="00782540"/>
    <w:rsid w:val="0079401D"/>
    <w:rsid w:val="00794C60"/>
    <w:rsid w:val="00794D1F"/>
    <w:rsid w:val="007A2821"/>
    <w:rsid w:val="007A2D2C"/>
    <w:rsid w:val="007A4937"/>
    <w:rsid w:val="007C73F9"/>
    <w:rsid w:val="007D499B"/>
    <w:rsid w:val="007D738C"/>
    <w:rsid w:val="007D73B7"/>
    <w:rsid w:val="007E1A25"/>
    <w:rsid w:val="007E243D"/>
    <w:rsid w:val="007E3E2A"/>
    <w:rsid w:val="007E576A"/>
    <w:rsid w:val="007F09FF"/>
    <w:rsid w:val="007F5ED2"/>
    <w:rsid w:val="007F7C77"/>
    <w:rsid w:val="00800979"/>
    <w:rsid w:val="00802C0D"/>
    <w:rsid w:val="008048F1"/>
    <w:rsid w:val="00811224"/>
    <w:rsid w:val="00813303"/>
    <w:rsid w:val="008172A1"/>
    <w:rsid w:val="00821391"/>
    <w:rsid w:val="00822488"/>
    <w:rsid w:val="008228FC"/>
    <w:rsid w:val="0082479F"/>
    <w:rsid w:val="00825B96"/>
    <w:rsid w:val="0082756C"/>
    <w:rsid w:val="00827EE1"/>
    <w:rsid w:val="00830610"/>
    <w:rsid w:val="0083197B"/>
    <w:rsid w:val="00835752"/>
    <w:rsid w:val="00836363"/>
    <w:rsid w:val="008379F8"/>
    <w:rsid w:val="00837D0A"/>
    <w:rsid w:val="00845375"/>
    <w:rsid w:val="00852194"/>
    <w:rsid w:val="008526FB"/>
    <w:rsid w:val="00875E29"/>
    <w:rsid w:val="00877BCF"/>
    <w:rsid w:val="008822FE"/>
    <w:rsid w:val="00883B68"/>
    <w:rsid w:val="00887411"/>
    <w:rsid w:val="00895847"/>
    <w:rsid w:val="008B21BD"/>
    <w:rsid w:val="008B4108"/>
    <w:rsid w:val="008B7DAE"/>
    <w:rsid w:val="008C2DE4"/>
    <w:rsid w:val="008C4159"/>
    <w:rsid w:val="008D14EC"/>
    <w:rsid w:val="008D444D"/>
    <w:rsid w:val="008D4C45"/>
    <w:rsid w:val="008D610F"/>
    <w:rsid w:val="008D64BA"/>
    <w:rsid w:val="008E0AA1"/>
    <w:rsid w:val="008E19C4"/>
    <w:rsid w:val="008F1873"/>
    <w:rsid w:val="00900D38"/>
    <w:rsid w:val="009018C0"/>
    <w:rsid w:val="00901915"/>
    <w:rsid w:val="00902843"/>
    <w:rsid w:val="00904BB7"/>
    <w:rsid w:val="00910A41"/>
    <w:rsid w:val="00912FD8"/>
    <w:rsid w:val="009165E4"/>
    <w:rsid w:val="009216D1"/>
    <w:rsid w:val="00921A92"/>
    <w:rsid w:val="00937F19"/>
    <w:rsid w:val="00950C42"/>
    <w:rsid w:val="00952A59"/>
    <w:rsid w:val="00960A35"/>
    <w:rsid w:val="009617CD"/>
    <w:rsid w:val="00962CF4"/>
    <w:rsid w:val="00963CF8"/>
    <w:rsid w:val="00964E67"/>
    <w:rsid w:val="00966F20"/>
    <w:rsid w:val="00972CFF"/>
    <w:rsid w:val="0097391D"/>
    <w:rsid w:val="009769DD"/>
    <w:rsid w:val="00977397"/>
    <w:rsid w:val="00980BDE"/>
    <w:rsid w:val="00981BC1"/>
    <w:rsid w:val="00990B04"/>
    <w:rsid w:val="00991860"/>
    <w:rsid w:val="0099453B"/>
    <w:rsid w:val="00996F40"/>
    <w:rsid w:val="009A4472"/>
    <w:rsid w:val="009A4542"/>
    <w:rsid w:val="009B176B"/>
    <w:rsid w:val="009B4926"/>
    <w:rsid w:val="009C4497"/>
    <w:rsid w:val="009C594E"/>
    <w:rsid w:val="009D371D"/>
    <w:rsid w:val="009D4869"/>
    <w:rsid w:val="009E5CCF"/>
    <w:rsid w:val="009E5FEA"/>
    <w:rsid w:val="009F303E"/>
    <w:rsid w:val="009F4290"/>
    <w:rsid w:val="009F6FE7"/>
    <w:rsid w:val="00A0364B"/>
    <w:rsid w:val="00A0631A"/>
    <w:rsid w:val="00A06A62"/>
    <w:rsid w:val="00A074E8"/>
    <w:rsid w:val="00A12764"/>
    <w:rsid w:val="00A14312"/>
    <w:rsid w:val="00A17777"/>
    <w:rsid w:val="00A208C5"/>
    <w:rsid w:val="00A209F2"/>
    <w:rsid w:val="00A20C46"/>
    <w:rsid w:val="00A273EE"/>
    <w:rsid w:val="00A3556B"/>
    <w:rsid w:val="00A37000"/>
    <w:rsid w:val="00A439E9"/>
    <w:rsid w:val="00A47D49"/>
    <w:rsid w:val="00A8380E"/>
    <w:rsid w:val="00A90E81"/>
    <w:rsid w:val="00A9230B"/>
    <w:rsid w:val="00AA2CCF"/>
    <w:rsid w:val="00AB1302"/>
    <w:rsid w:val="00AC16F6"/>
    <w:rsid w:val="00AC3F04"/>
    <w:rsid w:val="00AD0154"/>
    <w:rsid w:val="00AE1CF7"/>
    <w:rsid w:val="00AF7746"/>
    <w:rsid w:val="00B00239"/>
    <w:rsid w:val="00B178E0"/>
    <w:rsid w:val="00B2244A"/>
    <w:rsid w:val="00B22CC5"/>
    <w:rsid w:val="00B2515F"/>
    <w:rsid w:val="00B3412C"/>
    <w:rsid w:val="00B421F7"/>
    <w:rsid w:val="00B43895"/>
    <w:rsid w:val="00B500BE"/>
    <w:rsid w:val="00B56D1F"/>
    <w:rsid w:val="00B91FD4"/>
    <w:rsid w:val="00B9754E"/>
    <w:rsid w:val="00B97CF2"/>
    <w:rsid w:val="00BA6415"/>
    <w:rsid w:val="00BA646D"/>
    <w:rsid w:val="00BB2D62"/>
    <w:rsid w:val="00BB6237"/>
    <w:rsid w:val="00BB6329"/>
    <w:rsid w:val="00BC79D3"/>
    <w:rsid w:val="00BE5C35"/>
    <w:rsid w:val="00BF0407"/>
    <w:rsid w:val="00BF4957"/>
    <w:rsid w:val="00BF779E"/>
    <w:rsid w:val="00C25233"/>
    <w:rsid w:val="00C30652"/>
    <w:rsid w:val="00C32DFE"/>
    <w:rsid w:val="00C33A1A"/>
    <w:rsid w:val="00C371D9"/>
    <w:rsid w:val="00C44A8B"/>
    <w:rsid w:val="00C611AF"/>
    <w:rsid w:val="00C71EEB"/>
    <w:rsid w:val="00C832B2"/>
    <w:rsid w:val="00C876E0"/>
    <w:rsid w:val="00C90B43"/>
    <w:rsid w:val="00C94465"/>
    <w:rsid w:val="00C9470D"/>
    <w:rsid w:val="00C96093"/>
    <w:rsid w:val="00C97A71"/>
    <w:rsid w:val="00CA3768"/>
    <w:rsid w:val="00CA6515"/>
    <w:rsid w:val="00CA65F7"/>
    <w:rsid w:val="00CA7930"/>
    <w:rsid w:val="00CB16A6"/>
    <w:rsid w:val="00CB1878"/>
    <w:rsid w:val="00CC0786"/>
    <w:rsid w:val="00CD46CF"/>
    <w:rsid w:val="00CE1141"/>
    <w:rsid w:val="00CE5753"/>
    <w:rsid w:val="00CF0385"/>
    <w:rsid w:val="00CF3A08"/>
    <w:rsid w:val="00CF5771"/>
    <w:rsid w:val="00D04CC1"/>
    <w:rsid w:val="00D1486A"/>
    <w:rsid w:val="00D148ED"/>
    <w:rsid w:val="00D14BEE"/>
    <w:rsid w:val="00D2119D"/>
    <w:rsid w:val="00D25B53"/>
    <w:rsid w:val="00D25BD2"/>
    <w:rsid w:val="00D31984"/>
    <w:rsid w:val="00D31CE8"/>
    <w:rsid w:val="00D320E1"/>
    <w:rsid w:val="00D417CA"/>
    <w:rsid w:val="00D45AF5"/>
    <w:rsid w:val="00D46104"/>
    <w:rsid w:val="00D46211"/>
    <w:rsid w:val="00D52678"/>
    <w:rsid w:val="00D5690B"/>
    <w:rsid w:val="00D66362"/>
    <w:rsid w:val="00D7200D"/>
    <w:rsid w:val="00D745A4"/>
    <w:rsid w:val="00D74E2D"/>
    <w:rsid w:val="00D76DEE"/>
    <w:rsid w:val="00D81FB4"/>
    <w:rsid w:val="00D91F19"/>
    <w:rsid w:val="00D94DE2"/>
    <w:rsid w:val="00DA2A2C"/>
    <w:rsid w:val="00DA4EE4"/>
    <w:rsid w:val="00DB04F1"/>
    <w:rsid w:val="00DB1F47"/>
    <w:rsid w:val="00DB2255"/>
    <w:rsid w:val="00DB6FD6"/>
    <w:rsid w:val="00DC563A"/>
    <w:rsid w:val="00DC5FC9"/>
    <w:rsid w:val="00DD10F6"/>
    <w:rsid w:val="00DD28C1"/>
    <w:rsid w:val="00DE3640"/>
    <w:rsid w:val="00DE6289"/>
    <w:rsid w:val="00DF1392"/>
    <w:rsid w:val="00DF1F29"/>
    <w:rsid w:val="00DF5DE5"/>
    <w:rsid w:val="00E0414C"/>
    <w:rsid w:val="00E04952"/>
    <w:rsid w:val="00E07D13"/>
    <w:rsid w:val="00E11E50"/>
    <w:rsid w:val="00E161D9"/>
    <w:rsid w:val="00E206AC"/>
    <w:rsid w:val="00E234F4"/>
    <w:rsid w:val="00E248EB"/>
    <w:rsid w:val="00E31BB8"/>
    <w:rsid w:val="00E340E6"/>
    <w:rsid w:val="00E3440F"/>
    <w:rsid w:val="00E42B11"/>
    <w:rsid w:val="00E64A51"/>
    <w:rsid w:val="00E64A6D"/>
    <w:rsid w:val="00E65CCB"/>
    <w:rsid w:val="00E66841"/>
    <w:rsid w:val="00E6797D"/>
    <w:rsid w:val="00E8575E"/>
    <w:rsid w:val="00EA130D"/>
    <w:rsid w:val="00EA1561"/>
    <w:rsid w:val="00EA4176"/>
    <w:rsid w:val="00EB24BA"/>
    <w:rsid w:val="00EC3092"/>
    <w:rsid w:val="00EC464B"/>
    <w:rsid w:val="00EE0373"/>
    <w:rsid w:val="00EF06C8"/>
    <w:rsid w:val="00EF79DB"/>
    <w:rsid w:val="00F00952"/>
    <w:rsid w:val="00F06209"/>
    <w:rsid w:val="00F15E48"/>
    <w:rsid w:val="00F175C5"/>
    <w:rsid w:val="00F21E53"/>
    <w:rsid w:val="00F3180A"/>
    <w:rsid w:val="00F32ECB"/>
    <w:rsid w:val="00F428D9"/>
    <w:rsid w:val="00F47A16"/>
    <w:rsid w:val="00F47F06"/>
    <w:rsid w:val="00F679EB"/>
    <w:rsid w:val="00F71DEE"/>
    <w:rsid w:val="00F75AFD"/>
    <w:rsid w:val="00F84822"/>
    <w:rsid w:val="00F86CAF"/>
    <w:rsid w:val="00F962E7"/>
    <w:rsid w:val="00F9642F"/>
    <w:rsid w:val="00FC696F"/>
    <w:rsid w:val="00FD436B"/>
    <w:rsid w:val="00FD4C22"/>
    <w:rsid w:val="00FE0804"/>
    <w:rsid w:val="00FF6FD8"/>
    <w:rsid w:val="00FF7E2B"/>
    <w:rsid w:val="04A4970C"/>
    <w:rsid w:val="0BC271C3"/>
    <w:rsid w:val="0F36E4C2"/>
    <w:rsid w:val="112C01C3"/>
    <w:rsid w:val="13274F50"/>
    <w:rsid w:val="13596428"/>
    <w:rsid w:val="13F7E96E"/>
    <w:rsid w:val="1D8B633C"/>
    <w:rsid w:val="2080390A"/>
    <w:rsid w:val="20C303FE"/>
    <w:rsid w:val="225ED45F"/>
    <w:rsid w:val="28BCC329"/>
    <w:rsid w:val="2F9A77B4"/>
    <w:rsid w:val="2FA89FF1"/>
    <w:rsid w:val="307A9E7F"/>
    <w:rsid w:val="391D6A5D"/>
    <w:rsid w:val="3D3BA286"/>
    <w:rsid w:val="3F7FE85D"/>
    <w:rsid w:val="51112620"/>
    <w:rsid w:val="51E7F778"/>
    <w:rsid w:val="52871C91"/>
    <w:rsid w:val="5448C6E2"/>
    <w:rsid w:val="5BE77301"/>
    <w:rsid w:val="60699BAD"/>
    <w:rsid w:val="6610569A"/>
    <w:rsid w:val="67F7AC14"/>
    <w:rsid w:val="68CCE97D"/>
    <w:rsid w:val="6CC4C59F"/>
    <w:rsid w:val="707E745B"/>
    <w:rsid w:val="70E88198"/>
    <w:rsid w:val="765F4B77"/>
    <w:rsid w:val="77A92268"/>
    <w:rsid w:val="77BE372A"/>
    <w:rsid w:val="798F22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985A7"/>
  <w15:docId w15:val="{CF20336C-9822-44E9-BCFC-171838DF9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EA1561"/>
    <w:pPr>
      <w:keepNext/>
      <w:keepLines/>
      <w:spacing w:before="120" w:after="120"/>
      <w:outlineLvl w:val="0"/>
    </w:pPr>
    <w:rPr>
      <w:rFonts w:ascii="Times New Roman" w:eastAsiaTheme="majorEastAsia" w:hAnsi="Times New Roman" w:cstheme="majorBidi"/>
      <w:b/>
      <w:bCs/>
      <w:color w:val="000000" w:themeColor="text1"/>
      <w:sz w:val="28"/>
      <w:szCs w:val="32"/>
    </w:rPr>
  </w:style>
  <w:style w:type="paragraph" w:styleId="Heading2">
    <w:name w:val="heading 2"/>
    <w:basedOn w:val="Normal"/>
    <w:next w:val="BodyText"/>
    <w:uiPriority w:val="9"/>
    <w:unhideWhenUsed/>
    <w:qFormat/>
    <w:rsid w:val="00433283"/>
    <w:pPr>
      <w:keepNext/>
      <w:keepLines/>
      <w:spacing w:before="200" w:after="0"/>
      <w:outlineLvl w:val="1"/>
    </w:pPr>
    <w:rPr>
      <w:rFonts w:ascii="Times New Roman" w:eastAsiaTheme="majorEastAsia" w:hAnsi="Times New Roman" w:cstheme="majorBidi"/>
      <w:b/>
      <w:bCs/>
      <w:color w:val="000000" w:themeColor="text1"/>
      <w:sz w:val="22"/>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1A2"/>
    <w:pPr>
      <w:spacing w:before="120" w:after="12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097E3A"/>
    <w:pPr>
      <w:keepNext/>
      <w:keepLines/>
      <w:spacing w:before="480" w:after="240"/>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33283"/>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433283"/>
    <w:pPr>
      <w:keepNext/>
      <w:spacing w:after="0"/>
    </w:pPr>
    <w:rPr>
      <w:rFonts w:ascii="Times New Roman" w:hAnsi="Times New Roman"/>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8811A2"/>
    <w:rPr>
      <w:rFonts w:ascii="Times New Roman" w:hAnsi="Times New Roman"/>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nhideWhenUsed/>
    <w:rsid w:val="00556B0F"/>
    <w:pPr>
      <w:tabs>
        <w:tab w:val="center" w:pos="4680"/>
        <w:tab w:val="right" w:pos="9360"/>
      </w:tabs>
      <w:spacing w:after="0"/>
    </w:pPr>
  </w:style>
  <w:style w:type="character" w:customStyle="1" w:styleId="HeaderChar">
    <w:name w:val="Header Char"/>
    <w:basedOn w:val="DefaultParagraphFont"/>
    <w:link w:val="Header"/>
    <w:rsid w:val="00556B0F"/>
  </w:style>
  <w:style w:type="paragraph" w:styleId="Footer">
    <w:name w:val="footer"/>
    <w:basedOn w:val="Normal"/>
    <w:link w:val="FooterChar"/>
    <w:uiPriority w:val="99"/>
    <w:unhideWhenUsed/>
    <w:rsid w:val="00556B0F"/>
    <w:pPr>
      <w:tabs>
        <w:tab w:val="center" w:pos="4680"/>
        <w:tab w:val="right" w:pos="9360"/>
      </w:tabs>
      <w:spacing w:after="0"/>
    </w:pPr>
  </w:style>
  <w:style w:type="character" w:customStyle="1" w:styleId="FooterChar">
    <w:name w:val="Footer Char"/>
    <w:basedOn w:val="DefaultParagraphFont"/>
    <w:link w:val="Footer"/>
    <w:uiPriority w:val="99"/>
    <w:rsid w:val="00556B0F"/>
  </w:style>
  <w:style w:type="character" w:customStyle="1" w:styleId="normaltextrun">
    <w:name w:val="normaltextrun"/>
    <w:basedOn w:val="DefaultParagraphFont"/>
    <w:rsid w:val="00211EEE"/>
  </w:style>
  <w:style w:type="character" w:styleId="CommentReference">
    <w:name w:val="annotation reference"/>
    <w:basedOn w:val="DefaultParagraphFont"/>
    <w:semiHidden/>
    <w:unhideWhenUsed/>
    <w:rsid w:val="00BA646D"/>
    <w:rPr>
      <w:sz w:val="16"/>
      <w:szCs w:val="16"/>
    </w:rPr>
  </w:style>
  <w:style w:type="paragraph" w:styleId="CommentText">
    <w:name w:val="annotation text"/>
    <w:basedOn w:val="Normal"/>
    <w:link w:val="CommentTextChar"/>
    <w:unhideWhenUsed/>
    <w:rsid w:val="00BA646D"/>
    <w:rPr>
      <w:sz w:val="20"/>
      <w:szCs w:val="20"/>
    </w:rPr>
  </w:style>
  <w:style w:type="character" w:customStyle="1" w:styleId="CommentTextChar">
    <w:name w:val="Comment Text Char"/>
    <w:basedOn w:val="DefaultParagraphFont"/>
    <w:link w:val="CommentText"/>
    <w:rsid w:val="00BA646D"/>
    <w:rPr>
      <w:sz w:val="20"/>
      <w:szCs w:val="20"/>
    </w:rPr>
  </w:style>
  <w:style w:type="paragraph" w:styleId="CommentSubject">
    <w:name w:val="annotation subject"/>
    <w:basedOn w:val="CommentText"/>
    <w:next w:val="CommentText"/>
    <w:link w:val="CommentSubjectChar"/>
    <w:semiHidden/>
    <w:unhideWhenUsed/>
    <w:rsid w:val="00BA646D"/>
    <w:rPr>
      <w:b/>
      <w:bCs/>
    </w:rPr>
  </w:style>
  <w:style w:type="character" w:customStyle="1" w:styleId="CommentSubjectChar">
    <w:name w:val="Comment Subject Char"/>
    <w:basedOn w:val="CommentTextChar"/>
    <w:link w:val="CommentSubject"/>
    <w:semiHidden/>
    <w:rsid w:val="00BA646D"/>
    <w:rPr>
      <w:b/>
      <w:bCs/>
      <w:sz w:val="20"/>
      <w:szCs w:val="20"/>
    </w:rPr>
  </w:style>
  <w:style w:type="paragraph" w:styleId="Revision">
    <w:name w:val="Revision"/>
    <w:hidden/>
    <w:semiHidden/>
    <w:rsid w:val="002E29F0"/>
    <w:pPr>
      <w:spacing w:after="0"/>
    </w:pPr>
  </w:style>
  <w:style w:type="paragraph" w:customStyle="1" w:styleId="TableParagraph">
    <w:name w:val="Table Paragraph"/>
    <w:basedOn w:val="Normal"/>
    <w:uiPriority w:val="1"/>
    <w:qFormat/>
    <w:rsid w:val="00825B96"/>
    <w:pPr>
      <w:widowControl w:val="0"/>
      <w:autoSpaceDE w:val="0"/>
      <w:autoSpaceDN w:val="0"/>
      <w:spacing w:after="0"/>
      <w:ind w:left="200"/>
    </w:pPr>
    <w:rPr>
      <w:rFonts w:ascii="Arial" w:eastAsia="Arial" w:hAnsi="Arial" w:cs="Arial"/>
      <w:sz w:val="22"/>
      <w:szCs w:val="22"/>
      <w:lang w:bidi="en-US"/>
    </w:rPr>
  </w:style>
  <w:style w:type="character" w:styleId="UnresolvedMention">
    <w:name w:val="Unresolved Mention"/>
    <w:basedOn w:val="DefaultParagraphFont"/>
    <w:uiPriority w:val="99"/>
    <w:semiHidden/>
    <w:unhideWhenUsed/>
    <w:rsid w:val="00A92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870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542/peds.2021-054268b" TargetMode="External"/><Relationship Id="rId18" Type="http://schemas.openxmlformats.org/officeDocument/2006/relationships/hyperlink" Target="https://doi.org/10.1001/jama.2021.0374" TargetMode="External"/><Relationship Id="rId26" Type="http://schemas.openxmlformats.org/officeDocument/2006/relationships/hyperlink" Target="https://doi.org/10.15585/mmwr.mm7011a1" TargetMode="External"/><Relationship Id="rId3" Type="http://schemas.openxmlformats.org/officeDocument/2006/relationships/customXml" Target="../customXml/item3.xml"/><Relationship Id="rId21" Type="http://schemas.openxmlformats.org/officeDocument/2006/relationships/hyperlink" Target="https://doi.org/10.1521/aeap.2022.34.4.300"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doi.org/10.3389/fpsyg.2022.940718" TargetMode="External"/><Relationship Id="rId25" Type="http://schemas.openxmlformats.org/officeDocument/2006/relationships/hyperlink" Target="https://doi.org/10.1186/1471-2105-9-307" TargetMode="External"/><Relationship Id="rId2" Type="http://schemas.openxmlformats.org/officeDocument/2006/relationships/customXml" Target="../customXml/item2.xml"/><Relationship Id="rId16" Type="http://schemas.openxmlformats.org/officeDocument/2006/relationships/hyperlink" Target="https://doi.org/10.1073/pnas.2022376118" TargetMode="External"/><Relationship Id="rId20" Type="http://schemas.openxmlformats.org/officeDocument/2006/relationships/hyperlink" Target="https://doi.org/10.1177/215013272096750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R-project.org/" TargetMode="External"/><Relationship Id="rId5" Type="http://schemas.openxmlformats.org/officeDocument/2006/relationships/styles" Target="styles.xml"/><Relationship Id="rId15" Type="http://schemas.openxmlformats.org/officeDocument/2006/relationships/hyperlink" Target="https://www.atsdr.cdc.gov/placeandhealth/svi/data_documentation_download.html" TargetMode="External"/><Relationship Id="rId23" Type="http://schemas.openxmlformats.org/officeDocument/2006/relationships/hyperlink" Target="https://doi.org/10.15585/mmwr.mm7026e2" TargetMode="External"/><Relationship Id="rId28" Type="http://schemas.openxmlformats.org/officeDocument/2006/relationships/hyperlink" Target="https://doi.org/10.1542/peds.2021-054268e" TargetMode="External"/><Relationship Id="rId10" Type="http://schemas.openxmlformats.org/officeDocument/2006/relationships/image" Target="media/image1.png"/><Relationship Id="rId19" Type="http://schemas.openxmlformats.org/officeDocument/2006/relationships/hyperlink" Target="https://doi.org/10.3102/0013189x2096591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dc.gov/coronavirus/2019-ncov/community/schools-childcare/k-12-childcare-guidance.html" TargetMode="External"/><Relationship Id="rId22" Type="http://schemas.openxmlformats.org/officeDocument/2006/relationships/hyperlink" Target="https://doi.org/10.1016/j.ijsu.2020.04.018" TargetMode="External"/><Relationship Id="rId27" Type="http://schemas.openxmlformats.org/officeDocument/2006/relationships/hyperlink" Target="https://doi.org/10.1186/s13012-020-01070-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FD2476C32D5E4EB8D96C92F0ECB5D4" ma:contentTypeVersion="4" ma:contentTypeDescription="Create a new document." ma:contentTypeScope="" ma:versionID="39c4ddac7950d9d7271610007cf0dea6">
  <xsd:schema xmlns:xsd="http://www.w3.org/2001/XMLSchema" xmlns:xs="http://www.w3.org/2001/XMLSchema" xmlns:p="http://schemas.microsoft.com/office/2006/metadata/properties" xmlns:ns2="467b1da2-dedd-4d94-89ec-629778d060d0" xmlns:ns3="cde0a5e6-8af5-4886-8158-b528c84756f5" targetNamespace="http://schemas.microsoft.com/office/2006/metadata/properties" ma:root="true" ma:fieldsID="5fa789a85a7f92cb433653bbb665abb9" ns2:_="" ns3:_="">
    <xsd:import namespace="467b1da2-dedd-4d94-89ec-629778d060d0"/>
    <xsd:import namespace="cde0a5e6-8af5-4886-8158-b528c84756f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7b1da2-dedd-4d94-89ec-629778d060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e0a5e6-8af5-4886-8158-b528c84756f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8CEB6D-F32A-4BEA-BE9D-D636FC12F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7b1da2-dedd-4d94-89ec-629778d060d0"/>
    <ds:schemaRef ds:uri="cde0a5e6-8af5-4886-8158-b528c84756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CFFEAE-D4B3-4F26-B580-A039C02D0423}">
  <ds:schemaRefs>
    <ds:schemaRef ds:uri="http://schemas.microsoft.com/sharepoint/v3/contenttype/forms"/>
  </ds:schemaRefs>
</ds:datastoreItem>
</file>

<file path=customXml/itemProps3.xml><?xml version="1.0" encoding="utf-8"?>
<ds:datastoreItem xmlns:ds="http://schemas.openxmlformats.org/officeDocument/2006/customXml" ds:itemID="{B368A535-DABC-4358-AEE8-A3B963FF7D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6348</Words>
  <Characters>36188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Manuscript deliverable: School district policy guidance as a tool for mitigating the spread of COVID-19</vt:lpstr>
    </vt:vector>
  </TitlesOfParts>
  <Company/>
  <LinksUpToDate>false</LinksUpToDate>
  <CharactersWithSpaces>42452</CharactersWithSpaces>
  <SharedDoc>false</SharedDoc>
  <HLinks>
    <vt:vector size="96" baseType="variant">
      <vt:variant>
        <vt:i4>1245268</vt:i4>
      </vt:variant>
      <vt:variant>
        <vt:i4>48</vt:i4>
      </vt:variant>
      <vt:variant>
        <vt:i4>0</vt:i4>
      </vt:variant>
      <vt:variant>
        <vt:i4>5</vt:i4>
      </vt:variant>
      <vt:variant>
        <vt:lpwstr>https://doi.org/10.1542/peds.2021-054268e</vt:lpwstr>
      </vt:variant>
      <vt:variant>
        <vt:lpwstr/>
      </vt:variant>
      <vt:variant>
        <vt:i4>2818101</vt:i4>
      </vt:variant>
      <vt:variant>
        <vt:i4>45</vt:i4>
      </vt:variant>
      <vt:variant>
        <vt:i4>0</vt:i4>
      </vt:variant>
      <vt:variant>
        <vt:i4>5</vt:i4>
      </vt:variant>
      <vt:variant>
        <vt:lpwstr>https://doi.org/10.1186/s13012-020-01070-3</vt:lpwstr>
      </vt:variant>
      <vt:variant>
        <vt:lpwstr/>
      </vt:variant>
      <vt:variant>
        <vt:i4>6619245</vt:i4>
      </vt:variant>
      <vt:variant>
        <vt:i4>42</vt:i4>
      </vt:variant>
      <vt:variant>
        <vt:i4>0</vt:i4>
      </vt:variant>
      <vt:variant>
        <vt:i4>5</vt:i4>
      </vt:variant>
      <vt:variant>
        <vt:lpwstr>https://doi.org/10.15585/mmwr.mm7011a1</vt:lpwstr>
      </vt:variant>
      <vt:variant>
        <vt:lpwstr/>
      </vt:variant>
      <vt:variant>
        <vt:i4>2883704</vt:i4>
      </vt:variant>
      <vt:variant>
        <vt:i4>39</vt:i4>
      </vt:variant>
      <vt:variant>
        <vt:i4>0</vt:i4>
      </vt:variant>
      <vt:variant>
        <vt:i4>5</vt:i4>
      </vt:variant>
      <vt:variant>
        <vt:lpwstr>https://doi.org/10.1186/1471-2105-9-307</vt:lpwstr>
      </vt:variant>
      <vt:variant>
        <vt:lpwstr/>
      </vt:variant>
      <vt:variant>
        <vt:i4>7143476</vt:i4>
      </vt:variant>
      <vt:variant>
        <vt:i4>36</vt:i4>
      </vt:variant>
      <vt:variant>
        <vt:i4>0</vt:i4>
      </vt:variant>
      <vt:variant>
        <vt:i4>5</vt:i4>
      </vt:variant>
      <vt:variant>
        <vt:lpwstr>https://www.r-project.org/</vt:lpwstr>
      </vt:variant>
      <vt:variant>
        <vt:lpwstr/>
      </vt:variant>
      <vt:variant>
        <vt:i4>6357098</vt:i4>
      </vt:variant>
      <vt:variant>
        <vt:i4>33</vt:i4>
      </vt:variant>
      <vt:variant>
        <vt:i4>0</vt:i4>
      </vt:variant>
      <vt:variant>
        <vt:i4>5</vt:i4>
      </vt:variant>
      <vt:variant>
        <vt:lpwstr>https://doi.org/10.15585/mmwr.mm7026e2</vt:lpwstr>
      </vt:variant>
      <vt:variant>
        <vt:lpwstr/>
      </vt:variant>
      <vt:variant>
        <vt:i4>3211309</vt:i4>
      </vt:variant>
      <vt:variant>
        <vt:i4>30</vt:i4>
      </vt:variant>
      <vt:variant>
        <vt:i4>0</vt:i4>
      </vt:variant>
      <vt:variant>
        <vt:i4>5</vt:i4>
      </vt:variant>
      <vt:variant>
        <vt:lpwstr>https://doi.org/10.1016/j.ijsu.2020.04.018</vt:lpwstr>
      </vt:variant>
      <vt:variant>
        <vt:lpwstr/>
      </vt:variant>
      <vt:variant>
        <vt:i4>2687089</vt:i4>
      </vt:variant>
      <vt:variant>
        <vt:i4>27</vt:i4>
      </vt:variant>
      <vt:variant>
        <vt:i4>0</vt:i4>
      </vt:variant>
      <vt:variant>
        <vt:i4>5</vt:i4>
      </vt:variant>
      <vt:variant>
        <vt:lpwstr>https://doi.org/10.1521/aeap.2022.34.4.300</vt:lpwstr>
      </vt:variant>
      <vt:variant>
        <vt:lpwstr/>
      </vt:variant>
      <vt:variant>
        <vt:i4>1114196</vt:i4>
      </vt:variant>
      <vt:variant>
        <vt:i4>24</vt:i4>
      </vt:variant>
      <vt:variant>
        <vt:i4>0</vt:i4>
      </vt:variant>
      <vt:variant>
        <vt:i4>5</vt:i4>
      </vt:variant>
      <vt:variant>
        <vt:lpwstr>https://doi.org/10.1177/2150132720967503</vt:lpwstr>
      </vt:variant>
      <vt:variant>
        <vt:lpwstr/>
      </vt:variant>
      <vt:variant>
        <vt:i4>5570655</vt:i4>
      </vt:variant>
      <vt:variant>
        <vt:i4>21</vt:i4>
      </vt:variant>
      <vt:variant>
        <vt:i4>0</vt:i4>
      </vt:variant>
      <vt:variant>
        <vt:i4>5</vt:i4>
      </vt:variant>
      <vt:variant>
        <vt:lpwstr>https://doi.org/10.3102/0013189x20965918</vt:lpwstr>
      </vt:variant>
      <vt:variant>
        <vt:lpwstr/>
      </vt:variant>
      <vt:variant>
        <vt:i4>3801204</vt:i4>
      </vt:variant>
      <vt:variant>
        <vt:i4>18</vt:i4>
      </vt:variant>
      <vt:variant>
        <vt:i4>0</vt:i4>
      </vt:variant>
      <vt:variant>
        <vt:i4>5</vt:i4>
      </vt:variant>
      <vt:variant>
        <vt:lpwstr>https://doi.org/10.1001/jama.2021.0374</vt:lpwstr>
      </vt:variant>
      <vt:variant>
        <vt:lpwstr/>
      </vt:variant>
      <vt:variant>
        <vt:i4>262159</vt:i4>
      </vt:variant>
      <vt:variant>
        <vt:i4>15</vt:i4>
      </vt:variant>
      <vt:variant>
        <vt:i4>0</vt:i4>
      </vt:variant>
      <vt:variant>
        <vt:i4>5</vt:i4>
      </vt:variant>
      <vt:variant>
        <vt:lpwstr>https://doi.org/10.3389/fpsyg.2022.940718</vt:lpwstr>
      </vt:variant>
      <vt:variant>
        <vt:lpwstr/>
      </vt:variant>
      <vt:variant>
        <vt:i4>3997794</vt:i4>
      </vt:variant>
      <vt:variant>
        <vt:i4>12</vt:i4>
      </vt:variant>
      <vt:variant>
        <vt:i4>0</vt:i4>
      </vt:variant>
      <vt:variant>
        <vt:i4>5</vt:i4>
      </vt:variant>
      <vt:variant>
        <vt:lpwstr>https://doi.org/10.1073/pnas.2022376118</vt:lpwstr>
      </vt:variant>
      <vt:variant>
        <vt:lpwstr/>
      </vt:variant>
      <vt:variant>
        <vt:i4>131078</vt:i4>
      </vt:variant>
      <vt:variant>
        <vt:i4>6</vt:i4>
      </vt:variant>
      <vt:variant>
        <vt:i4>0</vt:i4>
      </vt:variant>
      <vt:variant>
        <vt:i4>5</vt:i4>
      </vt:variant>
      <vt:variant>
        <vt:lpwstr>https://www.atsdr.cdc.gov/placeandhealth/svi/data_documentation_download.html</vt:lpwstr>
      </vt:variant>
      <vt:variant>
        <vt:lpwstr/>
      </vt:variant>
      <vt:variant>
        <vt:i4>3670068</vt:i4>
      </vt:variant>
      <vt:variant>
        <vt:i4>3</vt:i4>
      </vt:variant>
      <vt:variant>
        <vt:i4>0</vt:i4>
      </vt:variant>
      <vt:variant>
        <vt:i4>5</vt:i4>
      </vt:variant>
      <vt:variant>
        <vt:lpwstr>https://www.cdc.gov/coronavirus/2019-ncov/community/schools-childcare/k-12-childcare-guidance.html</vt:lpwstr>
      </vt:variant>
      <vt:variant>
        <vt:lpwstr/>
      </vt:variant>
      <vt:variant>
        <vt:i4>1245268</vt:i4>
      </vt:variant>
      <vt:variant>
        <vt:i4>0</vt:i4>
      </vt:variant>
      <vt:variant>
        <vt:i4>0</vt:i4>
      </vt:variant>
      <vt:variant>
        <vt:i4>5</vt:i4>
      </vt:variant>
      <vt:variant>
        <vt:lpwstr>https://doi.org/10.1542/peds.2021-054268b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deliverable: School district policy guidance as a tool for mitigating the spread of COVID-19</dc:title>
  <dc:subject/>
  <dc:creator>Timpe, Zach</dc:creator>
  <cp:keywords/>
  <cp:lastModifiedBy>Timpe, Zach</cp:lastModifiedBy>
  <cp:revision>3</cp:revision>
  <dcterms:created xsi:type="dcterms:W3CDTF">2023-02-06T19:09:00Z</dcterms:created>
  <dcterms:modified xsi:type="dcterms:W3CDTF">2023-02-06T21:47:00Z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ContentTypeId">
    <vt:lpwstr>0x0101008BFD2476C32D5E4EB8D96C92F0ECB5D4</vt:lpwstr>
  </property>
  <property fmtid="{D5CDD505-2E9C-101B-9397-08002B2CF9AE}" pid="12" name="MediaServiceImageTags">
    <vt:lpwstr/>
  </property>
</Properties>
</file>