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24</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28</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30</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30</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36</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36</w:t>
        </w:r>
        <w:r>
          <w:rPr>
            <w:noProof/>
          </w:rPr>
          <w:fldChar w:fldCharType="end"/>
        </w:r>
      </w:hyperlink>
    </w:p>
    <w:p>
      <w:pPr>
        <w:pStyle w:val="TOC1"/>
        <w:tabs>
          <w:tab w:val="right" w:leader="dot" w:pos="9062"/>
        </w:tabs>
      </w:pPr>
      <w:hyperlink w:anchor="_Toc1075"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_Toc1075 \h </w:instrText>
        </w:r>
        <w:r>
          <w:rPr>
            <w:noProof/>
          </w:rPr>
          <w:fldChar w:fldCharType="separate"/>
        </w:r>
        <w:r>
          <w:rPr>
            <w:noProof/>
          </w:rPr>
          <w:t xml:space="preserve">38</w:t>
        </w:r>
        <w:r>
          <w:rPr>
            <w:noProof/>
          </w:rPr>
          <w:fldChar w:fldCharType="end"/>
        </w:r>
      </w:hyperlink>
    </w:p>
    <w:p>
      <w:pPr>
        <w:pStyle w:val="TOC2"/>
        <w:tabs>
          <w:tab w:val="right" w:leader="dot" w:pos="9062"/>
        </w:tabs>
      </w:pPr>
      <w:hyperlink w:anchor="_Toc1076"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_Toc1076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7" w:history="1">
        <w:r>
          <w:rPr>
            <w:noProof/>
          </w:rPr>
          <w:t xml:space="preserve">5.1.1 </w:t>
        </w:r>
        <w:r>
          <w:rPr>
            <w:noProof/>
          </w:rPr>
          <w:t>Cao trình đỉnh đập</w:t>
        </w:r>
        <w:r>
          <w:rPr>
            <w:noProof/>
          </w:rPr>
          <w:tab/>
        </w:r>
        <w:r>
          <w:rPr>
            <w:noProof/>
          </w:rPr>
          <w:fldChar w:fldCharType="begin"/>
        </w:r>
        <w:r>
          <w:rPr>
            <w:noProof/>
          </w:rPr>
          <w:instrText xml:space="preserve"> PAGEREF _Toc1077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8" w:history="1">
        <w:r>
          <w:rPr>
            <w:noProof/>
          </w:rPr>
          <w:t xml:space="preserve">5.1.2 </w:t>
        </w:r>
        <w:r>
          <w:rPr>
            <w:noProof/>
          </w:rPr>
          <w:t>Bề rộng đỉnh và mái đập</w:t>
        </w:r>
        <w:r>
          <w:rPr>
            <w:noProof/>
          </w:rPr>
          <w:tab/>
        </w:r>
        <w:r>
          <w:rPr>
            <w:noProof/>
          </w:rPr>
          <w:fldChar w:fldCharType="begin"/>
        </w:r>
        <w:r>
          <w:rPr>
            <w:noProof/>
          </w:rPr>
          <w:instrText xml:space="preserve"> PAGEREF _Toc1078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9"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_Toc1079 \h </w:instrText>
        </w:r>
        <w:r>
          <w:rPr>
            <w:noProof/>
          </w:rPr>
          <w:fldChar w:fldCharType="separate"/>
        </w:r>
        <w:r>
          <w:rPr>
            <w:noProof/>
          </w:rPr>
          <w:t xml:space="preserve">38</w:t>
        </w:r>
        <w:r>
          <w:rPr>
            <w:noProof/>
          </w:rPr>
          <w:fldChar w:fldCharType="end"/>
        </w:r>
      </w:hyperlink>
    </w:p>
    <w:p>
      <w:pPr>
        <w:pStyle w:val="TOC2"/>
        <w:tabs>
          <w:tab w:val="right" w:leader="dot" w:pos="9062"/>
        </w:tabs>
      </w:pPr>
      <w:hyperlink w:anchor="_Toc1080" w:history="1">
        <w:r>
          <w:rPr>
            <w:noProof/>
          </w:rPr>
          <w:t xml:space="preserve">5.2 </w:t>
        </w:r>
        <w:r>
          <w:rPr>
            <w:noProof/>
          </w:rPr>
          <w:t>Tính thấm qua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81"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_Toc1081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2"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3"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_Toc1083 \h </w:instrText>
        </w:r>
        <w:r>
          <w:rPr>
            <w:noProof/>
          </w:rPr>
          <w:fldChar w:fldCharType="separate"/>
        </w:r>
        <w:r>
          <w:rPr>
            <w:noProof/>
          </w:rPr>
          <w:t xml:space="preserve">43</w:t>
        </w:r>
        <w:r>
          <w:rPr>
            <w:noProof/>
          </w:rPr>
          <w:fldChar w:fldCharType="end"/>
        </w:r>
      </w:hyperlink>
    </w:p>
    <w:p>
      <w:pPr>
        <w:pStyle w:val="TOC3"/>
        <w:tabs>
          <w:tab w:val="right" w:leader="dot" w:pos="9062"/>
        </w:tabs>
      </w:pPr>
      <w:hyperlink w:anchor="_Toc1084"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_Toc1084 \h </w:instrText>
        </w:r>
        <w:r>
          <w:rPr>
            <w:noProof/>
          </w:rPr>
          <w:fldChar w:fldCharType="separate"/>
        </w:r>
        <w:r>
          <w:rPr>
            <w:noProof/>
          </w:rPr>
          <w:t xml:space="preserve">43</w:t>
        </w:r>
        <w:r>
          <w:rPr>
            <w:noProof/>
          </w:rPr>
          <w:fldChar w:fldCharType="end"/>
        </w:r>
      </w:hyperlink>
    </w:p>
    <w:p>
      <w:pPr>
        <w:pStyle w:val="TOC3"/>
        <w:tabs>
          <w:tab w:val="right" w:leader="dot" w:pos="9062"/>
        </w:tabs>
      </w:pPr>
      <w:hyperlink w:anchor="_Toc1085"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_Toc1085 \h </w:instrText>
        </w:r>
        <w:r>
          <w:rPr>
            <w:noProof/>
          </w:rPr>
          <w:fldChar w:fldCharType="separate"/>
        </w:r>
        <w:r>
          <w:rPr>
            <w:noProof/>
          </w:rPr>
          <w:t xml:space="preserve">44</w:t>
        </w:r>
        <w:r>
          <w:rPr>
            <w:noProof/>
          </w:rPr>
          <w:fldChar w:fldCharType="end"/>
        </w:r>
      </w:hyperlink>
    </w:p>
    <w:p>
      <w:pPr>
        <w:pStyle w:val="TOC3"/>
        <w:tabs>
          <w:tab w:val="right" w:leader="dot" w:pos="9062"/>
        </w:tabs>
      </w:pPr>
      <w:hyperlink w:anchor="_Toc1086"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_Toc1086 \h </w:instrText>
        </w:r>
        <w:r>
          <w:rPr>
            <w:noProof/>
          </w:rPr>
          <w:fldChar w:fldCharType="separate"/>
        </w:r>
        <w:r>
          <w:rPr>
            <w:noProof/>
          </w:rPr>
          <w:t xml:space="preserve">45</w:t>
        </w:r>
        <w:r>
          <w:rPr>
            <w:noProof/>
          </w:rPr>
          <w:fldChar w:fldCharType="end"/>
        </w:r>
      </w:hyperlink>
    </w:p>
    <w:p>
      <w:pPr>
        <w:pStyle w:val="TOC1"/>
        <w:tabs>
          <w:tab w:val="right" w:leader="dot" w:pos="9062"/>
        </w:tabs>
      </w:pPr>
      <w:hyperlink w:anchor="_Toc1087"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_Toc1087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88"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_Toc1088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89"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_Toc1089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90" w:history="1">
        <w:r>
          <w:rPr>
            <w:noProof/>
          </w:rPr>
          <w:t xml:space="preserve">6.3 </w:t>
        </w:r>
        <w:r>
          <w:rPr>
            <w:noProof/>
          </w:rPr>
          <w:t>Tính toán thủy lực cống</w:t>
        </w:r>
        <w:r>
          <w:rPr>
            <w:noProof/>
          </w:rPr>
          <w:tab/>
        </w:r>
        <w:r>
          <w:rPr>
            <w:noProof/>
          </w:rPr>
          <w:fldChar w:fldCharType="begin"/>
        </w:r>
        <w:r>
          <w:rPr>
            <w:noProof/>
          </w:rPr>
          <w:instrText xml:space="preserve"> PAGEREF _Toc1090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91" w:history="1">
        <w:r>
          <w:rPr>
            <w:noProof/>
          </w:rPr>
          <w:t xml:space="preserve">6.3.1 </w:t>
        </w:r>
        <w:r>
          <w:rPr>
            <w:noProof/>
          </w:rPr>
          <w:t>Khả năng tháo qua cửa vào</w:t>
        </w:r>
        <w:r>
          <w:rPr>
            <w:noProof/>
          </w:rPr>
          <w:tab/>
        </w:r>
        <w:r>
          <w:rPr>
            <w:noProof/>
          </w:rPr>
          <w:fldChar w:fldCharType="begin"/>
        </w:r>
        <w:r>
          <w:rPr>
            <w:noProof/>
          </w:rPr>
          <w:instrText xml:space="preserve"> PAGEREF _Toc1091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92"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_Toc1092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93" w:history="1">
        <w:r>
          <w:rPr>
            <w:noProof/>
          </w:rPr>
          <w:t xml:space="preserve">6.3.3 </w:t>
        </w:r>
        <w:r>
          <w:rPr>
            <w:noProof/>
          </w:rPr>
          <w:t>Kiểm tra tiêu năng sau cống</w:t>
        </w:r>
        <w:r>
          <w:rPr>
            <w:noProof/>
          </w:rPr>
          <w:tab/>
        </w:r>
        <w:r>
          <w:rPr>
            <w:noProof/>
          </w:rPr>
          <w:fldChar w:fldCharType="begin"/>
        </w:r>
        <w:r>
          <w:rPr>
            <w:noProof/>
          </w:rPr>
          <w:instrText xml:space="preserve"> PAGEREF _Toc1093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4"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_Toc1094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5"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_Toc1095 \h </w:instrText>
        </w:r>
        <w:r>
          <w:rPr>
            <w:noProof/>
          </w:rPr>
          <w:fldChar w:fldCharType="separate"/>
        </w:r>
        <w:r>
          <w:rPr>
            <w:noProof/>
          </w:rPr>
          <w:t xml:space="preserve">50</w:t>
        </w:r>
        <w:r>
          <w:rPr>
            <w:noProof/>
          </w:rPr>
          <w:fldChar w:fldCharType="end"/>
        </w:r>
      </w:hyperlink>
    </w:p>
    <w:p>
      <w:pPr>
        <w:pStyle w:val="TOC1"/>
        <w:tabs>
          <w:tab w:val="right" w:leader="dot" w:pos="9062"/>
        </w:tabs>
      </w:pPr>
      <w:hyperlink w:anchor="_Toc1096"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_Toc1096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97"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_Toc1097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98"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_Toc1098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99" w:history="1">
        <w:r>
          <w:rPr>
            <w:noProof/>
          </w:rPr>
          <w:t xml:space="preserve">7.2.1 </w:t>
        </w:r>
        <w:r>
          <w:rPr>
            <w:noProof/>
          </w:rPr>
          <w:t>Công tác đất đập</w:t>
        </w:r>
        <w:r>
          <w:rPr>
            <w:noProof/>
          </w:rPr>
          <w:tab/>
        </w:r>
        <w:r>
          <w:rPr>
            <w:noProof/>
          </w:rPr>
          <w:fldChar w:fldCharType="begin"/>
        </w:r>
        <w:r>
          <w:rPr>
            <w:noProof/>
          </w:rPr>
          <w:instrText xml:space="preserve"> PAGEREF _Toc1099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100" w:history="1">
        <w:r>
          <w:rPr>
            <w:noProof/>
          </w:rPr>
          <w:t xml:space="preserve">7.2.2 </w:t>
        </w:r>
        <w:r>
          <w:rPr>
            <w:noProof/>
          </w:rPr>
          <w:t>Công tác bê tông</w:t>
        </w:r>
        <w:r>
          <w:rPr>
            <w:noProof/>
          </w:rPr>
          <w:tab/>
        </w:r>
        <w:r>
          <w:rPr>
            <w:noProof/>
          </w:rPr>
          <w:fldChar w:fldCharType="begin"/>
        </w:r>
        <w:r>
          <w:rPr>
            <w:noProof/>
          </w:rPr>
          <w:instrText xml:space="preserve"> PAGEREF _Toc1100 \h </w:instrText>
        </w:r>
        <w:r>
          <w:rPr>
            <w:noProof/>
          </w:rPr>
          <w:fldChar w:fldCharType="separate"/>
        </w:r>
        <w:r>
          <w:rPr>
            <w:noProof/>
          </w:rPr>
          <w:t xml:space="preserve">53</w:t>
        </w:r>
        <w:r>
          <w:rPr>
            <w:noProof/>
          </w:rPr>
          <w:fldChar w:fldCharType="end"/>
        </w:r>
      </w:hyperlink>
    </w:p>
    <w:p>
      <w:pPr>
        <w:pStyle w:val="TOC3"/>
        <w:tabs>
          <w:tab w:val="right" w:leader="dot" w:pos="9062"/>
        </w:tabs>
      </w:pPr>
      <w:hyperlink w:anchor="_Toc1101" w:history="1">
        <w:r>
          <w:rPr>
            <w:noProof/>
          </w:rPr>
          <w:t xml:space="preserve">7.2.3 </w:t>
        </w:r>
        <w:r>
          <w:rPr>
            <w:noProof/>
          </w:rPr>
          <w:t>Công tác khoan phụt chống thấm</w:t>
        </w:r>
        <w:r>
          <w:rPr>
            <w:noProof/>
          </w:rPr>
          <w:tab/>
        </w:r>
        <w:r>
          <w:rPr>
            <w:noProof/>
          </w:rPr>
          <w:fldChar w:fldCharType="begin"/>
        </w:r>
        <w:r>
          <w:rPr>
            <w:noProof/>
          </w:rPr>
          <w:instrText xml:space="preserve"> PAGEREF _Toc1101 \h </w:instrText>
        </w:r>
        <w:r>
          <w:rPr>
            <w:noProof/>
          </w:rPr>
          <w:fldChar w:fldCharType="separate"/>
        </w:r>
        <w:r>
          <w:rPr>
            <w:noProof/>
          </w:rPr>
          <w:t xml:space="preserve">53</w:t>
        </w:r>
        <w:r>
          <w:rPr>
            <w:noProof/>
          </w:rPr>
          <w:fldChar w:fldCharType="end"/>
        </w:r>
      </w:hyperlink>
    </w:p>
    <w:p>
      <w:pPr>
        <w:pStyle w:val="TOC3"/>
        <w:tabs>
          <w:tab w:val="right" w:leader="dot" w:pos="9062"/>
        </w:tabs>
      </w:pPr>
      <w:hyperlink w:anchor="_Toc1102" w:history="1">
        <w:r>
          <w:rPr>
            <w:noProof/>
          </w:rPr>
          <w:t xml:space="preserve">7.2.4 </w:t>
        </w:r>
        <w:r>
          <w:rPr>
            <w:noProof/>
          </w:rPr>
          <w:t>Lắp đặt thiết bị</w:t>
        </w:r>
        <w:r>
          <w:rPr>
            <w:noProof/>
          </w:rPr>
          <w:tab/>
        </w:r>
        <w:r>
          <w:rPr>
            <w:noProof/>
          </w:rPr>
          <w:fldChar w:fldCharType="begin"/>
        </w:r>
        <w:r>
          <w:rPr>
            <w:noProof/>
          </w:rPr>
          <w:instrText xml:space="preserve"> PAGEREF _Toc1102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103"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104" w:history="1">
        <w:r>
          <w:rPr>
            <w:noProof/>
          </w:rPr>
          <w:t xml:space="preserve">7.4 </w:t>
        </w:r>
        <w:r>
          <w:rPr>
            <w:noProof/>
          </w:rPr>
          <w:t>Tiến độ thi công</w:t>
        </w:r>
        <w:r>
          <w:rPr>
            <w:noProof/>
          </w:rPr>
          <w:tab/>
        </w:r>
        <w:r>
          <w:rPr>
            <w:noProof/>
          </w:rPr>
          <w:fldChar w:fldCharType="begin"/>
        </w:r>
        <w:r>
          <w:rPr>
            <w:noProof/>
          </w:rPr>
          <w:instrText xml:space="preserve"> PAGEREF _Toc1104 \h </w:instrText>
        </w:r>
        <w:r>
          <w:rPr>
            <w:noProof/>
          </w:rPr>
          <w:fldChar w:fldCharType="separate"/>
        </w:r>
        <w:r>
          <w:rPr>
            <w:noProof/>
          </w:rPr>
          <w:t xml:space="preserve">55</w:t>
        </w:r>
        <w:r>
          <w:rPr>
            <w:noProof/>
          </w:rPr>
          <w:fldChar w:fldCharType="end"/>
        </w:r>
      </w:hyperlink>
    </w:p>
    <w:p>
      <w:pPr>
        <w:pStyle w:val="TOC2"/>
        <w:tabs>
          <w:tab w:val="right" w:leader="dot" w:pos="9062"/>
        </w:tabs>
      </w:pPr>
      <w:hyperlink w:anchor="_Toc1105"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_Toc1105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6"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_Toc1106 \h </w:instrText>
        </w:r>
        <w:r>
          <w:rPr>
            <w:noProof/>
          </w:rPr>
          <w:fldChar w:fldCharType="separate"/>
        </w:r>
        <w:r>
          <w:rPr>
            <w:noProof/>
          </w:rPr>
          <w:t xml:space="preserve">57</w:t>
        </w:r>
        <w:r>
          <w:rPr>
            <w:noProof/>
          </w:rPr>
          <w:fldChar w:fldCharType="end"/>
        </w:r>
      </w:hyperlink>
    </w:p>
    <w:p>
      <w:pPr>
        <w:pStyle w:val="TOC1"/>
        <w:tabs>
          <w:tab w:val="right" w:leader="dot" w:pos="9062"/>
        </w:tabs>
      </w:pPr>
      <w:hyperlink w:anchor="_Toc1107"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_Toc1107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8" w:history="1">
        <w:r>
          <w:rPr>
            <w:noProof/>
          </w:rPr>
          <w:t xml:space="preserve">8.1 </w:t>
        </w:r>
        <w:r>
          <w:rPr>
            <w:noProof/>
          </w:rPr>
          <w:t>Đặt vấn đề</w:t>
        </w:r>
        <w:r>
          <w:rPr>
            <w:noProof/>
          </w:rPr>
          <w:tab/>
        </w:r>
        <w:r>
          <w:rPr>
            <w:noProof/>
          </w:rPr>
          <w:fldChar w:fldCharType="begin"/>
        </w:r>
        <w:r>
          <w:rPr>
            <w:noProof/>
          </w:rPr>
          <w:instrText xml:space="preserve"> PAGEREF _Toc1108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9" w:history="1">
        <w:r>
          <w:rPr>
            <w:noProof/>
          </w:rPr>
          <w:t xml:space="preserve">8.2 </w:t>
        </w:r>
        <w:r>
          <w:rPr>
            <w:noProof/>
          </w:rPr>
          <w:t>Cơ sở lý thuyết</w:t>
        </w:r>
        <w:r>
          <w:rPr>
            <w:noProof/>
          </w:rPr>
          <w:tab/>
        </w:r>
        <w:r>
          <w:rPr>
            <w:noProof/>
          </w:rPr>
          <w:fldChar w:fldCharType="begin"/>
        </w:r>
        <w:r>
          <w:rPr>
            <w:noProof/>
          </w:rPr>
          <w:instrText xml:space="preserve"> PAGEREF _Toc1109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0"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_Toc1110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1"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_Toc1111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112" w:history="1">
        <w:r>
          <w:rPr>
            <w:noProof/>
          </w:rPr>
          <w:t xml:space="preserve">8.3 </w:t>
        </w:r>
        <w:r>
          <w:rPr>
            <w:noProof/>
          </w:rPr>
          <w:t>Mô hình tính toán</w:t>
        </w:r>
        <w:r>
          <w:rPr>
            <w:noProof/>
          </w:rPr>
          <w:tab/>
        </w:r>
        <w:r>
          <w:rPr>
            <w:noProof/>
          </w:rPr>
          <w:fldChar w:fldCharType="begin"/>
        </w:r>
        <w:r>
          <w:rPr>
            <w:noProof/>
          </w:rPr>
          <w:instrText xml:space="preserve"> PAGEREF _Toc1112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3" w:history="1">
        <w:r>
          <w:rPr>
            <w:noProof/>
          </w:rPr>
          <w:t xml:space="preserve">8.3.1 </w:t>
        </w:r>
        <w:r>
          <w:rPr>
            <w:noProof/>
          </w:rPr>
          <w:t>Hình học và địa tầng</w:t>
        </w:r>
        <w:r>
          <w:rPr>
            <w:noProof/>
          </w:rPr>
          <w:tab/>
        </w:r>
        <w:r>
          <w:rPr>
            <w:noProof/>
          </w:rPr>
          <w:fldChar w:fldCharType="begin"/>
        </w:r>
        <w:r>
          <w:rPr>
            <w:noProof/>
          </w:rPr>
          <w:instrText xml:space="preserve"> PAGEREF _Toc1113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4"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_Toc1114 \h </w:instrText>
        </w:r>
        <w:r>
          <w:rPr>
            <w:noProof/>
          </w:rPr>
          <w:fldChar w:fldCharType="separate"/>
        </w:r>
        <w:r>
          <w:rPr>
            <w:noProof/>
          </w:rPr>
          <w:t xml:space="preserve">61</w:t>
        </w:r>
        <w:r>
          <w:rPr>
            <w:noProof/>
          </w:rPr>
          <w:fldChar w:fldCharType="end"/>
        </w:r>
      </w:hyperlink>
    </w:p>
    <w:p>
      <w:pPr>
        <w:pStyle w:val="TOC2"/>
        <w:tabs>
          <w:tab w:val="right" w:leader="dot" w:pos="9062"/>
        </w:tabs>
      </w:pPr>
      <w:hyperlink w:anchor="_Toc1115"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_Toc1115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116"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_Toc1116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117"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_Toc1117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18"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_Toc1118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19"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_Toc1119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20"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_Toc1120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21"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_Toc1121 \h </w:instrText>
        </w:r>
        <w:r>
          <w:rPr>
            <w:noProof/>
          </w:rPr>
          <w:fldChar w:fldCharType="separate"/>
        </w:r>
        <w:r>
          <w:rPr>
            <w:noProof/>
          </w:rPr>
          <w:t xml:space="preserve">66</w:t>
        </w:r>
        <w:r>
          <w:rPr>
            <w:noProof/>
          </w:rPr>
          <w:fldChar w:fldCharType="end"/>
        </w:r>
      </w:hyperlink>
    </w:p>
    <w:p>
      <w:pPr>
        <w:pStyle w:val="TOC2"/>
        <w:tabs>
          <w:tab w:val="right" w:leader="dot" w:pos="9062"/>
        </w:tabs>
      </w:pPr>
      <w:hyperlink w:anchor="_Toc1122" w:history="1">
        <w:r>
          <w:rPr>
            <w:noProof/>
          </w:rPr>
          <w:t xml:space="preserve">8.7 </w:t>
        </w:r>
        <w:r>
          <w:rPr>
            <w:noProof/>
          </w:rPr>
          <w:t>Kết luận chuyên đề</w:t>
        </w:r>
        <w:r>
          <w:rPr>
            <w:noProof/>
          </w:rPr>
          <w:tab/>
        </w:r>
        <w:r>
          <w:rPr>
            <w:noProof/>
          </w:rPr>
          <w:fldChar w:fldCharType="begin"/>
        </w:r>
        <w:r>
          <w:rPr>
            <w:noProof/>
          </w:rPr>
          <w:instrText xml:space="preserve"> PAGEREF _Toc1122 \h </w:instrText>
        </w:r>
        <w:r>
          <w:rPr>
            <w:noProof/>
          </w:rPr>
          <w:fldChar w:fldCharType="separate"/>
        </w:r>
        <w:r>
          <w:rPr>
            <w:noProof/>
          </w:rPr>
          <w:t xml:space="preserve">68</w:t>
        </w:r>
        <w:r>
          <w:rPr>
            <w:noProof/>
          </w:rPr>
          <w:fldChar w:fldCharType="end"/>
        </w:r>
      </w:hyperlink>
    </w:p>
    <w:p>
      <w:pPr>
        <w:pStyle w:val="TOC1"/>
        <w:tabs>
          <w:tab w:val="right" w:leader="dot" w:pos="9062"/>
        </w:tabs>
      </w:pPr>
      <w:hyperlink w:anchor="_Toc1123" w:history="1">
        <w:r>
          <w:rPr>
            <w:noProof/>
          </w:rPr>
          <w:t>KẾT LUẬN VÀ KIẾN NGHỊ</w:t>
        </w:r>
        <w:r>
          <w:rPr>
            <w:noProof/>
          </w:rPr>
          <w:tab/>
        </w:r>
        <w:r>
          <w:rPr>
            <w:noProof/>
          </w:rPr>
          <w:fldChar w:fldCharType="begin"/>
        </w:r>
        <w:r>
          <w:rPr>
            <w:noProof/>
          </w:rPr>
          <w:instrText xml:space="preserve"> PAGEREF _Toc1123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4" w:history="1">
        <w:r>
          <w:rPr>
            <w:noProof/>
          </w:rPr>
          <w:t>Kết luận</w:t>
        </w:r>
        <w:r>
          <w:rPr>
            <w:noProof/>
          </w:rPr>
          <w:tab/>
        </w:r>
        <w:r>
          <w:rPr>
            <w:noProof/>
          </w:rPr>
          <w:fldChar w:fldCharType="begin"/>
        </w:r>
        <w:r>
          <w:rPr>
            <w:noProof/>
          </w:rPr>
          <w:instrText xml:space="preserve"> PAGEREF _Toc1124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5" w:history="1">
        <w:r>
          <w:rPr>
            <w:noProof/>
          </w:rPr>
          <w:t>Kiến nghị</w:t>
        </w:r>
        <w:r>
          <w:rPr>
            <w:noProof/>
          </w:rPr>
          <w:tab/>
        </w:r>
        <w:r>
          <w:rPr>
            <w:noProof/>
          </w:rPr>
          <w:fldChar w:fldCharType="begin"/>
        </w:r>
        <w:r>
          <w:rPr>
            <w:noProof/>
          </w:rPr>
          <w:instrText xml:space="preserve"> PAGEREF _Toc1125 \h </w:instrText>
        </w:r>
        <w:r>
          <w:rPr>
            <w:noProof/>
          </w:rPr>
          <w:fldChar w:fldCharType="separate"/>
        </w:r>
        <w:r>
          <w:rPr>
            <w:noProof/>
          </w:rPr>
          <w:t xml:space="preserve">70</w:t>
        </w:r>
        <w:r>
          <w:rPr>
            <w:noProof/>
          </w:rPr>
          <w:fldChar w:fldCharType="end"/>
        </w:r>
      </w:hyperlink>
    </w:p>
    <w:p>
      <w:pPr>
        <w:pStyle w:val="TOC1"/>
        <w:tabs>
          <w:tab w:val="right" w:leader="dot" w:pos="9062"/>
        </w:tabs>
      </w:pPr>
      <w:hyperlink w:anchor="_Toc1126" w:history="1">
        <w:r>
          <w:rPr>
            <w:noProof/>
          </w:rPr>
          <w:t>TÀI LIỆU THAM KHẢO</w:t>
        </w:r>
        <w:r>
          <w:rPr>
            <w:noProof/>
          </w:rPr>
          <w:tab/>
        </w:r>
        <w:r>
          <w:rPr>
            <w:noProof/>
          </w:rPr>
          <w:fldChar w:fldCharType="begin"/>
        </w:r>
        <w:r>
          <w:rPr>
            <w:noProof/>
          </w:rPr>
          <w:instrText xml:space="preserve"> PAGEREF _Toc1126 \h </w:instrText>
        </w:r>
        <w:r>
          <w:rPr>
            <w:noProof/>
          </w:rPr>
          <w:fldChar w:fldCharType="separate"/>
        </w:r>
        <w:r>
          <w:rPr>
            <w:noProof/>
          </w:rPr>
          <w:t xml:space="preserve">72</w:t>
        </w:r>
        <w:r>
          <w:rPr>
            <w:noProof/>
          </w:rPr>
          <w:fldChar w:fldCharType="end"/>
        </w:r>
      </w:hyperlink>
    </w:p>
    <w:p>
      <w:pPr>
        <w:pStyle w:val="TOC1"/>
        <w:tabs>
          <w:tab w:val="right" w:leader="dot" w:pos="9062"/>
        </w:tabs>
      </w:pPr>
      <w:hyperlink w:anchor="_Toc1127" w:history="1">
        <w:r>
          <w:rPr>
            <w:noProof/>
          </w:rPr>
          <w:t>PHỤ LỤC</w:t>
        </w:r>
        <w:r>
          <w:rPr>
            <w:noProof/>
          </w:rPr>
          <w:tab/>
        </w:r>
        <w:r>
          <w:rPr>
            <w:noProof/>
          </w:rPr>
          <w:fldChar w:fldCharType="begin"/>
        </w:r>
        <w:r>
          <w:rPr>
            <w:noProof/>
          </w:rPr>
          <w:instrText xml:space="preserve"> PAGEREF _Toc1127 \h </w:instrText>
        </w:r>
        <w:r>
          <w:rPr>
            <w:noProof/>
          </w:rPr>
          <w:fldChar w:fldCharType="separate"/>
        </w:r>
        <w:r>
          <w:rPr>
            <w:noProof/>
          </w:rPr>
          <w:t xml:space="preserve">75</w:t>
        </w:r>
        <w:r>
          <w:rPr>
            <w:noProof/>
          </w:rPr>
          <w:fldChar w:fldCharType="end"/>
        </w:r>
      </w:hyperlink>
    </w:p>
    <w:p>
      <w:pPr>
        <w:pStyle w:val="TOC2"/>
        <w:tabs>
          <w:tab w:val="right" w:leader="dot" w:pos="9062"/>
        </w:tabs>
      </w:pPr>
      <w:hyperlink w:anchor="_Toc1128"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_Toc1128 \h </w:instrText>
        </w:r>
        <w:r>
          <w:rPr>
            <w:noProof/>
          </w:rPr>
          <w:fldChar w:fldCharType="separate"/>
        </w:r>
        <w:r>
          <w:rPr>
            <w:noProof/>
          </w:rPr>
          <w:t xml:space="preserve">75</w:t>
        </w:r>
        <w:r>
          <w:rPr>
            <w:noProof/>
          </w:rPr>
          <w:fldChar w:fldCharType="end"/>
        </w:r>
      </w:hyperlink>
    </w:p>
    <w:p>
      <w:pPr>
        <w:pStyle w:val="TOC2"/>
        <w:tabs>
          <w:tab w:val="right" w:leader="dot" w:pos="9062"/>
        </w:tabs>
      </w:pPr>
      <w:hyperlink w:anchor="_Toc1129" w:history="1">
        <w:r>
          <w:rPr>
            <w:noProof/>
          </w:rPr>
          <w:t>Phụ lục 2. Bảng tính điều tiết lũ theo thời gian</w:t>
        </w:r>
        <w:r>
          <w:rPr>
            <w:noProof/>
          </w:rPr>
          <w:tab/>
        </w:r>
        <w:r>
          <w:rPr>
            <w:noProof/>
          </w:rPr>
          <w:fldChar w:fldCharType="begin"/>
        </w:r>
        <w:r>
          <w:rPr>
            <w:noProof/>
          </w:rPr>
          <w:instrText xml:space="preserve"> PAGEREF _Toc1129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30" w:history="1">
        <w:r>
          <w:rPr>
            <w:noProof/>
          </w:rPr>
          <w:t>Phụ lục 3. Kết quả tính ổn định mái đập sau sửa chữa</w:t>
        </w:r>
        <w:r>
          <w:rPr>
            <w:noProof/>
          </w:rPr>
          <w:tab/>
        </w:r>
        <w:r>
          <w:rPr>
            <w:noProof/>
          </w:rPr>
          <w:fldChar w:fldCharType="begin"/>
        </w:r>
        <w:r>
          <w:rPr>
            <w:noProof/>
          </w:rPr>
          <w:instrText xml:space="preserve"> PAGEREF _Toc1130 \h </w:instrText>
        </w:r>
        <w:r>
          <w:rPr>
            <w:noProof/>
          </w:rPr>
          <w:fldChar w:fldCharType="separate"/>
        </w:r>
        <w:r>
          <w:rPr>
            <w:noProof/>
          </w:rPr>
          <w:t xml:space="preserve">78</w:t>
        </w:r>
        <w:r>
          <w:rPr>
            <w:noProof/>
          </w:rPr>
          <w:fldChar w:fldCharType="end"/>
        </w:r>
      </w:hyperlink>
    </w:p>
    <w:p>
      <w:pPr>
        <w:pStyle w:val="TOC2"/>
        <w:tabs>
          <w:tab w:val="right" w:leader="dot" w:pos="9062"/>
        </w:tabs>
      </w:pPr>
      <w:hyperlink w:anchor="_Toc1131" w:history="1">
        <w:r>
          <w:rPr>
            <w:noProof/>
          </w:rPr>
          <w:t>Phụ lục 4. Kết quả tính thấm bổ sung</w:t>
        </w:r>
        <w:r>
          <w:rPr>
            <w:noProof/>
          </w:rPr>
          <w:tab/>
        </w:r>
        <w:r>
          <w:rPr>
            <w:noProof/>
          </w:rPr>
          <w:fldChar w:fldCharType="begin"/>
        </w:r>
        <w:r>
          <w:rPr>
            <w:noProof/>
          </w:rPr>
          <w:instrText xml:space="preserve"> PAGEREF _Toc1131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32" w:history="1">
        <w:r>
          <w:rPr>
            <w:noProof/>
          </w:rPr>
          <w:t>Phụ lục 5. Chương trình tính toán của đồ án</w:t>
        </w:r>
        <w:r>
          <w:rPr>
            <w:noProof/>
          </w:rPr>
          <w:tab/>
        </w:r>
        <w:r>
          <w:rPr>
            <w:noProof/>
          </w:rPr>
          <w:fldChar w:fldCharType="begin"/>
        </w:r>
        <w:r>
          <w:rPr>
            <w:noProof/>
          </w:rPr>
          <w:instrText xml:space="preserve"> PAGEREF _Toc1132 \h </w:instrText>
        </w:r>
        <w:r>
          <w:rPr>
            <w:noProof/>
          </w:rPr>
          <w:fldChar w:fldCharType="separate"/>
        </w:r>
        <w:r>
          <w:rPr>
            <w:noProof/>
          </w:rPr>
          <w:t xml:space="preserve">81</w:t>
        </w:r>
        <w:r>
          <w:rPr>
            <w:noProof/>
          </w:rPr>
          <w:fldChar w:fldCharType="end"/>
        </w:r>
      </w:hyperlink>
    </w:p>
    <w:p>
      <w:pPr>
        <w:pStyle w:val="TOC2"/>
        <w:tabs>
          <w:tab w:val="right" w:leader="dot" w:pos="9062"/>
        </w:tabs>
      </w:pPr>
      <w:hyperlink w:anchor="_Toc1133"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_Toc1133 \h </w:instrText>
        </w:r>
        <w:r>
          <w:rPr>
            <w:noProof/>
          </w:rPr>
          <w:fldChar w:fldCharType="separate"/>
        </w:r>
        <w:r>
          <w:rPr>
            <w:noProof/>
          </w:rPr>
          <w:t xml:space="preserve">82</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8"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9"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_Toc2009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2011"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_Toc2011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2"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_Toc2012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2013"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_Toc2013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4"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_Toc2014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5"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_Toc2015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2016"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_Toc2016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2017"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_Toc2017 \h </w:instrText>
        </w:r>
        <w:r>
          <w:rPr>
            <w:noProof/>
          </w:rPr>
          <w:fldChar w:fldCharType="separate"/>
        </w:r>
        <w:r>
          <w:rPr>
            <w:noProof/>
          </w:rPr>
          <w:t xml:space="preserve">61</w:t>
        </w:r>
        <w:r>
          <w:rPr>
            <w:noProof/>
          </w:rPr>
          <w:fldChar w:fldCharType="end"/>
        </w:r>
      </w:hyperlink>
    </w:p>
    <w:p>
      <w:pPr>
        <w:pStyle w:val="TableofFigures"/>
        <w:tabs>
          <w:tab w:val="right" w:leader="dot" w:pos="9062"/>
        </w:tabs>
      </w:pPr>
      <w:hyperlink w:anchor="_Toc2018"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19"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_Toc2019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20"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_Toc2020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21"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_Toc2021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2022"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_Toc2022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3"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_Toc2023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4"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_Toc2024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5"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_Toc2025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6"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_Toc2026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7"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_Toc2027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8"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_Toc2028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9"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_Toc2029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30"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_Toc2030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31"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32"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_Toc2032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33"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_Toc2033 \h </w:instrText>
        </w:r>
        <w:r>
          <w:rPr>
            <w:noProof/>
          </w:rPr>
          <w:fldChar w:fldCharType="separate"/>
        </w:r>
        <w:r>
          <w:rPr>
            <w:noProof/>
          </w:rPr>
          <w:t xml:space="preserve">81</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21"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_Toc3021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3022"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_Toc3022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3"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_Toc3023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4"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5"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_Toc3025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6"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_Toc3026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7"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_Toc3027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3028"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_Toc3028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9"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_Toc3029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30"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_Toc3030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3031"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_Toc3031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32"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_Toc3032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3033"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_Toc3033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4"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_Toc3034 \h </w:instrText>
        </w:r>
        <w:r>
          <w:rPr>
            <w:noProof/>
          </w:rPr>
          <w:fldChar w:fldCharType="separate"/>
        </w:r>
        <w:r>
          <w:rPr>
            <w:noProof/>
          </w:rPr>
          <w:t xml:space="preserve">61</w:t>
        </w:r>
        <w:r>
          <w:rPr>
            <w:noProof/>
          </w:rPr>
          <w:fldChar w:fldCharType="end"/>
        </w:r>
      </w:hyperlink>
    </w:p>
    <w:p>
      <w:pPr>
        <w:pStyle w:val="TableofFigures"/>
        <w:tabs>
          <w:tab w:val="right" w:leader="dot" w:pos="9062"/>
        </w:tabs>
      </w:pPr>
      <w:hyperlink w:anchor="_Toc3035"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_Toc3035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6"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_Toc3036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7"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8"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_Toc3038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9"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_Toc3039 \h </w:instrText>
        </w:r>
        <w:r>
          <w:rPr>
            <w:noProof/>
          </w:rPr>
          <w:fldChar w:fldCharType="separate"/>
        </w:r>
        <w:r>
          <w:rPr>
            <w:noProof/>
          </w:rPr>
          <w:t xml:space="preserve">65</w:t>
        </w:r>
        <w:r>
          <w:rPr>
            <w:noProof/>
          </w:rPr>
          <w:fldChar w:fldCharType="end"/>
        </w:r>
      </w:hyperlink>
    </w:p>
    <w:p>
      <w:pPr>
        <w:pStyle w:val="TableofFigures"/>
        <w:tabs>
          <w:tab w:val="right" w:leader="dot" w:pos="9062"/>
        </w:tabs>
      </w:pPr>
      <w:hyperlink w:anchor="_Toc3040"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_Toc3040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41"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_Toc3041 \h </w:instrText>
        </w:r>
        <w:r>
          <w:rPr>
            <w:noProof/>
          </w:rPr>
          <w:fldChar w:fldCharType="separate"/>
        </w:r>
        <w:r>
          <w:rPr>
            <w:noProof/>
          </w:rPr>
          <w:t xml:space="preserve">75</w:t>
        </w:r>
        <w:r>
          <w:rPr>
            <w:noProof/>
          </w:rPr>
          <w:fldChar w:fldCharType="end"/>
        </w:r>
      </w:hyperlink>
    </w:p>
    <w:p>
      <w:pPr>
        <w:pStyle w:val="TableofFigures"/>
        <w:tabs>
          <w:tab w:val="right" w:leader="dot" w:pos="9062"/>
        </w:tabs>
      </w:pPr>
      <w:hyperlink w:anchor="_Toc3042"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_Toc3042 \h </w:instrText>
        </w:r>
        <w:r>
          <w:rPr>
            <w:noProof/>
          </w:rPr>
          <w:fldChar w:fldCharType="separate"/>
        </w:r>
        <w:r>
          <w:rPr>
            <w:noProof/>
          </w:rPr>
          <w:t xml:space="preserve">75</w:t>
        </w:r>
        <w:r>
          <w:rPr>
            <w:noProof/>
          </w:rPr>
          <w:fldChar w:fldCharType="end"/>
        </w:r>
      </w:hyperlink>
    </w:p>
    <w:p>
      <w:pPr>
        <w:pStyle w:val="TableofFigures"/>
        <w:tabs>
          <w:tab w:val="right" w:leader="dot" w:pos="9062"/>
        </w:tabs>
      </w:pPr>
      <w:hyperlink w:anchor="_Toc3043"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_Toc3043 \h </w:instrText>
        </w:r>
        <w:r>
          <w:rPr>
            <w:noProof/>
          </w:rPr>
          <w:fldChar w:fldCharType="separate"/>
        </w:r>
        <w:r>
          <w:rPr>
            <w:noProof/>
          </w:rPr>
          <w:t xml:space="preserve">76</w:t>
        </w:r>
        <w:r>
          <w:rPr>
            <w:noProof/>
          </w:rPr>
          <w:fldChar w:fldCharType="end"/>
        </w:r>
      </w:hyperlink>
    </w:p>
    <w:p>
      <w:pPr>
        <w:pStyle w:val="TableofFigures"/>
        <w:tabs>
          <w:tab w:val="right" w:leader="dot" w:pos="9062"/>
        </w:tabs>
      </w:pPr>
      <w:hyperlink w:anchor="_Toc3044"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_Toc3044 \h </w:instrText>
        </w:r>
        <w:r>
          <w:rPr>
            <w:noProof/>
          </w:rPr>
          <w:fldChar w:fldCharType="separate"/>
        </w:r>
        <w:r>
          <w:rPr>
            <w:noProof/>
          </w:rPr>
          <w:t xml:space="preserve">77</w:t>
        </w:r>
        <w:r>
          <w:rPr>
            <w:noProof/>
          </w:rPr>
          <w:fldChar w:fldCharType="end"/>
        </w:r>
      </w:hyperlink>
    </w:p>
    <w:p>
      <w:pPr>
        <w:pStyle w:val="TableofFigures"/>
        <w:tabs>
          <w:tab w:val="right" w:leader="dot" w:pos="9062"/>
        </w:tabs>
      </w:pPr>
      <w:hyperlink w:anchor="_Toc3045"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_Toc3045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3046"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_Toc3046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7"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_Toc3047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8"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_Toc3048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9"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_Toc3049 \h </w:instrText>
        </w:r>
        <w:r>
          <w:rPr>
            <w:noProof/>
          </w:rPr>
          <w:fldChar w:fldCharType="separate"/>
        </w:r>
        <w:r>
          <w:rPr>
            <w:noProof/>
          </w:rPr>
          <w:t xml:space="preserve">83</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8" w:name="_Toc3000"/>
      <w:r>
        <w:t xml:space="preserve">Bảng 1.1 </w:t>
      </w:r>
      <w:r>
        <w:t>Thông số kỹ thuật chủ yếu của cụm công trình đầu mối hồ Cà Giây</w:t>
      </w:r>
      <w:bookmarkEnd w:id="1068"/>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Chiều cao đập lớn nhất (sau nâng cấp)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24,75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9" w:name="_Toc3001"/>
      <w:r>
        <w:t xml:space="preserve">Bảng 1.2 </w:t>
      </w:r>
      <w:r>
        <w:t>Quan hệ Z ~ F ~ W lòng hồ Cà Giây (đoạn +64 ÷ +82 m)</w:t>
      </w:r>
      <w:bookmarkEnd w:id="1069"/>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4" w:name="_Toc2000"/>
      <w:r>
        <w:t xml:space="preserve">Hình 1.1 </w:t>
      </w:r>
      <w:r>
        <w:t>Đường đặc tính lòng hồ: a) Z ~ F; b) Z ~ W (so sánh số liệu hồ sơ và tính lại)</w:t>
      </w:r>
      <w:bookmarkEnd w:id="1034"/>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0" w:name="_Toc3002"/>
      <w:r>
        <w:t xml:space="preserve">Bảng 1.3 </w:t>
      </w:r>
      <w:r>
        <w:t>Chỉ tiêu cơ lý chủ yếu của các lớp đất đắp và nền đập</w:t>
      </w:r>
      <w:bookmarkEnd w:id="1070"/>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1" w:name="_Toc3003"/>
      <w:r>
        <w:t xml:space="preserve">Bảng 1.4 </w:t>
      </w:r>
      <w:r>
        <w:t>Vận tốc gió lớn nhất theo hướng ứng với các tần suất (m/s)</w:t>
      </w:r>
      <w:bookmarkEnd w:id="1071"/>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72" w:name="_Toc3004"/>
      <w:r>
        <w:t xml:space="preserve">Bảng 1.5 </w:t>
      </w:r>
      <w:r>
        <w:t>Đặc trưng lũ thiết kế đến hồ Cà Giây</w:t>
      </w:r>
      <w:bookmarkEnd w:id="1072"/>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35" w:name="_Toc2001"/>
      <w:r>
        <w:t xml:space="preserve">Hình 1.2 Trình tự thực hiện và kiểm chứng kết quả tính toán của đồ án</w:t>
      </w:r>
      <w:bookmarkEnd w:id="1035"/>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73" w:name="_Toc3005"/>
      <w:r>
        <w:t xml:space="preserve">Bảng 2.1 </w:t>
      </w:r>
      <w:r>
        <w:t>Các chỉ tiêu thiết kế áp dụng cho công trình cấp II</w:t>
      </w:r>
      <w:bookmarkEnd w:id="1073"/>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[12] và QCVN 02:2022/BXD.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/s theo nhiệm vụ mới của QTVH, mực nước hồ cần tối thiểu +67,94 m, nghĩa là ở đầu vụ khô hạn nhiệm vụ này chỉ đáp ứng được khi mực nước hồ còn trên MNC khoảng 0,45 m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theo thời đoạn tháng [13], [14] </w:t>
      </w:r>
      <w:r>
        <w:t xml:space="preserve">với chuỗi dòng chảy đến 44 năm thủy văn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spacing w:before="0"/>
        <w:ind w:left="567"/>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[13], với m – số năm đủ nước, n = 44 (QTVH [1] dùng P = m/n·100%; kết quả theo cả hai cách được so sánh ở mục 2.2.3).</w:t>
      </w:r>
    </w:p>
    <w:p>
      <w:pPr>
        <w:pStyle w:val="Heading3"/>
      </w:pPr>
      <w:bookmarkStart w:id="935" w:name="_Toc1035"/>
      <w:r>
        <w:t>Kết quả tính toán</w:t>
      </w:r>
      <w:bookmarkEnd w:id="935"/>
    </w:p>
    <w:p>
      <w:pPr>
        <w:pStyle w:val="Chuthichbang"/>
        <w:keepNext/>
      </w:pPr>
      <w:bookmarkStart w:id="1074" w:name="_Toc3006"/>
      <w:r>
        <w:t xml:space="preserve">Bảng 2.2 </w:t>
      </w:r>
      <w:r>
        <w:t>Kết quả điều tiết toàn chuỗi 44 năm hồ Cà Giây (MNDBT +74,70 m; MNC +67,50 m)</w:t>
      </w:r>
      <w:bookmarkEnd w:id="1074"/>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6" w:name="_Toc2002"/>
      <w:r>
        <w:t xml:space="preserve">Hình 2.1 </w:t>
      </w:r>
      <w:r>
        <w:t>Quá trình mực nước hồ cuối tháng khi điều tiết toàn chuỗi 44 năm (TH1 và TH1A)</w:t>
      </w:r>
      <w:bookmarkEnd w:id="1036"/>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(iii) phương án tiềm năng TH2 đạt 82,2%, xấp xỉ yêu cầu.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TH2 đạt 84,1% – kết luận không đổi.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[13]:</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[15]:</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 đây là tình huống kiểm tra sự cố thiết bị, không thuộc tổ hợp thiết kế; kết quả dùng để đánh giá mức dự trữ an toàn và yêu cầu quản lý vận hành (phân loại ở Bảng 4.3).</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5" w:name="_Toc3007"/>
      <w:r>
        <w:t xml:space="preserve">Bảng 2.3 </w:t>
      </w:r>
      <w:r>
        <w:t>Kết quả điều tiết lũ với tràn hiện trạng (tràn chính 9 × 2,4 m; tràn sự cố 5 m)</w:t>
      </w:r>
      <w:bookmarkEnd w:id="1075"/>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7" w:name="_Toc2003"/>
      <w:r>
        <w:t xml:space="preserve">Hình 2.2 </w:t>
      </w:r>
      <w:r>
        <w:t>Quá trình lũ đến, lưu lượng xả và mực nước hồ – lũ BCNCKT P = 1% và P = 0,2%</w:t>
      </w:r>
      <w:bookmarkEnd w:id="1037"/>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8" w:name="_Toc2004"/>
      <w:r>
        <w:t xml:space="preserve">Hình 2.3 </w:t>
      </w:r>
      <w:r>
        <w:t>Quá trình lũ đến, lưu lượng xả và mực nước hồ – lũ QTVH P = 1% và P = 0,2%</w:t>
      </w:r>
      <w:bookmarkEnd w:id="1038"/>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[16]:</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kể đến góc giữa hướng sóng và pháp tuyến mái (gió hướng Bắc lệch pháp tuyến mái 6,2° nên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76" w:name="_Toc3008"/>
      <w:r>
        <w:t xml:space="preserve">Bảng 2.4 </w:t>
      </w:r>
      <w:r>
        <w:t>Kết quả tính cao trình đỉnh đập theo ba trường hợp (lũ BCNCKT)</w:t>
      </w:r>
      <w:bookmarkEnd w:id="1076"/>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7" w:name="_Toc3009"/>
      <w:r>
        <w:t xml:space="preserve">Bảng 2.5 </w:t>
      </w:r>
      <w:r>
        <w:t>Tổng hợp cao trình đỉnh đập yêu cầu (m)</w:t>
      </w:r>
      <w:bookmarkEnd w:id="1077"/>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77,15</w:t>
            </w:r>
          </w:p>
        </w:tc>
        <w:tc>
          <w:tcPr>
            <w:tcW w:type="dxa" w:w="1020"/>
          </w:tcPr>
          <w:p>
            <w:pPr>
              <w:spacing w:before="20" w:after="20" w:line="240" w:lineRule="auto"/>
              <w:jc w:val="center"/>
            </w:pPr>
            <w:r>
              <w:rPr>
                <w:sz w:val="21"/>
              </w:rPr>
              <w:t xml:space="preserve">78,97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78,97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hướng Đông Bắc (góc tới 38,8°, V</w:t>
      </w:r>
      <w:r>
        <w:rPr>
          <w:vertAlign w:val="subscript"/>
        </w:rPr>
        <w:t xml:space="preserve">4%</w:t>
      </w:r>
      <w:r>
        <w:t xml:space="preserve"> = 18,6 m/s, V</w:t>
      </w:r>
      <w:r>
        <w:rPr>
          <w:vertAlign w:val="subscript"/>
        </w:rPr>
        <w:t xml:space="preserve">50%</w:t>
      </w:r>
      <w:r>
        <w:t xml:space="preserve"> = 11,9 m/s) cho Z</w:t>
      </w:r>
      <w:r>
        <w:rPr>
          <w:vertAlign w:val="subscript"/>
        </w:rPr>
        <w:t xml:space="preserve">1</w:t>
      </w:r>
      <w:r>
        <w:t xml:space="preserve"> = +77,15 m, Z</w:t>
      </w:r>
      <w:r>
        <w:rPr>
          <w:vertAlign w:val="subscript"/>
        </w:rPr>
        <w:t xml:space="preserve">2</w:t>
      </w:r>
      <w:r>
        <w:t xml:space="preserve"> = +78,97 m; hướng Tây Bắc (51,2°) cho Z</w:t>
      </w:r>
      <w:r>
        <w:rPr>
          <w:vertAlign w:val="subscript"/>
        </w:rPr>
        <w:t xml:space="preserve">1</w:t>
      </w:r>
      <w:r>
        <w:t xml:space="preserve"> = +76,66 m, Z</w:t>
      </w:r>
      <w:r>
        <w:rPr>
          <w:vertAlign w:val="subscript"/>
        </w:rPr>
        <w:t xml:space="preserve">2</w:t>
      </w:r>
      <w:r>
        <w:t xml:space="preserve"> = +78,62 m; các hướng Đông, Tây gần song song tuyến đập (góc tới 84 ÷ 96°), các hướng Nam thổi từ phía hạ lưu nên không gây sóng leo lên mái thượng lưu. Như vậy trị số lớn nhất là Z</w:t>
      </w:r>
      <w:r>
        <w:rPr>
          <w:vertAlign w:val="subscript"/>
        </w:rPr>
        <w:t xml:space="preserve">2</w:t>
      </w:r>
      <w:r>
        <w:t xml:space="preserve"> = +78,97 m (gió Đông Bắc). Theo TCVN 8216:2018 mục 10.1.5, đập có tường chắn sóng thẳng đứng liên kết với bộ phận chống thấm thì độ vượt cao được tính đến đỉnh tường: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+78,97 m &lt; +79,40 m – tường chắn sóng hiện trạng đạt yêu cầu (dự trữ 0,43 m);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9" w:name="_Toc2005"/>
      <w:r>
        <w:t xml:space="preserve">Hình 2.4 </w:t>
      </w:r>
      <w:r>
        <w:t>Sơ đồ vật liệu và lưới phần tử hữu hạn mặt cắt lòng sông</w:t>
      </w:r>
      <w:bookmarkEnd w:id="1039"/>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[17], [18]:</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[19],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8" w:name="_Toc3010"/>
      <w:r>
        <w:t xml:space="preserve">Bảng 2.6 </w:t>
      </w:r>
      <w:r>
        <w:t>Kết quả tính thấm mặt cắt lòng sông – hiện trạng</w:t>
      </w:r>
      <w:bookmarkEnd w:id="1078"/>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0" w:name="_Toc2006"/>
      <w:r>
        <w:t xml:space="preserve">Hình 2.5 </w:t>
      </w:r>
      <w:r>
        <w:t>Lưới dòng thấm và đường bão hòa hiện trạng – mực nước hồ MNLTK</w:t>
      </w:r>
      <w:bookmarkEnd w:id="1040"/>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(1 ÷ 3)% dung tích hồ mỗi tháng theo TCVN 10778.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[20],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kiểm tra chéo bằng phương pháp Spencer (thỏa mãn đồng thời cân bằng lực và cân bằng mô men – nhóm phương pháp cân bằng giới hạn mà TCVN 8216:2018 mục 11.3.1 yêu cầu) và bằng lưới tâm mịn gấp đôi (mục 5.3, Phụ lục 6).</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9" w:name="_Toc3011"/>
      <w:r>
        <w:t xml:space="preserve">Bảng 2.7 </w:t>
      </w:r>
      <w:r>
        <w:t>Kết quả kiểm tra ổn định mái đập hiện trạng (Bishop, mặt cắt lòng sông)</w:t>
      </w:r>
      <w:bookmarkEnd w:id="1079"/>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1" w:name="_Toc2007"/>
      <w:r>
        <w:t xml:space="preserve">Hình 2.6 </w:t>
      </w:r>
      <w:r>
        <w:t>Cung trượt nguy hiểm nhất mái hạ lưu hiện trạng – TH4 (thoát nước bị tắc)</w:t>
      </w:r>
      <w:bookmarkEnd w:id="1041"/>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0" w:name="_Toc3012"/>
      <w:r>
        <w:t xml:space="preserve">Bảng 2.8 </w:t>
      </w:r>
      <w:r>
        <w:t xml:space="preserve">Tổng hợp kết quả đánh giá an toàn công trình hiện trạng</w:t>
      </w:r>
      <w:bookmarkEnd w:id="1080"/>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+78,97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w:t>
      </w:r>
      <w:r>
        <w:t xml:space="preserve">Theo kết quả tính lại ở Chương 2: tường chắn sóng hiện trạng (+79,40 m) đủ chắn sóng với mọi hướng gió (Z</w:t>
      </w:r>
      <w:r>
        <w:rPr>
          <w:vertAlign w:val="subscript"/>
        </w:rPr>
        <w:t xml:space="preserve">max</w:t>
      </w:r>
      <w:r>
        <w:t xml:space="preserve"> = +78,97 m);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nên +78,85 m được quy định là cao trình tối thiểu sau lún tại mép thượng lưu, khi thi công lấy dự phòng lún 2 cm (mục 5.1.1); khối lượng đất đắp tăng khoảng 986 × 5 × 0,1 ≈ 490 m</w:t>
      </w:r>
      <w:r>
        <w:rPr>
          <w:vertAlign w:val="superscript"/>
        </w:rPr>
        <w:t xml:space="preserve">3</w:t>
      </w:r>
      <w:r>
        <w:t xml:space="preserve">, chi phí tăng không đáng kể;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w:t>
      </w:r>
      <w:r>
        <w:t xml:space="preserve">lớp đất đắp bù đầm chặt K ≥ 0,97; lớp cấp phối đá dăm đệm dày 5 cm; lớp nilon tái sinh; bê tông M250 đá 1×2 dày 20 cm.</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42" w:name="_Toc2008"/>
      <w:r>
        <w:t xml:space="preserve">Hình 3.1 </w:t>
      </w:r>
      <w:r>
        <w:t>Cấu tạo sửa chữa mặt đập (nguồn: TKCS [2])</w:t>
      </w:r>
      <w:bookmarkEnd w:id="1042"/>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1" w:name="_Toc3013"/>
      <w:r>
        <w:t xml:space="preserve">Bảng 3.1 </w:t>
      </w:r>
      <w:r>
        <w:t>So sánh phương án bảo vệ mái hạ lưu</w:t>
      </w:r>
      <w:bookmarkEnd w:id="1081"/>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3" w:name="_Toc2009"/>
      <w:r>
        <w:t xml:space="preserve">Hình 3.2 </w:t>
      </w:r>
      <w:r>
        <w:t>Mặt bằng bố trí hệ thống rãnh thoát nước mái hạ lưu (nguồn: TKCS [2])</w:t>
      </w:r>
      <w:bookmarkEnd w:id="1043"/>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82" w:name="_Toc3014"/>
      <w:r>
        <w:t xml:space="preserve">Bảng 3.2 </w:t>
      </w:r>
      <w:r>
        <w:t>Tổng hợp giải pháp sửa chữa, nâng cấp được lựa chọn</w:t>
      </w:r>
      <w:bookmarkEnd w:id="1082"/>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83" w:name="_Toc3015"/>
      <w:r>
        <w:t xml:space="preserve">Bảng 4.1 </w:t>
      </w:r>
      <w:r>
        <w:t>Các trị số thiết kế của công trình tháo lũ (lũ BCNCKT)</w:t>
      </w:r>
      <w:bookmarkEnd w:id="1083"/>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84" w:name="_Toc3016"/>
      <w:r>
        <w:t xml:space="preserve">Bảng 4.2 </w:t>
      </w:r>
      <w:r>
        <w:t xml:space="preserve">Phân loại các tình huống lũ và yêu cầu đối với đỉnh đập, tường chắn sóng</w:t>
      </w:r>
      <w:bookmarkEnd w:id="1084"/>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(thiết kế)</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+78,97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(kiểm tra)</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Kiểm tra sự cố thiết bị</w:t>
            </w:r>
          </w:p>
        </w:tc>
        <w:tc>
          <w:tcPr>
            <w:tcW w:type="dxa" w:w="1814"/>
          </w:tcPr>
          <w:p>
            <w:pPr>
              <w:spacing w:before="20" w:after="20" w:line="240" w:lineRule="auto"/>
              <w:jc w:val="left"/>
            </w:pPr>
            <w:r>
              <w:rPr>
                <w:sz w:val="19"/>
              </w:rPr>
              <w:t xml:space="preserve">Đạt, không cần tường giữ nước</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Sự cố chồng sự cố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Vượt tần suất kiểm tra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85" w:name="_Toc3017"/>
      <w:r>
        <w:t xml:space="preserve">Bảng 4.3 </w:t>
      </w:r>
      <w:r>
        <w:t>Khả năng tháo của tràn chính theo cột nước (m = 0,45; n = 9; b = 2,4 m)</w:t>
      </w:r>
      <w:bookmarkEnd w:id="1085"/>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[22], [15]:</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[23], [22];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6" w:name="_Toc3018"/>
      <w:r>
        <w:t xml:space="preserve">Bảng 4.4 </w:t>
      </w:r>
      <w:r>
        <w:t>Kết quả tính đường mặt nước trên dốc tràn chính</w:t>
      </w:r>
      <w:bookmarkEnd w:id="1086"/>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[24];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4" w:name="_Toc2010"/>
      <w:r>
        <w:t xml:space="preserve">Hình 4.1 </w:t>
      </w:r>
      <w:r>
        <w:t>Đường mặt nước trên dốc tràn chính và chiều cao tường bên hiện trạng</w:t>
      </w:r>
      <w:bookmarkEnd w:id="1044"/>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[24]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[25]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w:t>
      </w:r>
      <w:r>
        <w:t xml:space="preserve">không có bậc hạ sau ngưỡng (P = 0); độ sâu đầu dốc xác định theo phương trình (4-1), lấy nghiệm dòng xiết: h = 4,24 m (P = 1%, Q = 138,6 m</w:t>
      </w:r>
      <w:r>
        <w:rPr>
          <w:vertAlign w:val="superscript"/>
        </w:rPr>
        <w:t xml:space="preserve">3</w:t>
      </w:r>
      <w:r>
        <w:t xml:space="preserve">/s; h</w:t>
      </w:r>
      <w:r>
        <w:rPr>
          <w:vertAlign w:val="subscript"/>
        </w:rPr>
        <w:t xml:space="preserve">k</w:t>
      </w:r>
      <w:r>
        <w:t xml:space="preserve"> = 4,28 m) và h = 4,29 m (P = 0,2%, Q = 162,7 m</w:t>
      </w:r>
      <w:r>
        <w:rPr>
          <w:vertAlign w:val="superscript"/>
        </w:rPr>
        <w:t xml:space="preserve">3</w:t>
      </w:r>
      <w:r>
        <w:t xml:space="preserve">/s; h</w:t>
      </w:r>
      <w:r>
        <w:rPr>
          <w:vertAlign w:val="subscript"/>
        </w:rPr>
        <w:t xml:space="preserve">k</w:t>
      </w:r>
      <w:r>
        <w:t xml:space="preserve"> = 4,76 m).</w:t>
      </w:r>
      <w:r>
        <w:t xml:space="preserve"> Trên dốc dài 32 m, i = 0,08 dòng chảy tăng tốc, cuối dốc h = 2,56 ÷ 2,89 m, v = 10,8 ÷ 11,2 m/s. Chiều cao tường bên yêu cầu (h</w:t>
      </w:r>
      <w:r>
        <w:rPr>
          <w:vertAlign w:val="subscript"/>
        </w:rPr>
        <w:t>hk</w:t>
      </w:r>
      <w:r>
        <w:t xml:space="preserve"> + 0,5 m) giảm từ khoảng 5,1 m ở đầu dốc xuống 3,7 m ở cuối dốc. Kết cấu dốc hiện trạng còn tốt và đã làm việc qua các mùa lũ; đồ án không thay đổi kết cấu dốc nước tràn sự cố.</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·(Z</w:t>
      </w:r>
      <w:r>
        <w:rPr>
          <w:vertAlign w:val="subscript"/>
        </w:rPr>
        <w:t>dốc</w:t>
      </w:r>
      <w:r>
        <w:t xml:space="preserve"> + h</w:t>
      </w:r>
      <w:r>
        <w:rPr>
          <w:vertAlign w:val="subscript"/>
        </w:rPr>
        <w:t>c</w:t>
      </w:r>
      <w:r>
        <w:t xml:space="preserve"> − Z</w:t>
      </w:r>
      <w:r>
        <w:rPr>
          <w:vertAlign w:val="subscript"/>
        </w:rPr>
        <w:t>đáy</w:t>
      </w:r>
      <w:r>
        <w:t>) ở mũi (không kể hiệu quả của màng chống thấm, sân phủ – thiên an toàn).</w:t>
      </w:r>
    </w:p>
    <w:p>
      <w:pPr>
        <w:pStyle w:val="Content"/>
      </w:pPr>
      <w:r>
        <w:t>Điều kiện ổn định trượt phẳng theo QCVN 04-05:2022 [6] và TCVN 4253:2012 [26]:</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7" w:name="_Toc3019"/>
      <w:r>
        <w:t xml:space="preserve">Bảng 4.5 </w:t>
      </w:r>
      <w:r>
        <w:t>Kết quả kiểm tra ổn định ngưỡng tràn chính (dải rộng 1 m)</w:t>
      </w:r>
      <w:bookmarkEnd w:id="1087"/>
    </w:p>
    <w:tbl>
      <w:tblPr>
        <w:tblStyle w:val="TableGrid"/>
        <w:tblW w:type="auto" w:w="0"/>
        <w:jc w:val="center"/>
        <w:tblLayout w:type="fixed"/>
        <w:tblLook w:firstColumn="1" w:firstRow="1" w:lastColumn="0" w:lastRow="0" w:noHBand="0" w:noVBand="1" w:val="04A0"/>
      </w:tblPr>
      <w:tblGrid>
        <w:gridCol w:w="1474"/>
        <w:gridCol w:w="624"/>
        <w:gridCol w:w="737"/>
        <w:gridCol w:w="794"/>
        <w:gridCol w:w="737"/>
        <w:gridCol w:w="737"/>
        <w:gridCol w:w="737"/>
        <w:gridCol w:w="737"/>
        <w:gridCol w:w="624"/>
        <w:gridCol w:w="680"/>
        <w:gridCol w:w="1191"/>
      </w:tblGrid>
      <w:tr>
        <w:trPr>
          <w:tblHeader w:val="true"/>
          <w:cantSplit w:val="true"/>
        </w:trPr>
        <w:tc>
          <w:tcPr>
            <w:tcW w:type="dxa" w:w="1474"/>
            <w:shd w:val="clear" w:color="auto" w:fill="F2F2F2"/>
          </w:tcPr>
          <w:p>
            <w:pPr>
              <w:spacing w:before="20" w:after="20" w:line="240" w:lineRule="auto"/>
              <w:jc w:val="center"/>
            </w:pPr>
            <w:r>
              <w:rPr>
                <w:b/>
                <w:sz w:val="19"/>
              </w:rPr>
              <w:t>Mực nước</w:t>
            </w:r>
          </w:p>
        </w:tc>
        <w:tc>
          <w:tcPr>
            <w:tcW w:type="dxa" w:w="624"/>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624"/>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1"/>
            <w:shd w:val="clear" w:color="auto" w:fill="F2F2F2"/>
          </w:tcPr>
          <w:p>
            <w:pPr>
              <w:spacing w:before="20" w:after="20" w:line="240" w:lineRule="auto"/>
              <w:jc w:val="center"/>
            </w:pPr>
            <w:r>
              <w:rPr>
                <w:b/>
                <w:sz w:val="19"/>
              </w:rPr>
              <w:t>σ gót / mũi (kPa)</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9,1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qua khối ngưỡng, ngàm 2,0 m vào đá lớp II, bơm vữa xi măng không co ngót. Khi bỏ qua hoàn toàn lực dính (c = 0), neo làm việc theo nguyên lý ma sát – cắt: khi mặt tiếp xúc có xu hướng trượt, lực kéo trong neo tạo lực ép bổ sung lên mặt trượt:</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n</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 ;  </m:t>
        </m:r>
        <m:sSub>
          <m:e>
            <m:r>
              <m:rPr/>
              <w:rPr>
                <w:rFonts w:ascii="Cambria Math" w:hAnsi="Cambria Math"/>
              </w:rPr>
              <m:t xml:space="preserve">N</m:t>
            </m:r>
          </m:e>
          <m:sub>
            <m:r>
              <m:rPr/>
              <w:rPr>
                <w:rFonts w:ascii="Cambria Math" w:hAnsi="Cambria Math"/>
              </w:rPr>
              <m:t xml:space="preserve">n</m:t>
            </m:r>
          </m:sub>
        </m:sSub>
        <m:r>
          <m:rPr/>
          <w:rPr>
            <w:rFonts w:ascii="Cambria Math" w:hAnsi="Cambria Math"/>
          </w:rPr>
          <m:t xml:space="preserve"> = </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oMath>
      <w:r>
        <w:tab/>
        <w:t>(4-6)</w:t>
      </w:r>
    </w:p>
    <w:p>
      <w:pPr>
        <w:pStyle w:val="Content"/>
      </w:pPr>
      <w:r>
        <w:t xml:space="preserve">Trong đó: A</w:t>
      </w:r>
      <w:r>
        <w:rPr>
          <w:vertAlign w:val="subscript"/>
        </w:rPr>
        <w:t xml:space="preserve">s</w:t>
      </w:r>
      <w:r>
        <w:t xml:space="preserve"> = 4,91 cm</w:t>
      </w:r>
      <w:r>
        <w:rPr>
          <w:vertAlign w:val="superscript"/>
        </w:rPr>
        <w:t xml:space="preserve">2</w:t>
      </w:r>
      <w:r>
        <w:t xml:space="preserve"> (D25); R</w:t>
      </w:r>
      <w:r>
        <w:rPr>
          <w:vertAlign w:val="subscript"/>
        </w:rPr>
        <w:t xml:space="preserve">s</w:t>
      </w:r>
      <w:r>
        <w:t xml:space="preserve"> = 350 MPa → N</w:t>
      </w:r>
      <w:r>
        <w:rPr>
          <w:vertAlign w:val="subscript"/>
        </w:rPr>
        <w:t xml:space="preserve">n</w:t>
      </w:r>
      <w:r>
        <w:t xml:space="preserve"> = 171,8 kN/thanh; f = 0,60; ΣV, ΣH như Bảng 4.5. Đoạn ngàm phải đủ để neo không bị nhổ – lực bám dính giữa vữa và đá lớn hơn lực kéo tính toán:</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n</m:t>
            </m:r>
          </m:sub>
        </m:sSub>
      </m:oMath>
      <w:r>
        <w:tab/>
        <w:t>(4-7)</w:t>
      </w:r>
    </w:p>
    <w:p>
      <w:pPr>
        <w:pStyle w:val="Content"/>
      </w:pPr>
      <w:r>
        <w:t xml:space="preserve">với D = 0,076 m, L</w:t>
      </w:r>
      <w:r>
        <w:rPr>
          <w:vertAlign w:val="subscript"/>
        </w:rPr>
        <w:t xml:space="preserve">ng</w:t>
      </w:r>
      <w:r>
        <w:t xml:space="preserve"> = 2,0 m, τ</w:t>
      </w:r>
      <w:r>
        <w:rPr>
          <w:vertAlign w:val="subscript"/>
        </w:rPr>
        <w:t xml:space="preserve">bd</w:t>
      </w:r>
      <w:r>
        <w:t xml:space="preserve"> = 0,40 MPa (lấy thận trọng cho đá phong hóa vừa) → N</w:t>
      </w:r>
      <w:r>
        <w:rPr>
          <w:vertAlign w:val="subscript"/>
        </w:rPr>
        <w:t xml:space="preserve">bd</w:t>
      </w:r>
      <w:r>
        <w:t xml:space="preserve"> = 191 kN &gt; N</w:t>
      </w:r>
      <w:r>
        <w:rPr>
          <w:vertAlign w:val="subscript"/>
        </w:rPr>
        <w:t xml:space="preserve">n</w:t>
      </w:r>
      <w:r>
        <w:t xml:space="preserve"> = 171,8 kN: đạt. Kết quả kiểm tra trượt cho trong Bảng 4.6.</w:t>
      </w:r>
    </w:p>
    <w:p>
      <w:pPr>
        <w:pStyle w:val="Chuthichbang"/>
        <w:keepNext/>
      </w:pPr>
      <w:bookmarkStart w:id="1088" w:name="_Toc3020"/>
      <w:r>
        <w:t xml:space="preserve">Bảng 4.6 </w:t>
      </w:r>
      <w:r>
        <w:t xml:space="preserve">Kiểm tra ổn định trượt ngưỡng tràn chính khi có neo (c = 0, dải rộng 1 m)</w:t>
      </w:r>
      <w:bookmarkEnd w:id="1088"/>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32,3</w:t>
            </w:r>
          </w:p>
        </w:tc>
        <w:tc>
          <w:tcPr>
            <w:tcW w:type="dxa" w:w="1247"/>
          </w:tcPr>
          <w:p>
            <w:pPr>
              <w:spacing w:before="20" w:after="20" w:line="240" w:lineRule="auto"/>
              <w:jc w:val="center"/>
            </w:pPr>
            <w:r>
              <w:rPr>
                <w:sz w:val="19"/>
              </w:rPr>
              <w:t xml:space="preserve">40,4</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1,150</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45,9</w:t>
            </w:r>
          </w:p>
        </w:tc>
        <w:tc>
          <w:tcPr>
            <w:tcW w:type="dxa" w:w="1247"/>
          </w:tcPr>
          <w:p>
            <w:pPr>
              <w:spacing w:before="20" w:after="20" w:line="240" w:lineRule="auto"/>
              <w:jc w:val="center"/>
            </w:pPr>
            <w:r>
              <w:rPr>
                <w:sz w:val="19"/>
              </w:rPr>
              <w:t xml:space="preserve">57,4</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1,035</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Neo làm việc với hệ số sử dụng thấp (lực kéo cần 40 ÷ 57 kN so với khả năng 172 kN/thanh), nên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Heading1"/>
        <w:pageBreakBefore/>
      </w:pPr>
      <w:bookmarkStart w:id="975" w:name="_Toc1075"/>
      <w:r>
        <w:t>THIẾT KẾ SỬA CHỮA, NÂNG CẤP ĐẬP ĐẤT</w:t>
      </w:r>
      <w:bookmarkEnd w:id="975"/>
    </w:p>
    <w:p>
      <w:pPr>
        <w:pStyle w:val="Heading2"/>
      </w:pPr>
      <w:bookmarkStart w:id="976" w:name="_Toc1076"/>
      <w:r>
        <w:t>Xác định kích thước cơ bản của đập</w:t>
      </w:r>
      <w:bookmarkEnd w:id="976"/>
    </w:p>
    <w:p>
      <w:pPr>
        <w:pStyle w:val="Heading3"/>
      </w:pPr>
      <w:bookmarkStart w:id="977" w:name="_Toc1077"/>
      <w:r>
        <w:t>Cao trình đỉnh đập</w:t>
      </w:r>
      <w:bookmarkEnd w:id="977"/>
    </w:p>
    <w:p>
      <w:pPr>
        <w:pStyle w:val="Content"/>
      </w:pPr>
      <w:r>
        <w:t xml:space="preserve">Từ kết quả mục 2.4 và phương án chọn ở mục 3.2.1: theo TCVN 8216:2018 mục 10.1.5, độ vượt cao tính đến đỉnh tường chắn sóng: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max(+77,15; +78,97; +78,74) = +78,97 m (gió Đông Bắc)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mép hạ lưu tấm +78,76 m vẫn cao hơn MNLKT 0,22 m. Điều 11.4.4 TCVN 8216:2018 (dự phòng lún ≥ 0,5%H) viết cho đập đắp mới; với lớp đắp bù dày không quá 0,4 m trên thân đập đã lún ổn định hơn 25 năm, độ lún bổ sung ước tính chỉ khoảng 0,5 ÷ 1 cm, vì vậy đồ án quy định dự phòng lún 2 cm khi thi công (cao độ hoàn thiện +78,85 ÷ +78,87 m, dung sai chỉ cho phép dương), nghiệm thu bằng thủy chuẩn và theo dõi bằng mốc lún mặt đập (mục 7.5). Đỉnh tường chắn sóng hiện trạng +79,40 m được giữ nguyên; sau sửa chữa tường còn nhô cao 0,55 m so với mặt đập (không quá 1,2 m theo mục 10.1.5).</w:t>
      </w:r>
    </w:p>
    <w:p>
      <w:pPr>
        <w:pStyle w:val="Heading3"/>
      </w:pPr>
      <w:bookmarkStart w:id="978" w:name="_Toc1078"/>
      <w:r>
        <w:t>Bề rộng đỉnh và mái đập</w:t>
      </w:r>
      <w:bookmarkEnd w:id="978"/>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79" w:name="_Toc1079"/>
      <w:r>
        <w:t>Kết cấu mặt đập và thoát nước mặt đập</w:t>
      </w:r>
      <w:bookmarkEnd w:id="979"/>
    </w:p>
    <w:p>
      <w:pPr>
        <w:pStyle w:val="Bullet"/>
      </w:pPr>
      <w:r>
        <w:t xml:space="preserve">Cào bóc lớp mặt đá dăm láng nhựa hư hỏng, san gạt, đầm lại nền; đắp bù đất sét pha (bãi vật liệu lớp 1) thành lớp dày ≤ 25 cm, đầm đạt K ≥ 0,97 </w:t>
      </w:r>
      <w:r>
        <w:t xml:space="preserve">đến cao trình +78,60 m tại mép thượng lưu, mặt đất đắp dốc ngang 2% như mặt bê tông;</w:t>
      </w:r>
    </w:p>
    <w:p>
      <w:pPr>
        <w:pStyle w:val="Bullet"/>
      </w:pPr>
      <w:r>
        <w:t xml:space="preserve">Rải lớp cấp phối đá dăm đệm dày 5 cm, lu lèn chặt; trải nilon tái sinh chống mất nước xi măng; đổ bê tông M250 đá 1×2 dày 20 cm rộng 4,3 m, đỉnh +78,85 m tại mép thượng lưu (+78,76 m tại mép hạ lưu tấm), dốc ngang 2% về phía hạ lưu (TCVN 8216:2018, mục 10.2.3); dự phòng lún 2 cm;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0" w:name="_Toc1080"/>
      <w:r>
        <w:t>Tính thấm qua đập sau sửa chữa</w:t>
      </w:r>
      <w:bookmarkEnd w:id="980"/>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9" w:name="_Toc3021"/>
      <w:r>
        <w:t xml:space="preserve">Bảng 5.1 </w:t>
      </w:r>
      <w:r>
        <w:t>Kết quả tính thấm mặt cắt lòng sông sau sửa chữa</w:t>
      </w:r>
      <w:bookmarkEnd w:id="1089"/>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45" w:name="_Toc2011"/>
      <w:r>
        <w:t xml:space="preserve">Hình 5.1 </w:t>
      </w:r>
      <w:r>
        <w:t>Lưới thấm và đường bão hòa sau sửa chữa – mực nước hồ MNLKT</w:t>
      </w:r>
      <w:bookmarkEnd w:id="1045"/>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46" w:name="_Toc2012"/>
      <w:r>
        <w:t xml:space="preserve">Hình 5.2 </w:t>
      </w:r>
      <w:r>
        <w:t>Lưới thấm và đường bão hòa khi thiết bị thoát nước bị tắc – MNDBT</w:t>
      </w:r>
      <w:bookmarkEnd w:id="1046"/>
    </w:p>
    <w:p>
      <w:pPr>
        <w:pStyle w:val="Content"/>
      </w:pPr>
      <w:r>
        <w:t xml:space="preserve">So với hiện trạng, </w:t>
      </w:r>
      <w:r>
        <w:t xml:space="preserve">lưu lượng thấm giảm khoảng 2 ÷ 3% do mái hạ lưu được đắp trả; gradien thấm ở mọi bộ phận nhỏ hơn giá trị cho phép (tiếp xúc ống khói ≤ 0,94 &lt; 2,0; cửa ra ≤ 0,16 &lt; 0,85).</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làm lưu lượng thấm thay đổi không quá 0,2%, cao độ đường bão hòa tại tim không quá 0,15 m, gradien cục bộ tại vùng tiếp xúc ống khói hội tụ về khoảng 1,09 (&lt; 2,0);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1" w:name="_Toc1081"/>
      <w:r>
        <w:t>Kiểm tra ổn định mái đập sau sửa chữa</w:t>
      </w:r>
      <w:bookmarkEnd w:id="981"/>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090" w:name="_Toc3022"/>
      <w:r>
        <w:t xml:space="preserve">Bảng 5.2 </w:t>
      </w:r>
      <w:r>
        <w:t>Kết quả kiểm tra ổn định mái đập sau sửa chữa (Bishop)</w:t>
      </w:r>
      <w:bookmarkEnd w:id="1090"/>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47" w:name="_Toc2013"/>
      <w:r>
        <w:t xml:space="preserve">Hình 5.3 </w:t>
      </w:r>
      <w:r>
        <w:t>Cung trượt nguy hiểm mái hạ lưu sau sửa chữa – TH5 (MNDBT + động đất)</w:t>
      </w:r>
      <w:bookmarkEnd w:id="1047"/>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48" w:name="_Toc2014"/>
      <w:r>
        <w:t xml:space="preserve">Hình 5.4 </w:t>
      </w:r>
      <w:r>
        <w:t>Cung trượt nguy hiểm mái thượng lưu sau sửa chữa – TH8 (hạ mực nước từ MNDBT xuống MNC)</w:t>
      </w:r>
      <w:bookmarkEnd w:id="1048"/>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với cung trượt nguy hiểm của các trường hợp TH1, TH4, TH5, TH7, TH10, phương pháp Spencer (thỏa mãn đồng thời cân bằng lực và mô men) cho hệ số ổn định nhỏ hơn Bishop không quá 0,2%; tìm lại trên lưới tâm mịn gấp đôi không phát hiện cung trượt nguy hiểm hơn. 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2" w:name="_Toc1082"/>
      <w:r>
        <w:t>Ổn định trượt nông lớp mặt mái hạ lưu</w:t>
      </w:r>
      <w:bookmarkEnd w:id="982"/>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91" w:name="_Toc3023"/>
      <w:r>
        <w:t xml:space="preserve">Bảng 5.3 </w:t>
      </w:r>
      <w:r>
        <w:t>Hệ số ổn định cung trượt nông mái hạ lưu theo chiều sâu tầng bão hòa do mưa</w:t>
      </w:r>
      <w:bookmarkEnd w:id="1091"/>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92" w:name="_Toc3024"/>
      <w:r>
        <w:t xml:space="preserve">Bảng 5.4 </w:t>
      </w:r>
      <w:r>
        <w:t>Hệ số ổn định lớp mặt dày 1 m theo mô hình mái dốc vô hạn</w:t>
      </w:r>
      <w:bookmarkEnd w:id="1092"/>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3" w:name="_Toc1083"/>
      <w:r>
        <w:t>Thiết kế hệ thống thoát nước mái hạ lưu</w:t>
      </w:r>
      <w:bookmarkEnd w:id="983"/>
    </w:p>
    <w:p>
      <w:pPr>
        <w:pStyle w:val="Heading3"/>
      </w:pPr>
      <w:bookmarkStart w:id="984" w:name="_Toc1084"/>
      <w:r>
        <w:t>Hiệu quả chống xói của việc chia ô mái</w:t>
      </w:r>
      <w:bookmarkEnd w:id="984"/>
    </w:p>
    <w:p>
      <w:pPr>
        <w:pStyle w:val="Content"/>
      </w:pPr>
      <w:r>
        <w:t>Dòng chảy tràn trên mái khi mưa được coi là dòng màng mỏng, lưu lượng đơn vị tăng tuyến tính theo chiều dài đường chảy L. Theo công thức Manning cho dòng màng mỏng [23]:</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93" w:name="_Toc3025"/>
      <w:r>
        <w:t xml:space="preserve">Bảng 5.5 </w:t>
      </w:r>
      <w:r>
        <w:t>Đặc trưng dòng chảy tràn trên mái hạ lưu theo chiều dài đường chảy</w:t>
      </w:r>
      <w:bookmarkEnd w:id="1093"/>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w:t>
      </w:r>
      <w:r>
        <w:t>Khi chưa có rãnh, đường chảy dài bằng cả mái (≈ 34 m) cho ứng suất tiếp khoảng 6,6 Pa, vượt ứng suất tiếp cho phép của đất sét pha không có lớp phủ (khoảng 2 ÷ 5 Pa) – phù hợp với hiện tượng xói rãnh trên mái. Khi chia mái thành ô 4 × 4 m bằng rãnh xiên, đường chảy dài nhất ≈ 4 m, ứng suất tiếp chỉ còn 1,8 Pa, nhỏ hơn giá trị cho phép ngay cả khi lớp cỏ chưa phát triển. Đây là cơ sở định lượng cho lựa chọn kích thước ô 4 × 4 m.</w:t>
      </w:r>
      <w:r>
        <w:t xml:space="preserve"> Với tỷ lệ mưa 30 phút / mưa ngày thay đổi 20 ÷ 40% (i = 77 ÷ 153 mm/h), ứng suất tiếp trên ô 4 × 4 m là 1,4 ÷ 2,2 Pa – vẫn nhỏ hơn giới hạn 2 ÷ 5 Pa, trong khi đường chảy dài cả mái cho 5,1 ÷ 7,8 Pa; kết luận về kích thước ô 4 × 4 m không phụ thuộc giả thiết này.</w:t>
      </w:r>
    </w:p>
    <w:p>
      <w:pPr>
        <w:pStyle w:val="Heading3"/>
      </w:pPr>
      <w:bookmarkStart w:id="985" w:name="_Toc1085"/>
      <w:r>
        <w:t>Kiểm tra khả năng thoát nước của rãnh</w:t>
      </w:r>
      <w:bookmarkEnd w:id="985"/>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94" w:name="_Toc3026"/>
      <w:r>
        <w:t xml:space="preserve">Bảng 5.6 </w:t>
      </w:r>
      <w:r>
        <w:t>Kiểm tra khả năng thoát nước các loại rãnh mái hạ lưu</w:t>
      </w:r>
      <w:bookmarkEnd w:id="1094"/>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6" w:name="_Toc1086"/>
      <w:r>
        <w:t>Cấu tạo hệ thống rãnh và lớp phủ mái</w:t>
      </w:r>
      <w:bookmarkEnd w:id="986"/>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Trong các ô: rải lớp đất màu dày 10 cm, trồng cỏ (cỏ Vetiver hoặc cỏ lá tre bản địa), chăm sóc trong 3 tháng đầu.</w:t>
      </w:r>
    </w:p>
    <w:p>
      <w:pPr>
        <w:pStyle w:val="Heading1"/>
        <w:pageBreakBefore/>
      </w:pPr>
      <w:bookmarkStart w:id="987" w:name="_Toc1087"/>
      <w:r>
        <w:t>THIẾT KẾ SỬA CHỮA, NÂNG CẤP CỐNG LẤY NƯỚC</w:t>
      </w:r>
      <w:bookmarkEnd w:id="987"/>
    </w:p>
    <w:p>
      <w:pPr>
        <w:pStyle w:val="Heading2"/>
      </w:pPr>
      <w:bookmarkStart w:id="988" w:name="_Toc1088"/>
      <w:r>
        <w:t>Phân tích hình thức và quy mô sửa chữa</w:t>
      </w:r>
      <w:bookmarkEnd w:id="988"/>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9" w:name="_Toc1089"/>
      <w:r>
        <w:t>Nhiệm vụ và các thông số tính toán</w:t>
      </w:r>
      <w:bookmarkEnd w:id="989"/>
    </w:p>
    <w:p>
      <w:pPr>
        <w:pStyle w:val="Content"/>
      </w:pPr>
      <w:r>
        <w:t xml:space="preserve">Các thông số dùng để kiểm tra thủy lực cống và lực đóng mở cửa van được tổng hợp trong Bảng 6.1.</w:t>
      </w:r>
    </w:p>
    <w:p>
      <w:pPr>
        <w:pStyle w:val="Chuthichbang"/>
        <w:keepNext/>
      </w:pPr>
      <w:bookmarkStart w:id="1095" w:name="_Toc3027"/>
      <w:r>
        <w:t xml:space="preserve">Bảng 6.1 </w:t>
      </w:r>
      <w:r>
        <w:t>Thông số tính toán cống lấy nước</w:t>
      </w:r>
      <w:bookmarkEnd w:id="1095"/>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0" w:name="_Toc1090"/>
      <w:r>
        <w:t>Tính toán thủy lực cống</w:t>
      </w:r>
      <w:bookmarkEnd w:id="990"/>
    </w:p>
    <w:p>
      <w:pPr>
        <w:pStyle w:val="Heading3"/>
      </w:pPr>
      <w:bookmarkStart w:id="991" w:name="_Toc1091"/>
      <w:r>
        <w:t>Khả năng tháo qua cửa vào</w:t>
      </w:r>
      <w:bookmarkEnd w:id="991"/>
    </w:p>
    <w:p>
      <w:pPr>
        <w:pStyle w:val="Content"/>
      </w:pPr>
      <w:r>
        <w:t>Khi cửa van mở hoàn toàn và mực nước hồ thấp (cột nước trên ngưỡng nhỏ hơn chiều cao cửa), cửa vào cống làm việc như đập tràn đỉnh rộng chảy không ngập [27], [22]:</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Để tháo được 10 m</w:t>
      </w:r>
      <w:r>
        <w:rPr>
          <w:vertAlign w:val="superscript"/>
        </w:rPr>
        <w:t>3</w:t>
      </w:r>
      <w:r>
        <w:t>/s cần H</w:t>
      </w:r>
      <w:r>
        <w:rPr>
          <w:vertAlign w:val="subscript"/>
        </w:rPr>
        <w:t>0</w:t>
      </w:r>
      <w:r>
        <w:t xml:space="preserve"> = 2,34 m, tức mực nước hồ ≥ +67,94 m.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2" w:name="_Toc1092"/>
      <w:r>
        <w:t>Trạng thái chảy và đường mặt nước trong thân cống</w:t>
      </w:r>
      <w:bookmarkEnd w:id="992"/>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096" w:name="_Toc3028"/>
      <w:r>
        <w:t xml:space="preserve">Bảng 6.2 </w:t>
      </w:r>
      <w:r>
        <w:t>Kết quả tính đường mặt nước trong thân cống (b = 1,8 m; i = 0,03)</w:t>
      </w:r>
      <w:bookmarkEnd w:id="1096"/>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9" w:name="_Toc2015"/>
      <w:r>
        <w:t xml:space="preserve">Hình 6.1 </w:t>
      </w:r>
      <w:r>
        <w:t>Đường mặt nước trong thân cống lấy nước</w:t>
      </w:r>
      <w:bookmarkEnd w:id="1049"/>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Lưu lượng lớn nhất còn bảo đảm chảy không áp ổn định (mức đầy 75%) khi i = 3‰ là 7,2 m</w:t>
      </w:r>
      <w:r>
        <w:rPr>
          <w:vertAlign w:val="superscript"/>
        </w:rPr>
        <w:t xml:space="preserve">3</w:t>
      </w:r>
      <w:r>
        <w:t xml:space="preserve">/s.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3" w:name="_Toc1093"/>
      <w:r>
        <w:t>Kiểm tra tiêu năng sau cống</w:t>
      </w:r>
      <w:bookmarkEnd w:id="993"/>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4" w:name="_Toc1094"/>
      <w:r>
        <w:t>Kiểm tra lực đóng mở cửa van và máy đóng mở</w:t>
      </w:r>
      <w:bookmarkEnd w:id="994"/>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[28], [29]:</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7" w:name="_Toc3029"/>
      <w:r>
        <w:t xml:space="preserve">Bảng 6.3 </w:t>
      </w:r>
      <w:r>
        <w:t>Lực đóng mở cửa van cống và kiểm tra máy VĐ20</w:t>
      </w:r>
      <w:bookmarkEnd w:id="1097"/>
    </w:p>
    <w:tbl>
      <w:tblPr>
        <w:tblStyle w:val="TableGrid"/>
        <w:tblW w:type="auto" w:w="0"/>
        <w:jc w:val="center"/>
        <w:tblLayout w:type="fixed"/>
        <w:tblLook w:firstColumn="1" w:firstRow="1" w:lastColumn="0" w:lastRow="0" w:noHBand="0" w:noVBand="1" w:val="04A0"/>
      </w:tblPr>
      <w:tblGrid>
        <w:gridCol w:w="1361"/>
        <w:gridCol w:w="510"/>
        <w:gridCol w:w="737"/>
        <w:gridCol w:w="907"/>
        <w:gridCol w:w="794"/>
        <w:gridCol w:w="737"/>
        <w:gridCol w:w="794"/>
        <w:gridCol w:w="850"/>
        <w:gridCol w:w="1077"/>
        <w:gridCol w:w="1077"/>
      </w:tblGrid>
      <w:tr>
        <w:trPr>
          <w:tblHeader w:val="true"/>
          <w:cantSplit w:val="true"/>
        </w:trPr>
        <w:tc>
          <w:tcPr>
            <w:tcW w:type="dxa" w:w="1361"/>
            <w:shd w:val="clear" w:color="auto" w:fill="F2F2F2"/>
          </w:tcPr>
          <w:p>
            <w:pPr>
              <w:spacing w:before="20" w:after="20" w:line="240" w:lineRule="auto"/>
              <w:jc w:val="center"/>
            </w:pPr>
            <w:r>
              <w:rPr>
                <w:b/>
                <w:sz w:val="19"/>
              </w:rPr>
              <w:t>Mực nước hồ</w:t>
            </w:r>
          </w:p>
        </w:tc>
        <w:tc>
          <w:tcPr>
            <w:tcW w:type="dxa" w:w="510"/>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(K</w:t>
      </w:r>
      <w:r>
        <w:rPr>
          <w:vertAlign w:val="subscript"/>
        </w:rPr>
        <w:t>ođ</w:t>
      </w:r>
      <w:r>
        <w:t xml:space="preserve"> tăng lên 3,4 ÷ 6,5); lắp công tắc hành trình và rơ le bảo vệ quá tải cho động cơ; quy định trong QTVH chỉ vận hành cống khi mực nước hồ ≤ MNDBT, trừ trường hợp khẩn cấp.</w:t>
      </w:r>
    </w:p>
    <w:p>
      <w:pPr>
        <w:pStyle w:val="Heading2"/>
      </w:pPr>
      <w:bookmarkStart w:id="995" w:name="_Toc1095"/>
      <w:r>
        <w:t>Ngoại lực tác dụng lên mặt cắt ngang cống ngầm</w:t>
      </w:r>
      <w:bookmarkEnd w:id="995"/>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Áp lực nước ngoài: đường bão hòa tại tim đập ở cao trình +65,7 ÷ +73,4 m (mục 5.2),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cốt thép yêu cầu ước tính theo A</w:t>
      </w:r>
      <w:r>
        <w:rPr>
          <w:vertAlign w:val="subscript"/>
        </w:rPr>
        <w:t xml:space="preserve">s</w:t>
      </w:r>
      <w:r>
        <w:t xml:space="preserve"> ≈ K</w:t>
      </w:r>
      <w:r>
        <w:rPr>
          <w:vertAlign w:val="subscript"/>
        </w:rPr>
        <w:t xml:space="preserve">n</w:t>
      </w:r>
      <w:r>
        <w:t xml:space="preserve">·n</w:t>
      </w:r>
      <w:r>
        <w:rPr>
          <w:vertAlign w:val="subscript"/>
        </w:rPr>
        <w:t xml:space="preserve">c</w:t>
      </w:r>
      <w:r>
        <w:t xml:space="preserve">·M/(R</w:t>
      </w:r>
      <w:r>
        <w:rPr>
          <w:vertAlign w:val="subscript"/>
        </w:rPr>
        <w:t xml:space="preserve">s</w:t>
      </w:r>
      <w:r>
        <w:t xml:space="preserve">·0,9·h</w:t>
      </w:r>
      <w:r>
        <w:rPr>
          <w:vertAlign w:val="subscript"/>
        </w:rPr>
        <w:t xml:space="preserve">0</w:t>
      </w:r>
      <w:r>
        <w:t xml:space="preserve">) với K</w:t>
      </w:r>
      <w:r>
        <w:rPr>
          <w:vertAlign w:val="subscript"/>
        </w:rPr>
        <w:t xml:space="preserve">n</w:t>
      </w:r>
      <w:r>
        <w:t xml:space="preserve"> = 1,15, n</w:t>
      </w:r>
      <w:r>
        <w:rPr>
          <w:vertAlign w:val="subscript"/>
        </w:rPr>
        <w:t xml:space="preserve">c</w:t>
      </w:r>
      <w:r>
        <w:t xml:space="preserve"> = 1,0, thép CB300-V R</w:t>
      </w:r>
      <w:r>
        <w:rPr>
          <w:vertAlign w:val="subscript"/>
        </w:rPr>
        <w:t xml:space="preserve">s</w:t>
      </w:r>
      <w:r>
        <w:t xml:space="preserve"> = 260 MPa, lớp bảo vệ a = 5 cm (nguyên tắc tính kết cấu BTCT thủy công theo TCVN 4116:2023 [30]). Kết quả cho trong Bảng 6.4.</w:t>
      </w:r>
    </w:p>
    <w:p>
      <w:pPr>
        <w:pStyle w:val="Chuthichbang"/>
        <w:keepNext/>
      </w:pPr>
      <w:bookmarkStart w:id="1098" w:name="_Toc3030"/>
      <w:r>
        <w:t xml:space="preserve">Bảng 6.4 </w:t>
      </w:r>
      <w:r>
        <w:t xml:space="preserve">Nội lực và cốt thép yêu cầu của khung kín cống hộp (tham khảo, dải rộng 1 m)</w:t>
      </w:r>
      <w:bookmarkEnd w:id="1098"/>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8,3</w:t>
            </w:r>
          </w:p>
        </w:tc>
        <w:tc>
          <w:tcPr>
            <w:tcW w:type="dxa" w:w="794"/>
          </w:tcPr>
          <w:p>
            <w:pPr>
              <w:spacing w:before="20" w:after="20" w:line="240" w:lineRule="auto"/>
              <w:jc w:val="center"/>
            </w:pPr>
            <w:r>
              <w:rPr>
                <w:sz w:val="19"/>
              </w:rPr>
              <w:t xml:space="preserve">13,2</w:t>
            </w:r>
          </w:p>
        </w:tc>
        <w:tc>
          <w:tcPr>
            <w:tcW w:type="dxa" w:w="850"/>
          </w:tcPr>
          <w:p>
            <w:pPr>
              <w:spacing w:before="20" w:after="20" w:line="240" w:lineRule="auto"/>
              <w:jc w:val="center"/>
            </w:pPr>
            <w:r>
              <w:rPr>
                <w:sz w:val="19"/>
              </w:rPr>
              <w:t xml:space="preserve">7,9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11,5</w:t>
            </w:r>
          </w:p>
        </w:tc>
        <w:tc>
          <w:tcPr>
            <w:tcW w:type="dxa" w:w="794"/>
          </w:tcPr>
          <w:p>
            <w:pPr>
              <w:spacing w:before="20" w:after="20" w:line="240" w:lineRule="auto"/>
              <w:jc w:val="center"/>
            </w:pPr>
            <w:r>
              <w:rPr>
                <w:sz w:val="19"/>
              </w:rPr>
              <w:t xml:space="preserve">9,9</w:t>
            </w:r>
          </w:p>
        </w:tc>
        <w:tc>
          <w:tcPr>
            <w:tcW w:type="dxa" w:w="850"/>
          </w:tcPr>
          <w:p>
            <w:pPr>
              <w:spacing w:before="20" w:after="20" w:line="240" w:lineRule="auto"/>
              <w:jc w:val="center"/>
            </w:pPr>
            <w:r>
              <w:rPr>
                <w:sz w:val="19"/>
              </w:rPr>
              <w:t xml:space="preserve">10,9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15,7</w:t>
            </w:r>
          </w:p>
        </w:tc>
        <w:tc>
          <w:tcPr>
            <w:tcW w:type="dxa" w:w="794"/>
          </w:tcPr>
          <w:p>
            <w:pPr>
              <w:spacing w:before="20" w:after="20" w:line="240" w:lineRule="auto"/>
              <w:jc w:val="center"/>
            </w:pPr>
            <w:r>
              <w:rPr>
                <w:sz w:val="19"/>
              </w:rPr>
              <w:t xml:space="preserve">11,9</w:t>
            </w:r>
          </w:p>
        </w:tc>
        <w:tc>
          <w:tcPr>
            <w:tcW w:type="dxa" w:w="850"/>
          </w:tcPr>
          <w:p>
            <w:pPr>
              <w:spacing w:before="20" w:after="20" w:line="240" w:lineRule="auto"/>
              <w:jc w:val="center"/>
            </w:pPr>
            <w:r>
              <w:rPr>
                <w:sz w:val="19"/>
              </w:rPr>
              <w:t xml:space="preserve">14,5</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15,1</w:t>
            </w:r>
          </w:p>
        </w:tc>
        <w:tc>
          <w:tcPr>
            <w:tcW w:type="dxa" w:w="794"/>
          </w:tcPr>
          <w:p>
            <w:pPr>
              <w:spacing w:before="20" w:after="20" w:line="240" w:lineRule="auto"/>
              <w:jc w:val="center"/>
            </w:pPr>
            <w:r>
              <w:rPr>
                <w:sz w:val="19"/>
              </w:rPr>
              <w:t xml:space="preserve">11,4</w:t>
            </w:r>
          </w:p>
        </w:tc>
        <w:tc>
          <w:tcPr>
            <w:tcW w:type="dxa" w:w="850"/>
          </w:tcPr>
          <w:p>
            <w:pPr>
              <w:spacing w:before="20" w:after="20" w:line="240" w:lineRule="auto"/>
              <w:jc w:val="center"/>
            </w:pPr>
            <w:r>
              <w:rPr>
                <w:sz w:val="19"/>
              </w:rPr>
              <w:t xml:space="preserve">14,0</w:t>
            </w:r>
          </w:p>
        </w:tc>
      </w:tr>
    </w:tbl>
    <w:p>
      <w:pPr>
        <w:spacing w:after="40"/>
      </w:pPr>
    </w:p>
    <w:p>
      <w:pPr>
        <w:pStyle w:val="Content"/>
      </w:pPr>
      <w:r>
        <w:t xml:space="preserve">Cốt thép yêu cầu sau sửa chữa khoảng 8 ÷ 16 cm</w:t>
      </w:r>
      <w:r>
        <w:rPr>
          <w:vertAlign w:val="superscript"/>
        </w:rPr>
        <w:t xml:space="preserve">2</w:t>
      </w:r>
      <w:r>
        <w:t xml:space="preserve">/m (tương đương 5Ø16 ÷ 5Ø20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p>
    <w:p>
      <w:pPr>
        <w:pStyle w:val="Heading1"/>
        <w:pageBreakBefore/>
      </w:pPr>
      <w:bookmarkStart w:id="996" w:name="_Toc1096"/>
      <w:r>
        <w:t>TỔ CHỨC THI CÔNG, KHỐI LƯỢNG CHỦ YẾU, QUAN TRẮC VÀ QUẢN LÝ VẬN HÀNH</w:t>
      </w:r>
      <w:bookmarkEnd w:id="996"/>
    </w:p>
    <w:p>
      <w:pPr>
        <w:pStyle w:val="Heading2"/>
      </w:pPr>
      <w:bookmarkStart w:id="997" w:name="_Toc1097"/>
      <w:r>
        <w:t>Điều kiện và phương án tổ chức thi công</w:t>
      </w:r>
      <w:bookmarkEnd w:id="997"/>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8" w:name="_Toc1098"/>
      <w:r>
        <w:t>Biện pháp thi công các hạng mục chủ yếu</w:t>
      </w:r>
      <w:bookmarkEnd w:id="998"/>
    </w:p>
    <w:p>
      <w:pPr>
        <w:pStyle w:val="Heading3"/>
      </w:pPr>
      <w:bookmarkStart w:id="999" w:name="_Toc1099"/>
      <w:r>
        <w:t>Công tác đất đập</w:t>
      </w:r>
      <w:bookmarkEnd w:id="999"/>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0" w:name="_Toc1100"/>
      <w:r>
        <w:t>Công tác bê tông</w:t>
      </w:r>
      <w:bookmarkEnd w:id="1000"/>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đặt thanh neo D25 có định vị tâm, bơm vữa xi măng không co ngót từ đáy lỗ lên; thí nghiệm kéo kiểm tra tối thiểu 3 neo với lực kéo thử 100 kN (≈ 1,7 lần lực kéo yêu cầu lớn nhất 57 kN).</w:t>
      </w:r>
    </w:p>
    <w:p>
      <w:pPr>
        <w:pStyle w:val="Heading3"/>
      </w:pPr>
      <w:bookmarkStart w:id="1001" w:name="_Toc1101"/>
      <w:r>
        <w:t>Công tác khoan phụt chống thấm</w:t>
      </w:r>
      <w:bookmarkEnd w:id="1001"/>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[31], [32];</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q ≲ 0,8 Lu theo quy đổi 1 Lu ≈ 1,3·10</w:t>
      </w:r>
      <w:r>
        <w:rPr>
          <w:vertAlign w:val="superscript"/>
        </w:rPr>
        <w:t xml:space="preserve">-5</w:t>
      </w:r>
      <w:r>
        <w:t xml:space="preserve"> cm/s [35]); đồng thời ép nước lớp II tại các hố phụt thí nghiệm để xác định cao trình đáy màng theo TCVN 8216:2018 mục 9.2.2.9.</w:t>
      </w:r>
    </w:p>
    <w:p>
      <w:pPr>
        <w:pStyle w:val="Heading3"/>
      </w:pPr>
      <w:bookmarkStart w:id="1002" w:name="_Toc1102"/>
      <w:r>
        <w:t>Lắp đặt thiết bị</w:t>
      </w:r>
      <w:bookmarkEnd w:id="1002"/>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3" w:name="_Toc1103"/>
      <w:r>
        <w:t>Khối lượng các công tác chủ yếu</w:t>
      </w:r>
      <w:bookmarkEnd w:id="1003"/>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9" w:name="_Toc3031"/>
      <w:r>
        <w:t xml:space="preserve">Bảng 7.1 </w:t>
      </w:r>
      <w:r>
        <w:t>Khối lượng các công tác chủ yếu</w:t>
      </w:r>
      <w:bookmarkEnd w:id="1099"/>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+78,60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1.610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M250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M250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đất đắp bù từ +78,20 m sau cào bóc đến +78,60 m dốc 2%). Nếu áp dụng phương án hợp lý hóa màng khoan phụt (Chương 8, Bảng 8.7), tổng chiều dài khoan, phụt giảm khoảng 28%.</w:t>
      </w:r>
    </w:p>
    <w:p>
      <w:pPr>
        <w:pStyle w:val="Content"/>
      </w:pPr>
      <w:r>
        <w:t xml:space="preserve">Theo BCNCKT [3], vốn đầu tư sửa chữa, nâng cấp hồ Cà Giây khoảng 48,69 tỷ đồng. Các điều chỉnh của đồ án làm thay đổi chi phí không đáng kể (tăng khoảng 490 m</w:t>
      </w:r>
      <w:r>
        <w:rPr>
          <w:vertAlign w:val="superscript"/>
        </w:rPr>
        <w:t xml:space="preserve">3</w:t>
      </w:r>
      <w:r>
        <w:t xml:space="preserve"> đất đắp mặt đập và 36 neo ngưỡng tràn); nếu áp dụng phương án hợp lý hóa màng khoan phụt (Chương 8), khối lượng khoan, phụt giảm khoảng 28%. Khái toán chi tiết cần đơn giá năm 2026 của địa phương, thực hiện ở bước thiết kế bản vẽ thi công.</w:t>
      </w:r>
    </w:p>
    <w:p>
      <w:pPr>
        <w:pStyle w:val="Heading2"/>
      </w:pPr>
      <w:bookmarkStart w:id="1004" w:name="_Toc1104"/>
      <w:r>
        <w:t>Tiến độ thi công</w:t>
      </w:r>
      <w:bookmarkEnd w:id="1004"/>
    </w:p>
    <w:p>
      <w:pPr>
        <w:pStyle w:val="Chuthichbang"/>
        <w:keepNext/>
      </w:pPr>
      <w:bookmarkStart w:id="1100" w:name="_Toc3032"/>
      <w:r>
        <w:t xml:space="preserve">Bảng 7.2 </w:t>
      </w:r>
      <w:r>
        <w:t>Tiến độ thi công dự kiến (6 tháng, từ tháng 1 đến tháng 6)</w:t>
      </w:r>
      <w:bookmarkEnd w:id="1100"/>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i/>
          <w:sz w:val="22"/>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trồng cỏ vào đầu mùa mưa để cỏ bén rễ;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05" w:name="_Toc1105"/>
      <w:r>
        <w:t>Quan trắc và quản lý vận hành sau sửa chữa</w:t>
      </w:r>
      <w:bookmarkEnd w:id="1005"/>
    </w:p>
    <w:p>
      <w:pPr>
        <w:pStyle w:val="Content"/>
      </w:pPr>
      <w:r>
        <w:t xml:space="preserve">Công tác quan trắc thực hiện theo TCVN 8414:2010 [33]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vượt dự phòng lún 2 cm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01" w:name="_Toc3033"/>
      <w:r>
        <w:t xml:space="preserve">Bảng 7.3 </w:t>
      </w:r>
      <w:r>
        <w:t>Nội dung và tần suất quan trắc, kiểm tra đề xuất</w:t>
      </w:r>
      <w:bookmarkEnd w:id="1101"/>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6" w:name="_Toc1106"/>
      <w:r>
        <w:t>An toàn lao động và bảo vệ môi trường</w:t>
      </w:r>
      <w:bookmarkEnd w:id="1006"/>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Không tập kết vật liệu, máy móc nặng trên mái đập; hạn chế tải trọng xe trên mặt đập khi chưa hoàn thành lớp bê tông;</w:t>
      </w:r>
      <w:r>
        <w:t xml:space="preserve"> Tải trọng xe máy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7" w:name="_Toc1107"/>
      <w:r>
        <w:t>CHUYÊN ĐỀ KỸ THUẬT: ĐÁNH GIÁ HIỆU QUẢ VÀ HỢP LÝ HÓA MÀNG KHOAN PHỤT CHỐNG THẤM MANG TRÁI TRÀN SỰ CỐ</w:t>
      </w:r>
      <w:bookmarkEnd w:id="1007"/>
    </w:p>
    <w:p>
      <w:pPr>
        <w:pStyle w:val="Heading2"/>
      </w:pPr>
      <w:bookmarkStart w:id="1008" w:name="_Toc1108"/>
      <w:r>
        <w:t>Đặt vấn đề</w:t>
      </w:r>
      <w:bookmarkEnd w:id="1008"/>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9" w:name="_Toc1109"/>
      <w:r>
        <w:t>Cơ sở lý thuyết</w:t>
      </w:r>
      <w:bookmarkEnd w:id="1009"/>
    </w:p>
    <w:p>
      <w:pPr>
        <w:pStyle w:val="Heading3"/>
      </w:pPr>
      <w:bookmarkStart w:id="1010" w:name="_Toc1110"/>
      <w:r>
        <w:t>Mô hình toán và phương pháp phần tử hữu hạn</w:t>
      </w:r>
      <w:bookmarkEnd w:id="1010"/>
    </w:p>
    <w:p>
      <w:pPr>
        <w:pStyle w:val="Content"/>
      </w:pPr>
      <w:r>
        <w:t>Dòng thấm ổn định bão hòa – không bão hòa được mô tả bằng phương trình (2-11) (Chương 2). Áp dụng phương pháp Galerkin với phần tử tam giác bậc nhất [18],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1" w:name="_Toc1111"/>
      <w:r>
        <w:t>Các tiêu chí thiết kế màng chống thấm</w:t>
      </w:r>
      <w:bookmarkEnd w:id="1011"/>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[34]):</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[35], [36], [37].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[35], lớp II có K ≈ 1·10</w:t>
      </w:r>
      <w:r>
        <w:rPr>
          <w:vertAlign w:val="superscript"/>
        </w:rPr>
        <w:t xml:space="preserve">-5</w:t>
      </w:r>
      <w:r>
        <w:t xml:space="preserve"> cm/s (≈ 0,8 Lu) thuộc vùng ít thấm, nên đáy màng hợp lý nằm khoảng 3 m dưới mặt lớp II nếu thí nghiệm ép nước xác nhận q ≤ 5 Lu.</w:t>
      </w:r>
      <w:r>
        <w:t xml:space="preserve"> (4)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[31].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2" w:name="_Toc1112"/>
      <w:r>
        <w:t>Mô hình tính toán</w:t>
      </w:r>
      <w:bookmarkEnd w:id="1012"/>
    </w:p>
    <w:p>
      <w:pPr>
        <w:pStyle w:val="Heading3"/>
      </w:pPr>
      <w:bookmarkStart w:id="1013" w:name="_Toc1113"/>
      <w:r>
        <w:t>Hình học và địa tầng</w:t>
      </w:r>
      <w:bookmarkEnd w:id="1013"/>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0" w:name="_Toc2016"/>
      <w:r>
        <w:t xml:space="preserve">Hình 8.1 </w:t>
      </w:r>
      <w:r>
        <w:t>Mặt cắt ngang đại diện khoan phụt mang tràn sự cố (nguồn: TKCS [2])</w:t>
      </w:r>
      <w:bookmarkEnd w:id="1050"/>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4" w:name="_Toc1114"/>
      <w:r>
        <w:t>Vật liệu, lưới và điều kiện biên</w:t>
      </w:r>
      <w:bookmarkEnd w:id="1014"/>
    </w:p>
    <w:p>
      <w:pPr>
        <w:pStyle w:val="Chuthichbang"/>
        <w:keepNext/>
      </w:pPr>
      <w:bookmarkStart w:id="1102" w:name="_Toc3034"/>
      <w:r>
        <w:t xml:space="preserve">Bảng 8.1 </w:t>
      </w:r>
      <w:r>
        <w:t>Hệ số thấm bão hòa các vật liệu trong mô hình</w:t>
      </w:r>
      <w:bookmarkEnd w:id="1102"/>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1" w:name="_Toc2017"/>
      <w:r>
        <w:t xml:space="preserve">Hình 8.2 </w:t>
      </w:r>
      <w:r>
        <w:t>Mô hình phần tử hữu hạn mang trái tràn sự cố có màng khoan phụt</w:t>
      </w:r>
      <w:bookmarkEnd w:id="1051"/>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5" w:name="_Toc1115"/>
      <w:r>
        <w:t>Kết quả tính toán với màng thiết kế</w:t>
      </w:r>
      <w:bookmarkEnd w:id="1015"/>
    </w:p>
    <w:p>
      <w:pPr>
        <w:pStyle w:val="Chuthichbang"/>
        <w:keepNext/>
      </w:pPr>
      <w:bookmarkStart w:id="1103" w:name="_Toc3035"/>
      <w:r>
        <w:t xml:space="preserve">Bảng 8.2 </w:t>
      </w:r>
      <w:r>
        <w:t>Kết quả tính thấm mang trái tràn sự cố khi chưa và đã có màng khoan phụt thiết kế</w:t>
      </w:r>
      <w:bookmarkEnd w:id="1103"/>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52" w:name="_Toc2018"/>
      <w:r>
        <w:t xml:space="preserve">Hình 8.3 </w:t>
      </w:r>
      <w:r>
        <w:t>Đường đẳng cột nước và đường bão hòa khi chưa có màng – MN hồ +78,54 m (MNLKT)</w:t>
      </w:r>
      <w:bookmarkEnd w:id="1052"/>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3" w:name="_Toc2019"/>
      <w:r>
        <w:t xml:space="preserve">Hình 8.4 </w:t>
      </w:r>
      <w:r>
        <w:t>Đường đẳng cột nước và đường bão hòa khi có màng thiết kế – MN hồ +78,54 m (MNLKT)</w:t>
      </w:r>
      <w:bookmarkEnd w:id="1053"/>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6" w:name="_Toc1116"/>
      <w:r>
        <w:t>Phân tích độ nhạy các thông số của màng</w:t>
      </w:r>
      <w:bookmarkEnd w:id="1016"/>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7" w:name="_Toc1117"/>
      <w:r>
        <w:t>Ảnh hưởng của chất lượng màng</w:t>
      </w:r>
      <w:bookmarkEnd w:id="1017"/>
    </w:p>
    <w:p>
      <w:pPr>
        <w:pStyle w:val="Chuthichbang"/>
        <w:keepNext/>
      </w:pPr>
      <w:bookmarkStart w:id="1104" w:name="_Toc3036"/>
      <w:r>
        <w:t xml:space="preserve">Bảng 8.3 </w:t>
      </w:r>
      <w:r>
        <w:t>Ảnh hưởng của hệ số thấm màng K</w:t>
      </w:r>
      <w:r>
        <w:rPr>
          <w:vertAlign w:val="subscript"/>
        </w:rPr>
        <w:t>màng</w:t>
      </w:r>
      <w:r>
        <w:t xml:space="preserve"> (MNLTK)</w:t>
      </w:r>
      <w:bookmarkEnd w:id="1104"/>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8" w:name="_Toc1118"/>
      <w:r>
        <w:t>Ảnh hưởng của cao trình đáy màng</w:t>
      </w:r>
      <w:bookmarkEnd w:id="1018"/>
    </w:p>
    <w:p>
      <w:pPr>
        <w:pStyle w:val="Chuthichbang"/>
        <w:keepNext/>
      </w:pPr>
      <w:bookmarkStart w:id="1105" w:name="_Toc3037"/>
      <w:r>
        <w:t xml:space="preserve">Bảng 8.4 </w:t>
      </w:r>
      <w:r>
        <w:t>Ảnh hưởng của cao trình đáy màng (MNLTK; mặt lớp II tại tim ≈ +72,4 m)</w:t>
      </w:r>
      <w:bookmarkEnd w:id="1105"/>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4" w:name="_Toc2020"/>
      <w:r>
        <w:t xml:space="preserve">Hình 8.5 </w:t>
      </w:r>
      <w:r>
        <w:t>Hiệu quả giảm lưu lượng thấm theo: a) hệ số thấm màng; b) cao trình đáy màng</w:t>
      </w:r>
      <w:bookmarkEnd w:id="1054"/>
    </w:p>
    <w:p>
      <w:pPr>
        <w:pStyle w:val="Heading3"/>
      </w:pPr>
      <w:bookmarkStart w:id="1019" w:name="_Toc1119"/>
      <w:r>
        <w:t>Ảnh hưởng của tính thấm lớp đá II</w:t>
      </w:r>
      <w:bookmarkEnd w:id="1019"/>
    </w:p>
    <w:p>
      <w:pPr>
        <w:pStyle w:val="Chuthichbang"/>
        <w:keepNext/>
      </w:pPr>
      <w:bookmarkStart w:id="1106" w:name="_Toc3038"/>
      <w:r>
        <w:t xml:space="preserve">Bảng 8.5 </w:t>
      </w:r>
      <w:r>
        <w:t>Ảnh hưởng của hệ số thấm lớp II (MNLTK, màng thiết kế đáy +68,3 m)</w:t>
      </w:r>
      <w:bookmarkEnd w:id="1106"/>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0" w:name="_Toc1120"/>
      <w:r>
        <w:t>Ảnh hưởng của số hàng khoan và cao trình đỉnh màng</w:t>
      </w:r>
      <w:bookmarkEnd w:id="1020"/>
    </w:p>
    <w:p>
      <w:pPr>
        <w:pStyle w:val="Chuthichbang"/>
        <w:keepNext/>
      </w:pPr>
      <w:bookmarkStart w:id="1107" w:name="_Toc3039"/>
      <w:r>
        <w:t xml:space="preserve">Bảng 8.6 </w:t>
      </w:r>
      <w:r>
        <w:t>Ảnh hưởng của chiều dày màng (số hàng khoan) và cao trình đỉnh màng</w:t>
      </w:r>
      <w:bookmarkEnd w:id="1107"/>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η tăng khoảng 10%; từ 2 lên 3 hàng (T = 4,8 m) η tăng thêm khoảng 6%. Nâng đỉnh màng từ +77,0 lên +78,0 m chỉ tăng η thêm 3 ÷ 5% do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55" w:name="_Toc2021"/>
      <w:r>
        <w:t xml:space="preserve">Hình 8.6 Phạm vi thay đổi hiệu quả giảm lưu lượng thấm η theo từng thông số của màng (MNLTK)</w:t>
      </w:r>
      <w:bookmarkEnd w:id="1055"/>
    </w:p>
    <w:p>
      <w:pPr>
        <w:pStyle w:val="Heading2"/>
      </w:pPr>
      <w:bookmarkStart w:id="1021" w:name="_Toc1121"/>
      <w:r>
        <w:t>Kiểm tra chiều dày màng và đề xuất hợp lý hóa</w:t>
      </w:r>
      <w:bookmarkEnd w:id="1021"/>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hiệu quả chống thấm chỉ giảm khoảng 6% (η = 47% so với 54%, MNLTK);</w:t>
      </w:r>
    </w:p>
    <w:p>
      <w:pPr>
        <w:pStyle w:val="Bullet"/>
      </w:pPr>
      <w:r>
        <w:rPr>
          <w:b/>
        </w:rPr>
        <w:t xml:space="preserve">Cao trình đáy màng xác định theo TCVN 8216:2018 mục 9.2.2.9</w:t>
      </w:r>
      <w:r>
        <w:t xml:space="preserve"> trên cơ sở thí nghiệm ép nước tại các hố phụt thí nghiệm: nếu lớp II có lượng mất nước q ≤ 5 Lu ngay từ mặt lớp thì đáy màng thấp hơn mặt lớp II 3,0 m (+69,4 m tại mặt cắt đại diện, so với +68,3 m của TKCS; η không đổi – 53,6% với 3 hàng, 47,4% với 2 hàng), nhưng không sâu hơn đáy màng TKCS; nếu lớp II nứt nẻ (q &gt; 5 Lu) thì đáy màng thấp hơn vị trí đạt q = 5 Lu 3,0 m;</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bố trí 2 giếng đo áp phía hạ lưu màng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08" w:name="_Toc3040"/>
      <w:r>
        <w:t xml:space="preserve">Bảng 8.7 </w:t>
      </w:r>
      <w:r>
        <w:t xml:space="preserve">So sánh khối lượng và hiệu quả của màng theo TKCS và theo phương án hợp lý hóa</w:t>
      </w:r>
      <w:bookmarkEnd w:id="1108"/>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cùng một cách tính cho các phương án, không kể hố phụt thí nghiệm và hố kiểm tra; η, J</w:t>
      </w:r>
      <w:r>
        <w:rPr>
          <w:i/>
          <w:sz w:val="22"/>
          <w:vertAlign w:val="subscript"/>
        </w:rPr>
        <w:t xml:space="preserve">ra</w:t>
      </w:r>
      <w:r>
        <w:rPr>
          <w:i/>
          <w:sz w:val="22"/>
        </w:rPr>
        <w:t xml:space="preserve"> tại mặt cắt đại diện (thuộc đoạn 2 hàng).</w:t>
      </w:r>
    </w:p>
    <w:p>
      <w:pPr>
        <w:pStyle w:val="Heading2"/>
      </w:pPr>
      <w:bookmarkStart w:id="1022" w:name="_Toc1122"/>
      <w:r>
        <w:t>Kết luận chuyên đề</w:t>
      </w:r>
      <w:bookmarkEnd w:id="1022"/>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để giảm khoảng 28% khối lượng khoan, phụt mà hiệu quả chỉ giảm khoảng 6%, với điều kiện được khẳng định bằng phụt thí nghiệm.</w:t>
      </w:r>
    </w:p>
    <w:p>
      <w:pPr>
        <w:pStyle w:val="Heading1N"/>
        <w:pageBreakBefore/>
      </w:pPr>
      <w:bookmarkStart w:id="1023" w:name="_Toc1123"/>
      <w:r>
        <w:t>KẾT LUẬN VÀ KIẾN NGHỊ</w:t>
      </w:r>
      <w:bookmarkEnd w:id="1023"/>
    </w:p>
    <w:p>
      <w:pPr>
        <w:pStyle w:val="Heading2"/>
        <w:numPr>
          <w:ilvl w:val="0"/>
          <w:numId w:val="0"/>
        </w:numPr>
        <w:ind w:left="0" w:firstLine="0"/>
      </w:pPr>
      <w:bookmarkStart w:id="1024" w:name="_Toc1124"/>
      <w:r>
        <w:t>Kết luận</w:t>
      </w:r>
      <w:bookmarkEnd w:id="1024"/>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 xml:space="preserve">Với tràn hiện trạng, MNLTK = +77,63 m, MNLKT = +78,54 m (lũ BCNCKT); tường chắn sóng +79,40 m đủ chắn sóng với mọi hướng gió (Z</w:t>
      </w:r>
      <w:r>
        <w:rPr>
          <w:vertAlign w:val="subscript"/>
        </w:rPr>
        <w:t xml:space="preserve">max</w:t>
      </w:r>
      <w:r>
        <w:t xml:space="preserve"> = +78,97 m, gió Đông Bắc), cao trình đỉnh đập do điều kiện MNLKT + 0,3 m = +78,84 m quyết định (TCVN 8216:2018, mục 10.1.5). Đỉnh đập hiện trạng +78,35 m không đạt; đồ án chọn đỉnh đập sau sửa chữa +78,85 m (cao hơn TKCS 0,10 m; là cao trình tối thiểu sau lún, dự phòng lún 2 cm).</w:t>
      </w:r>
    </w:p>
    <w:p>
      <w:pPr>
        <w:pStyle w:val="Bullet"/>
      </w:pPr>
      <w:r>
        <w:t xml:space="preserve">Thân, nền đập bảo đảm an toàn thấm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kết quả Bishop được kiểm tra chéo bằng Spencer (chênh không quá 0,2%), lời giải thấm hội tụ theo lưới (q thay đổi không quá 0,2%);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Hệ thống rãnh chia mái thành ô 4 × 4 m giảm ứng suất tiếp do dòng chảy tràn từ ≈ 6,6 Pa xuống ≈ 1,8 Pa, đủ chống xói;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9,1 kPa trên mặt tiếp xúc với nền đá – đồ án bổ sung neo D25 vào nền (K = 1,81 ÷ 2,23 khi c = 0).</w:t>
      </w:r>
      <w:r>
        <w:t xml:space="preserve">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cho cốt thép yêu cầu 8 ÷ 16 cm</w:t>
      </w:r>
      <w:r>
        <w:rPr>
          <w:vertAlign w:val="superscript"/>
        </w:rPr>
        <w:t xml:space="preserve">2</w:t>
      </w:r>
      <w:r>
        <w:t xml:space="preserve">/m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giảm khoảng 28% khối lượng khoan, phụt trên cơ sở phụt thí nghiệm.</w:t>
      </w:r>
    </w:p>
    <w:p>
      <w:pPr>
        <w:pStyle w:val="Heading2"/>
        <w:numPr>
          <w:ilvl w:val="0"/>
          <w:numId w:val="0"/>
        </w:numPr>
        <w:ind w:left="0" w:firstLine="0"/>
      </w:pPr>
      <w:bookmarkStart w:id="1025" w:name="_Toc1125"/>
      <w:r>
        <w:t>Kiến nghị</w:t>
      </w:r>
      <w:bookmarkEnd w:id="1025"/>
    </w:p>
    <w:p>
      <w:pPr>
        <w:pStyle w:val="Bullet"/>
      </w:pPr>
      <w:r>
        <w:t xml:space="preserve">Bổ sung khảo sát: hồ sơ hoàn công tràn chính, cống lấy nước (bản đáy, chân khay, thép neo, cốt thép thân cống); đo cao độ đáy cống để xác định độ dốc (3% hay 3‰); thí nghiệm ép nước lớp II tại mang tràn sự cố; đối chiếu gia tốc nền a</w:t>
      </w:r>
      <w:r>
        <w:rPr>
          <w:vertAlign w:val="subscript"/>
        </w:rPr>
        <w:t xml:space="preserve">gR</w:t>
      </w:r>
      <w:r>
        <w:t xml:space="preserve"> theo QCVN 02:2022/BXD, TCVN 9386-1:2025 khi lập thiết kế bản vẽ thi công.</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lún mặt đập vượt 2 cm).</w:t>
      </w:r>
    </w:p>
    <w:p>
      <w:pPr>
        <w:pStyle w:val="Heading1N"/>
        <w:pageBreakBefore/>
      </w:pPr>
      <w:bookmarkStart w:id="1026" w:name="_Toc1126"/>
      <w:r>
        <w:t>TÀI LIỆU THAM KHẢO</w:t>
      </w:r>
      <w:bookmarkEnd w:id="1026"/>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công trình chịu động đất – Phần 1: Quy định chung, tác động động đất và quy định đối với kết cấu nhà</w:t>
            </w:r>
            <w:r>
              <w:t xml:space="preserve"> và </w:t>
            </w:r>
            <w:r>
              <w:rPr>
                <w:i/>
              </w:rPr>
              <w:t xml:space="preserve">TCVN 9386-5:2025 – Thiết kế công trình chịu động đất – Phần 5: Nền móng, tường chắn và các vấn đề địa kỹ thuật</w:t>
            </w:r>
            <w:r>
              <w:t xml:space="preserve"> (thay thế TCVN 9386:2012), Hà Nội, 2025.</w:t>
            </w:r>
          </w:p>
        </w:tc>
      </w:tr>
      <w:tr>
        <w:tc>
          <w:tcPr>
            <w:tcW w:type="dxa" w:w="680"/>
          </w:tcPr>
          <w:p>
            <w:pPr>
              <w:spacing w:after="80" w:line="276" w:lineRule="auto"/>
            </w:pPr>
            <w:r>
              <w:t>[13]</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[14]</w:t>
            </w:r>
          </w:p>
        </w:tc>
        <w:tc>
          <w:tcPr>
            <w:tcW w:type="dxa" w:w="8391"/>
          </w:tcPr>
          <w:p>
            <w:pPr>
              <w:spacing w:after="80" w:line="276" w:lineRule="auto"/>
              <w:jc w:val="both"/>
            </w:pPr>
            <w:r>
              <w:t xml:space="preserve">Bộ Khoa học và Công nghệ, </w:t>
            </w:r>
            <w:r>
              <w:rPr>
                <w:i/>
              </w:rPr>
              <w:t>TCVN 10778:2015 – Hồ chứa – Xác định các mực nước đặc trưng của hồ chứa</w:t>
            </w:r>
            <w:r>
              <w:t>, Hà Nội, 2015.</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[17]</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[18]</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[19]</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[20]</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[21]</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[22]</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[23]</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[24]</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[25]</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[26]</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[27]</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[29]</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[30]</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[34]</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[35]</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[36]</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[37]</w:t>
            </w:r>
          </w:p>
        </w:tc>
        <w:tc>
          <w:tcPr>
            <w:tcW w:type="dxa" w:w="8391"/>
          </w:tcPr>
          <w:p>
            <w:pPr>
              <w:spacing w:after="80" w:line="276" w:lineRule="auto"/>
              <w:jc w:val="both"/>
            </w:pPr>
            <w:r>
              <w:t xml:space="preserve">H. R. Cedergren, </w:t>
            </w:r>
            <w:r>
              <w:rPr>
                <w:i/>
              </w:rPr>
              <w:t>Seepage, Drainage, and Flow Nets</w:t>
            </w:r>
            <w:r>
              <w:t>, 3rd ed., New York: John Wiley &amp; Sons, 1989.</w:t>
            </w:r>
          </w:p>
        </w:tc>
      </w:tr>
      <w:tr>
        <w:tc>
          <w:tcPr>
            <w:tcW w:type="dxa" w:w="680"/>
          </w:tcPr>
          <w:p>
            <w:pPr>
              <w:spacing w:after="80" w:line="276" w:lineRule="auto"/>
            </w:pPr>
            <w:r>
              <w:t xml:space="preserve">[38]</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 xml:space="preserve">[39]</w:t>
            </w:r>
          </w:p>
        </w:tc>
        <w:tc>
          <w:tcPr>
            <w:tcW w:type="dxa" w:w="8391"/>
          </w:tcPr>
          <w:p>
            <w:pPr>
              <w:spacing w:after="80" w:line="276" w:lineRule="auto"/>
              <w:jc w:val="both"/>
            </w:pPr>
            <w:r>
              <w:t xml:space="preserve">S. Spencer, “A method of analysis of the stability of embankments assuming parallel inter-slice forces,” </w:t>
            </w:r>
            <w:r>
              <w:rPr>
                <w:i/>
              </w:rPr>
              <w:t xml:space="preserve">Géotechnique</w:t>
            </w:r>
            <w:r>
              <w:t xml:space="preserve">, vol. 17, no. 1, pp. 11–26, 1967.</w:t>
            </w:r>
          </w:p>
        </w:tc>
      </w:tr>
    </w:tbl>
    <w:p>
      <w:pPr>
        <w:pStyle w:val="Heading1N"/>
        <w:pageBreakBefore/>
      </w:pPr>
      <w:bookmarkStart w:id="1027" w:name="_Toc1127"/>
      <w:r>
        <w:t>PHỤ LỤC</w:t>
      </w:r>
      <w:bookmarkEnd w:id="1027"/>
    </w:p>
    <w:p>
      <w:pPr>
        <w:pStyle w:val="Heading2"/>
        <w:numPr>
          <w:ilvl w:val="0"/>
          <w:numId w:val="0"/>
        </w:numPr>
        <w:ind w:left="0" w:firstLine="0"/>
      </w:pPr>
      <w:bookmarkStart w:id="1028" w:name="_Toc1128"/>
      <w:r>
        <w:t>Phụ lục 1. Quan hệ đặc tính lòng hồ và khả năng tháo của công trình tháo lũ</w:t>
      </w:r>
      <w:bookmarkEnd w:id="1028"/>
    </w:p>
    <w:p>
      <w:pPr>
        <w:pStyle w:val="Chuthichbang"/>
        <w:keepNext/>
      </w:pPr>
      <w:bookmarkStart w:id="1109" w:name="_Toc3041"/>
      <w:r>
        <w:t xml:space="preserve">Bảng PL1 </w:t>
      </w:r>
      <w:r>
        <w:t>Quan hệ Z ~ F ~ W lòng hồ Cà Giây (đầy đủ)</w:t>
      </w:r>
      <w:bookmarkEnd w:id="1109"/>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10" w:name="_Toc3042"/>
      <w:r>
        <w:t xml:space="preserve">Bảng PL2 </w:t>
      </w:r>
      <w:r>
        <w:t>Quan hệ Z ~ Q xả của tràn chính và tràn sự cố (cửa van mở hoàn toàn)</w:t>
      </w:r>
      <w:bookmarkEnd w:id="1110"/>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9" w:name="_Toc1129"/>
      <w:r>
        <w:t>Phụ lục 2. Bảng tính điều tiết lũ theo thời gian</w:t>
      </w:r>
      <w:bookmarkEnd w:id="1029"/>
    </w:p>
    <w:p>
      <w:pPr>
        <w:pStyle w:val="Chuthichbang"/>
        <w:keepNext/>
      </w:pPr>
      <w:bookmarkStart w:id="1111" w:name="_Toc3043"/>
      <w:r>
        <w:t xml:space="preserve">Bảng PL3 </w:t>
      </w:r>
      <w:r>
        <w:t>Kết quả điều tiết lũ P = 1% (đường quá trình BCNCKT, vận hành bình thường)</w:t>
      </w:r>
      <w:bookmarkEnd w:id="1111"/>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12" w:name="_Toc3044"/>
      <w:r>
        <w:t xml:space="preserve">Bảng PL4 </w:t>
      </w:r>
      <w:r>
        <w:t>Kết quả điều tiết lũ P = 0,2% (đường quá trình BCNCKT, vận hành bình thường)</w:t>
      </w:r>
      <w:bookmarkEnd w:id="111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0" w:name="_Toc1130"/>
      <w:r>
        <w:t>Phụ lục 3. Kết quả tính ổn định mái đập sau sửa chữa</w:t>
      </w:r>
      <w:bookmarkEnd w:id="1030"/>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56" w:name="_Toc2022"/>
      <w:r>
        <w:t xml:space="preserve">Hình PL1 </w:t>
      </w:r>
      <w:r>
        <w:t xml:space="preserve">Cung trượt nguy hiểm – TH1: MNDBT, thấm ổn định </w:t>
      </w:r>
      <w:r>
        <w:t xml:space="preserve">(K</w:t>
      </w:r>
      <w:r>
        <w:rPr>
          <w:vertAlign w:val="subscript"/>
        </w:rPr>
        <w:t xml:space="preserve">min</w:t>
      </w:r>
      <w:r>
        <w:t xml:space="preserve"> = 1,647)</w:t>
      </w:r>
      <w:bookmarkEnd w:id="1056"/>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57" w:name="_Toc2023"/>
      <w:r>
        <w:t xml:space="preserve">Hình PL2 </w:t>
      </w:r>
      <w:r>
        <w:t xml:space="preserve">Cung trượt nguy hiểm – TH2: MNLTK, thấm ổn định </w:t>
      </w:r>
      <w:r>
        <w:t xml:space="preserve">(K</w:t>
      </w:r>
      <w:r>
        <w:rPr>
          <w:vertAlign w:val="subscript"/>
        </w:rPr>
        <w:t xml:space="preserve">min</w:t>
      </w:r>
      <w:r>
        <w:t xml:space="preserve"> = 1,629)</w:t>
      </w:r>
      <w:bookmarkEnd w:id="1057"/>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58" w:name="_Toc2024"/>
      <w:r>
        <w:t xml:space="preserve">Hình PL3 </w:t>
      </w:r>
      <w:r>
        <w:t xml:space="preserve">Cung trượt nguy hiểm – TH3: MNLKT, thấm ổn định </w:t>
      </w:r>
      <w:r>
        <w:t xml:space="preserve">(K</w:t>
      </w:r>
      <w:r>
        <w:rPr>
          <w:vertAlign w:val="subscript"/>
        </w:rPr>
        <w:t xml:space="preserve">min</w:t>
      </w:r>
      <w:r>
        <w:t xml:space="preserve"> = 1,621)</w:t>
      </w:r>
      <w:bookmarkEnd w:id="1058"/>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59" w:name="_Toc2025"/>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59"/>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0" w:name="_Toc2026"/>
      <w:r>
        <w:t xml:space="preserve">Hình PL5 </w:t>
      </w:r>
      <w:r>
        <w:t xml:space="preserve">Cung trượt nguy hiểm – TH6: MNDBT + mưa kéo dài </w:t>
      </w:r>
      <w:r>
        <w:t xml:space="preserve">(K</w:t>
      </w:r>
      <w:r>
        <w:rPr>
          <w:vertAlign w:val="subscript"/>
        </w:rPr>
        <w:t xml:space="preserve">min</w:t>
      </w:r>
      <w:r>
        <w:t xml:space="preserve"> = 1,646)</w:t>
      </w:r>
      <w:bookmarkEnd w:id="1060"/>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1" w:name="_Toc2027"/>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1"/>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62" w:name="_Toc2028"/>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62"/>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63" w:name="_Toc2029"/>
      <w:r>
        <w:t xml:space="preserve">Hình PL8 </w:t>
      </w:r>
      <w:r>
        <w:t xml:space="preserve">Cung trượt nguy hiểm – TH10: MNDBT + động đất (mái TL) </w:t>
      </w:r>
      <w:r>
        <w:t xml:space="preserve">(K</w:t>
      </w:r>
      <w:r>
        <w:rPr>
          <w:vertAlign w:val="subscript"/>
        </w:rPr>
        <w:t xml:space="preserve">min</w:t>
      </w:r>
      <w:r>
        <w:t xml:space="preserve"> = 1,733)</w:t>
      </w:r>
      <w:bookmarkEnd w:id="1063"/>
    </w:p>
    <w:p>
      <w:pPr>
        <w:pStyle w:val="Heading2"/>
        <w:numPr>
          <w:ilvl w:val="0"/>
          <w:numId w:val="0"/>
        </w:numPr>
        <w:ind w:left="0" w:firstLine="0"/>
      </w:pPr>
      <w:bookmarkStart w:id="1031" w:name="_Toc1131"/>
      <w:r>
        <w:t>Phụ lục 4. Kết quả tính thấm bổ sung</w:t>
      </w:r>
      <w:bookmarkEnd w:id="1031"/>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64" w:name="_Toc2030"/>
      <w:r>
        <w:t xml:space="preserve">Hình PL9 </w:t>
      </w:r>
      <w:r>
        <w:t>Lưới thấm sau sửa chữa – MNDBT</w:t>
      </w:r>
      <w:bookmarkEnd w:id="1064"/>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65" w:name="_Toc2031"/>
      <w:r>
        <w:t xml:space="preserve">Hình PL10 </w:t>
      </w:r>
      <w:r>
        <w:t>Lưới thấm sau sửa chữa – MNLTK</w:t>
      </w:r>
      <w:bookmarkEnd w:id="1065"/>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6" w:name="_Toc2032"/>
      <w:r>
        <w:t xml:space="preserve">Hình PL11 </w:t>
      </w:r>
      <w:r>
        <w:t>Mang trái tràn sự cố chưa có màng – MNDBT</w:t>
      </w:r>
      <w:bookmarkEnd w:id="1066"/>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7" w:name="_Toc2033"/>
      <w:r>
        <w:t xml:space="preserve">Hình PL12 </w:t>
      </w:r>
      <w:r>
        <w:t>Mang trái tràn sự cố có màng thiết kế – MNDBT</w:t>
      </w:r>
      <w:bookmarkEnd w:id="1067"/>
    </w:p>
    <w:p>
      <w:pPr>
        <w:pStyle w:val="Heading2"/>
        <w:numPr>
          <w:ilvl w:val="0"/>
          <w:numId w:val="0"/>
        </w:numPr>
        <w:ind w:left="0" w:firstLine="0"/>
      </w:pPr>
      <w:bookmarkStart w:id="1032" w:name="_Toc1132"/>
      <w:r>
        <w:t>Phụ lục 5. Chương trình tính toán của đồ án</w:t>
      </w:r>
      <w:bookmarkEnd w:id="1032"/>
    </w:p>
    <w:p>
      <w:pPr>
        <w:pStyle w:val="Chuthichbang"/>
        <w:keepNext/>
      </w:pPr>
      <w:bookmarkStart w:id="1113" w:name="_Toc3045"/>
      <w:r>
        <w:t xml:space="preserve">Bảng PL5 </w:t>
      </w:r>
      <w:r>
        <w:t>Danh mục chương trình tính toán (ngôn ngữ Python 3)</w:t>
      </w:r>
      <w:bookmarkEnd w:id="1113"/>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3" w:name="_Toc1133"/>
      <w:r>
        <w:t xml:space="preserve">Phụ lục 6. Kiểm chứng chương trình tính và phân tích độ nhạy</w:t>
      </w:r>
      <w:bookmarkEnd w:id="1033"/>
    </w:p>
    <w:p>
      <w:pPr>
        <w:pStyle w:val="Content"/>
        <w:spacing w:before="60"/>
      </w:pPr>
      <w:r>
        <w:t xml:space="preserve">Phụ lục này tổng hợp kết quả kiểm chứng các chương trình tính (Bảng PL6) và phân tích độ nhạy các giả thiết (Bảng PL7 ÷ Bảng PL9). Phương pháp Spencer [39] dùng để kiểm tra chéo Bishop vì thỏa mãn đồng thời cân bằng lực và mô men; gia tốc nền tham chiếu cần đối chiếu theo QCVN 02:2022/BXD [38].</w:t>
      </w:r>
    </w:p>
    <w:p>
      <w:pPr>
        <w:pStyle w:val="Chuthichbang"/>
        <w:keepNext/>
      </w:pPr>
      <w:bookmarkStart w:id="1114" w:name="_Toc3046"/>
      <w:r>
        <w:t xml:space="preserve">Bảng PL6 </w:t>
      </w:r>
      <w:r>
        <w:t xml:space="preserve">Kiểm chứng kết quả tính toán của đồ án</w:t>
      </w:r>
      <w:bookmarkEnd w:id="1114"/>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cùng cung trượt (sau SC: TH1, TH4, TH5, TH7, TH10)</w:t>
            </w:r>
          </w:p>
        </w:tc>
        <w:tc>
          <w:tcPr>
            <w:tcW w:type="dxa" w:w="1701"/>
          </w:tcPr>
          <w:p>
            <w:pPr>
              <w:spacing w:before="20" w:after="20" w:line="240" w:lineRule="auto"/>
              <w:jc w:val="center"/>
            </w:pPr>
            <w:r>
              <w:rPr>
                <w:sz w:val="19"/>
              </w:rPr>
              <w:t xml:space="preserve">1,647; 1,497; 1,349; 2,296; 1,733</w:t>
            </w:r>
          </w:p>
        </w:tc>
        <w:tc>
          <w:tcPr>
            <w:tcW w:type="dxa" w:w="2041"/>
          </w:tcPr>
          <w:p>
            <w:pPr>
              <w:spacing w:before="20" w:after="20" w:line="240" w:lineRule="auto"/>
              <w:jc w:val="center"/>
            </w:pPr>
            <w:r>
              <w:rPr>
                <w:sz w:val="19"/>
              </w:rPr>
              <w:t xml:space="preserve">1,644; 1,495; 1,348; 2,292; 1,731</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Spencer [39]</w:t>
            </w:r>
          </w:p>
        </w:tc>
      </w:tr>
      <w:tr>
        <w:trPr>
          <w:cantSplit w:val="true"/>
        </w:trPr>
        <w:tc>
          <w:tcPr>
            <w:tcW w:type="dxa" w:w="2722"/>
          </w:tcPr>
          <w:p>
            <w:pPr>
              <w:spacing w:before="20" w:after="20" w:line="240" w:lineRule="auto"/>
              <w:jc w:val="left"/>
            </w:pPr>
            <w:r>
              <w:rPr>
                <w:sz w:val="19"/>
              </w:rPr>
              <w:t xml:space="preserve">K khi tìm lại trên lưới tâm mịn gấp đôi</w:t>
            </w:r>
          </w:p>
        </w:tc>
        <w:tc>
          <w:tcPr>
            <w:tcW w:type="dxa" w:w="1701"/>
          </w:tcPr>
          <w:p>
            <w:pPr>
              <w:spacing w:before="20" w:after="20" w:line="240" w:lineRule="auto"/>
              <w:jc w:val="center"/>
            </w:pPr>
            <w:r>
              <w:rPr>
                <w:sz w:val="19"/>
              </w:rPr>
              <w:t xml:space="preserve">như trên</w:t>
            </w:r>
          </w:p>
        </w:tc>
        <w:tc>
          <w:tcPr>
            <w:tcW w:type="dxa" w:w="2041"/>
          </w:tcPr>
          <w:p>
            <w:pPr>
              <w:spacing w:before="20" w:after="20" w:line="240" w:lineRule="auto"/>
              <w:jc w:val="center"/>
            </w:pPr>
            <w:r>
              <w:rPr>
                <w:sz w:val="19"/>
              </w:rPr>
              <w:t xml:space="preserve">1,663; 1,511; 1,360; 2,307; 1,740</w:t>
            </w:r>
          </w:p>
        </w:tc>
        <w:tc>
          <w:tcPr>
            <w:tcW w:type="dxa" w:w="1077"/>
          </w:tcPr>
          <w:p>
            <w:pPr>
              <w:spacing w:before="20" w:after="20" w:line="240" w:lineRule="auto"/>
              <w:jc w:val="center"/>
            </w:pPr>
            <w:r>
              <w:rPr>
                <w:sz w:val="19"/>
              </w:rPr>
              <w:t xml:space="preserve">+0,4 ÷ +1,0%</w:t>
            </w:r>
          </w:p>
        </w:tc>
        <w:tc>
          <w:tcPr>
            <w:tcW w:type="dxa" w:w="1531"/>
          </w:tcPr>
          <w:p>
            <w:pPr>
              <w:spacing w:before="20" w:after="20" w:line="240" w:lineRule="auto"/>
              <w:jc w:val="left"/>
            </w:pPr>
            <w:r>
              <w:rPr>
                <w:sz w:val="19"/>
              </w:rPr>
              <w:t xml:space="preserve">Không có cung nguy hiểm hơn</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Bảng PL8</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15" w:name="_Toc3047"/>
      <w:r>
        <w:t xml:space="preserve">Bảng PL7 </w:t>
      </w:r>
      <w:r>
        <w:t xml:space="preserve">Phân tích độ nhạy các giả thiết tính toán</w:t>
      </w:r>
      <w:bookmarkEnd w:id="1115"/>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w:t>
            </w:r>
          </w:p>
        </w:tc>
        <w:tc>
          <w:tcPr>
            <w:tcW w:type="dxa" w:w="2948"/>
          </w:tcPr>
          <w:p>
            <w:pPr>
              <w:spacing w:before="20" w:after="20" w:line="240" w:lineRule="auto"/>
              <w:jc w:val="left"/>
            </w:pPr>
            <w:r>
              <w:rPr>
                <w:sz w:val="19"/>
              </w:rPr>
              <w:t xml:space="preserve">MNLTK +77,59 m; MNLKT +78,49 m</w:t>
            </w:r>
          </w:p>
        </w:tc>
        <w:tc>
          <w:tcPr>
            <w:tcW w:type="dxa" w:w="1814"/>
          </w:tcPr>
          <w:p>
            <w:pPr>
              <w:spacing w:before="20" w:after="20" w:line="240" w:lineRule="auto"/>
              <w:jc w:val="left"/>
            </w:pPr>
            <w:r>
              <w:rPr>
                <w:sz w:val="19"/>
              </w:rPr>
              <w:t xml:space="preserve">m = 0,45 thiên an toàn</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+78,97 m (NE); +78,62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(L = 4 m) 1,4 ÷ 2,2 Pa; τ (L = 34 m) 5,1 ÷ 7,8 Pa</w:t>
            </w:r>
          </w:p>
        </w:tc>
        <w:tc>
          <w:tcPr>
            <w:tcW w:type="dxa" w:w="1814"/>
          </w:tcPr>
          <w:p>
            <w:pPr>
              <w:spacing w:before="20" w:after="20" w:line="240" w:lineRule="auto"/>
              <w:jc w:val="left"/>
            </w:pPr>
            <w:r>
              <w:rPr>
                <w:sz w:val="19"/>
              </w:rPr>
              <w:t xml:space="preserve">Ô 4 × 4 m đủ chống xói</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bl>
    <w:p>
      <w:pPr>
        <w:spacing w:after="40"/>
      </w:pPr>
    </w:p>
    <w:p>
      <w:pPr>
        <w:pStyle w:val="Chuthichbang"/>
        <w:keepNext/>
      </w:pPr>
      <w:bookmarkStart w:id="1116" w:name="_Toc3048"/>
      <w:r>
        <w:t xml:space="preserve">Bảng PL8 </w:t>
      </w:r>
      <w:r>
        <w:t xml:space="preserve">Kiểm tra hội tụ lưới và độ nhạy tham số α (MNLKT, mặt cắt sau sửa chữa)</w:t>
      </w:r>
      <w:bookmarkEnd w:id="1116"/>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17" w:name="_Toc3049"/>
      <w:r>
        <w:t xml:space="preserve">Bảng PL9 </w:t>
      </w:r>
      <w:r>
        <w:t xml:space="preserve">Hệ số ổn định mái đập sau sửa chữa theo hệ số động đất k</w:t>
      </w:r>
      <w:r>
        <w:rPr>
          <w:vertAlign w:val="subscript"/>
        </w:rPr>
        <w:t xml:space="preserve">h</w:t>
      </w:r>
      <w:r>
        <w:t xml:space="preserve"> (MNDBT)</w:t>
      </w:r>
      <w:bookmarkEnd w:id="1117"/>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