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Quochieu"/>
      </w:pPr>
      <w:r>
        <w:t xml:space="preserve">CỘNG HÒA XÃ HỘI CHỦ NGHĨA VIỆT NAM</w:t>
      </w:r>
    </w:p>
    <w:p>
      <w:pPr>
        <w:pStyle w:val="Tieungu"/>
      </w:pPr>
      <w:r>
        <w:t xml:space="preserve">Độc lập - Tự do - Hạnh phúc</w:t>
      </w:r>
    </w:p>
    <w:p>
      <w:pPr>
        <w:pStyle w:val="Ngaythang"/>
      </w:pPr>
      <w:r>
        <w:t xml:space="preserve">Lâm Đồng, ngày 29 tháng 10 năm 2026</w:t>
      </w:r>
    </w:p>
    <w:p>
      <w:pPr>
        <w:pStyle w:val="Tendon"/>
      </w:pPr>
      <w:r>
        <w:t xml:space="preserve">ĐƠN KIẾN NGHỊ</w:t>
      </w:r>
    </w:p>
    <w:p>
      <w:pPr>
        <w:pStyle w:val="Trichyeu"/>
      </w:pPr>
      <w:r>
        <w:t xml:space="preserve">(V/v: kiến nghị kiểm tra việc xử lý đơn tại Thanh tra tỉnh Lâm Đồng qua Phiếu hướng dẫn số 2960/HD-TTr ngày 28/9/2026 và Công văn số 3292/TTr-PKNTC.1 ngày 19/10/2026; kiểm tra việc xử lý Đơn tố cáo ngày 14/9/2026 gửi Chủ tịch Ủy ban nhân dân tỉnh Lâm Đồng; theo dõi việc giải quyết các đơn chưa được trả lời tại tỉnh Lâm Đồng và tại Bộ Giáo dục và Đào tạo; hướng dẫn áp dụng Thông tư số 05/2021/TT-TTCP)</w:t>
      </w:r>
    </w:p>
    <w:p>
      <w:pPr>
        <w:pStyle w:val="Kinhgui"/>
      </w:pPr>
      <w:r>
        <w:t xml:space="preserve">Kính gửi: Tổng Thanh tra Chính phủ</w:t>
      </w:r>
    </w:p>
    <w:p>
      <w:pPr>
        <w:pStyle w:val="Kinhgui"/>
      </w:pPr>
      <w:r>
        <w:t xml:space="preserve">Đồng kính gửi: Ban Tiếp công dân Trung ương</w:t>
      </w:r>
    </w:p>
    <w:p>
      <w:pPr>
        <w:pStyle w:val="BodyText"/>
      </w:pPr>
      <w:r>
        <w:rPr>
          <w:bCs/>
          <w:b/>
        </w:rPr>
        <w:t xml:space="preserve">Loại đơn.</w:t>
      </w:r>
      <w:r>
        <w:t xml:space="preserve"> </w:t>
      </w:r>
      <w:r>
        <w:t xml:space="preserve">Đơn kiến nghị, phản ánh theo Thông tư số 05/2021/TT-TTCP; đơn không khiếu nại quyết định hành chính nào và không tố cáo cá nhân nào. Tôi kiến nghị Thanh tra Chính phủ kiểm tra quá trình tiếp nhận, xử lý đơn tại các cơ quan nêu dưới đây, theo dõi việc khắc phục đến kết quả và hướng dẫn việc áp dụng pháp luật. Các đơn, văn bản và hành vi được dẫn nhằm xác định nội dung cần kiểm tra; phạm vi yêu cầu cụ thể trình bày tại mục III.3, căn cứ gửi đơn tại mục IV (Nghị định số 109/2025/NĐ-CP; Chương IV Thông tư số 05/2021/TT-TTCP).</w:t>
      </w:r>
    </w:p>
    <w:bookmarkStart w:id="20" w:name="i.-người-kiến-nghị"/>
    <w:p>
      <w:pPr>
        <w:pStyle w:val="Heading2"/>
        <w:keepNext/>
      </w:pPr>
      <w:r>
        <w:t xml:space="preserve">I. Người kiến nghị</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0" w:lastRow="0" w:firstColumn="0" w:lastColumn="0" w:noHBand="0" w:noVBand="0" w:val="0000"/>
      </w:tblPr>
      <w:tblGrid>
        <w:gridCol w:w="2926"/>
        <w:gridCol w:w="6145"/>
      </w:tblGrid>
      <w:tr>
        <w:trPr>
          <w:cantSplit/>
        </w:trPr>
        <w:tc>
          <w:tcPr>
            <w:tcW w:w="2926" w:type="dxa"/>
            <w:vAlign w:val="top"/>
          </w:tcPr>
          <w:p>
            <w:pPr>
              <w:pStyle w:val="Compact"/>
              <w:spacing w:before="20" w:after="20" w:line="252" w:lineRule="auto"/>
              <w:ind w:firstLine="0"/>
              <w:jc w:val="left"/>
            </w:pPr>
            <w:r>
              <w:rPr>
                <w:sz w:val="22"/>
              </w:rPr>
              <w:t xml:space="preserve">Họ và tên</w:t>
            </w:r>
          </w:p>
        </w:tc>
        <w:tc>
          <w:tcPr>
            <w:tcW w:w="6145" w:type="dxa"/>
            <w:vAlign w:val="top"/>
          </w:tcPr>
          <w:p>
            <w:pPr>
              <w:pStyle w:val="Compact"/>
              <w:spacing w:before="20" w:after="20" w:line="252" w:lineRule="auto"/>
              <w:ind w:firstLine="0"/>
              <w:jc w:val="left"/>
            </w:pPr>
            <w:r>
              <w:rPr>
                <w:bCs/>
                <w:b/>
                <w:sz w:val="22"/>
              </w:rPr>
              <w:t xml:space="preserve">TRẦN DUY TUỆ</w:t>
            </w:r>
            <w:r>
              <w:rPr>
                <w:sz w:val="22"/>
              </w:rPr>
              <w:t xml:space="preserve">, sinh năm 1976</w:t>
            </w:r>
          </w:p>
        </w:tc>
      </w:tr>
      <w:tr>
        <w:trPr>
          <w:cantSplit/>
        </w:trPr>
        <w:tc>
          <w:tcPr>
            <w:tcW w:w="2926" w:type="dxa"/>
            <w:vAlign w:val="top"/>
          </w:tcPr>
          <w:p>
            <w:pPr>
              <w:pStyle w:val="Compact"/>
              <w:spacing w:before="20" w:after="20" w:line="252" w:lineRule="auto"/>
              <w:ind w:firstLine="0"/>
              <w:jc w:val="left"/>
            </w:pPr>
            <w:r>
              <w:rPr>
                <w:sz w:val="22"/>
              </w:rPr>
              <w:t xml:space="preserve">Số định danh cá nhân</w:t>
            </w:r>
          </w:p>
        </w:tc>
        <w:tc>
          <w:tcPr>
            <w:tcW w:w="6145" w:type="dxa"/>
            <w:vAlign w:val="top"/>
          </w:tcPr>
          <w:p>
            <w:pPr>
              <w:pStyle w:val="Compact"/>
              <w:spacing w:before="20" w:after="20" w:line="252" w:lineRule="auto"/>
              <w:ind w:firstLine="0"/>
              <w:jc w:val="left"/>
            </w:pPr>
            <w:r>
              <w:rPr>
                <w:sz w:val="22"/>
              </w:rPr>
              <w:t xml:space="preserve">(ghi đầy đủ ở bản gửi)</w:t>
            </w:r>
          </w:p>
        </w:tc>
      </w:tr>
      <w:tr>
        <w:trPr>
          <w:cantSplit/>
        </w:trPr>
        <w:tc>
          <w:tcPr>
            <w:tcW w:w="2926" w:type="dxa"/>
            <w:vAlign w:val="top"/>
          </w:tcPr>
          <w:p>
            <w:pPr>
              <w:pStyle w:val="Compact"/>
              <w:spacing w:before="20" w:after="20" w:line="252" w:lineRule="auto"/>
              <w:ind w:firstLine="0"/>
              <w:jc w:val="left"/>
            </w:pPr>
            <w:r>
              <w:rPr>
                <w:sz w:val="22"/>
              </w:rPr>
              <w:t xml:space="preserve">Địa chỉ nhận văn bản</w:t>
            </w:r>
          </w:p>
        </w:tc>
        <w:tc>
          <w:tcPr>
            <w:tcW w:w="6145" w:type="dxa"/>
            <w:vAlign w:val="top"/>
          </w:tcPr>
          <w:p>
            <w:pPr>
              <w:pStyle w:val="Compact"/>
              <w:spacing w:before="20" w:after="20" w:line="252" w:lineRule="auto"/>
              <w:ind w:firstLine="0"/>
              <w:jc w:val="left"/>
            </w:pPr>
            <w:r>
              <w:rPr>
                <w:sz w:val="22"/>
              </w:rPr>
              <w:t xml:space="preserve">(ghi đầy đủ ở bản gửi) — phường Phan Thiết, tỉnh Lâm Đồng</w:t>
            </w:r>
          </w:p>
        </w:tc>
      </w:tr>
      <w:tr>
        <w:trPr>
          <w:cantSplit/>
        </w:trPr>
        <w:tc>
          <w:tcPr>
            <w:tcW w:w="2926" w:type="dxa"/>
            <w:vAlign w:val="top"/>
          </w:tcPr>
          <w:p>
            <w:pPr>
              <w:pStyle w:val="Compact"/>
              <w:spacing w:before="20" w:after="20" w:line="252" w:lineRule="auto"/>
              <w:ind w:firstLine="0"/>
              <w:jc w:val="left"/>
            </w:pPr>
            <w:r>
              <w:rPr>
                <w:sz w:val="22"/>
              </w:rPr>
              <w:t xml:space="preserve">Điện thoại</w:t>
            </w:r>
          </w:p>
        </w:tc>
        <w:tc>
          <w:tcPr>
            <w:tcW w:w="6145" w:type="dxa"/>
            <w:vAlign w:val="top"/>
          </w:tcPr>
          <w:p>
            <w:pPr>
              <w:pStyle w:val="Compact"/>
              <w:spacing w:before="20" w:after="20" w:line="252" w:lineRule="auto"/>
              <w:ind w:firstLine="0"/>
              <w:jc w:val="left"/>
            </w:pPr>
            <w:r>
              <w:rPr>
                <w:sz w:val="22"/>
              </w:rPr>
              <w:t xml:space="preserve">(ghi đầy đủ ở bản gửi)</w:t>
            </w:r>
          </w:p>
        </w:tc>
      </w:tr>
      <w:tr>
        <w:trPr>
          <w:cantSplit/>
        </w:trPr>
        <w:tc>
          <w:tcPr>
            <w:tcW w:w="2926" w:type="dxa"/>
            <w:vAlign w:val="top"/>
          </w:tcPr>
          <w:p>
            <w:pPr>
              <w:pStyle w:val="Compact"/>
              <w:spacing w:before="20" w:after="20" w:line="252" w:lineRule="auto"/>
              <w:ind w:firstLine="0"/>
              <w:jc w:val="left"/>
            </w:pPr>
            <w:r>
              <w:rPr>
                <w:sz w:val="22"/>
              </w:rPr>
              <w:t xml:space="preserve">Tư cách</w:t>
            </w:r>
          </w:p>
        </w:tc>
        <w:tc>
          <w:tcPr>
            <w:tcW w:w="6145" w:type="dxa"/>
            <w:vAlign w:val="top"/>
          </w:tcPr>
          <w:p>
            <w:pPr>
              <w:pStyle w:val="Compact"/>
              <w:spacing w:before="20" w:after="20" w:line="252" w:lineRule="auto"/>
              <w:ind w:firstLine="0"/>
              <w:jc w:val="left"/>
            </w:pPr>
            <w:r>
              <w:rPr>
                <w:sz w:val="22"/>
              </w:rPr>
              <w:t xml:space="preserve">Phụ huynh học sinh lớp 9A1 (năm học 2025-2026 là lớp 8A1), Trường Trung học cơ sở Trần Phú, phường Phan Thiết, tỉnh Lâm Đồng</w:t>
            </w:r>
          </w:p>
        </w:tc>
      </w:tr>
    </w:tbl>
    <w:p>
      <w:pPr>
        <w:pStyle w:val="BodyText"/>
        <w:spacing w:before="120"/>
      </w:pPr>
      <w:r>
        <w:t xml:space="preserve">Tôi kiến nghị với tư cách công dân và phụ huynh học sinh, về một vụ việc tôi đã theo đuổi bằng đơn thư liên tục từ ngày 30/10/2025 đến ngày 28/10/2026 là</w:t>
      </w:r>
      <w:r>
        <w:t xml:space="preserve"> </w:t>
      </w:r>
      <w:r>
        <w:rPr>
          <w:bCs/>
          <w:b/>
        </w:rPr>
        <w:t xml:space="preserve">363 ngày</w:t>
      </w:r>
      <w:r>
        <w:t xml:space="preserve">.</w:t>
      </w:r>
    </w:p>
    <w:bookmarkEnd w:id="20"/>
    <w:bookmarkStart w:id="21" w:name="ii.-tóm-tắt-vụ-việc"/>
    <w:p>
      <w:pPr>
        <w:pStyle w:val="Heading2"/>
      </w:pPr>
      <w:r>
        <w:t xml:space="preserve">II. Tóm tắt vụ việc</w:t>
      </w:r>
    </w:p>
    <w:p>
      <w:pPr>
        <w:pStyle w:val="FirstParagraph"/>
      </w:pPr>
      <w:r>
        <w:rPr>
          <w:bCs/>
          <w:b/>
        </w:rPr>
        <w:t xml:space="preserve">Nội dung gốc.</w:t>
      </w:r>
      <w:r>
        <w:t xml:space="preserve"> </w:t>
      </w:r>
      <w:r>
        <w:t xml:space="preserve">Ngày 14/11/2025, tại Trường Trung học cơ sở Trần Phú có một tiết thao giảng môn Toán ở lớp 8A1. Tôi cho rằng tiết dạy ấy có nội dung kiến thức không đúng, và đã đề nghị nhà trường cùng các cơ quan quản lý kết luận bằng văn bản phần kiến thức ấy đúng hay sai, rồi tổ chức lại phần kiến thức cho học sinh. Nội dung chuyên môn ấy tôi đã gửi Giám đốc Sở Giáo dục và Đào tạo (Sở nhận ngày 16/5/2026 và ngày 05/10/2026) và Bộ Giáo dục và Đào tạo (gửi ngày 21/8/2026); tôi không đề nghị Thanh tra Chính phủ kết luận về chuyên môn. Khoảng 40 học sinh đã học tiết này; các em nay là lớp 9A1 và sẽ rời trường khi kết thúc năm học 2026-2027 — sau thời điểm ấy, việc khắc phục trực tiếp cho chính các em sẽ khó khăn hơn nhiều.</w:t>
      </w:r>
    </w:p>
    <w:p>
      <w:pPr>
        <w:pStyle w:val="BodyText"/>
      </w:pPr>
      <w:r>
        <w:rPr>
          <w:bCs/>
          <w:b/>
        </w:rPr>
        <w:t xml:space="preserve">Quá trình.</w:t>
      </w:r>
      <w:r>
        <w:t xml:space="preserve"> </w:t>
      </w:r>
      <w:r>
        <w:t xml:space="preserve">Tôi đã nộp</w:t>
      </w:r>
      <w:r>
        <w:t xml:space="preserve"> </w:t>
      </w:r>
      <w:r>
        <w:rPr>
          <w:bCs/>
          <w:b/>
        </w:rPr>
        <w:t xml:space="preserve">18 đơn, hồ sơ đề nghị</w:t>
      </w:r>
      <w:r>
        <w:t xml:space="preserve"> </w:t>
      </w:r>
      <w:r>
        <w:t xml:space="preserve">tới</w:t>
      </w:r>
      <w:r>
        <w:t xml:space="preserve"> </w:t>
      </w:r>
      <w:r>
        <w:rPr>
          <w:bCs/>
          <w:b/>
        </w:rPr>
        <w:t xml:space="preserve">08 cơ quan</w:t>
      </w:r>
      <w:r>
        <w:t xml:space="preserve">, mỗi lần đều có chứng từ tiếp nhận hoặc chứng từ bưu chính kiểm chứng được độc lập: Trường Trung học cơ sở Trần Phú, Sở Giáo dục và Đào tạo tỉnh Lâm Đồng, Ủy ban nhân dân phường Phan Thiết, Thanh tra tỉnh Lâm Đồng, Chủ tịch Ủy ban nhân dân tỉnh Lâm Đồng, Bộ Giáo dục và Đào tạo, Đoàn đại biểu Quốc hội tỉnh Lâm Đồng, Ủy ban Kiểm tra Tỉnh ủy Lâm Đồng.</w:t>
      </w:r>
    </w:p>
    <w:p>
      <w:pPr>
        <w:pStyle w:val="BodyText"/>
        <w:keepNext/>
      </w:pPr>
      <w:r>
        <w:rPr>
          <w:bCs/>
          <w:b/>
        </w:rPr>
        <w:t xml:space="preserve">Trạng thái đến ngày 28/10/2026</w:t>
      </w:r>
      <w:r>
        <w:t xml:space="preserve"> </w:t>
      </w:r>
      <w:r>
        <w:t xml:space="preserve">(bảng chi tiết là Tài liệu số 2):</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5762"/>
        <w:gridCol w:w="3309"/>
      </w:tblGrid>
      <w:tr>
        <w:trPr>
          <w:cantSplit/>
          <w:tblHeader w:val="true"/>
        </w:trPr>
        <w:tc>
          <w:tcPr>
            <w:tcW w:w="5762" w:type="dxa"/>
            <w:shd w:val="clear" w:color="auto" w:fill="E7E6E6"/>
            <w:vAlign w:val="center"/>
          </w:tcPr>
          <w:p>
            <w:pPr>
              <w:pStyle w:val="Compact"/>
              <w:spacing w:before="20" w:after="20" w:line="252" w:lineRule="auto"/>
              <w:ind w:firstLine="0"/>
              <w:jc w:val="center"/>
            </w:pPr>
            <w:r>
              <w:rPr>
                <w:b/>
                <w:sz w:val="22"/>
              </w:rPr>
              <w:t xml:space="preserve">Chỉ số</w:t>
            </w:r>
          </w:p>
        </w:tc>
        <w:tc>
          <w:tcPr>
            <w:tcW w:w="3309" w:type="dxa"/>
            <w:shd w:val="clear" w:color="auto" w:fill="E7E6E6"/>
            <w:vAlign w:val="center"/>
          </w:tcPr>
          <w:p>
            <w:pPr>
              <w:pStyle w:val="Compact"/>
              <w:spacing w:before="20" w:after="20" w:line="252" w:lineRule="auto"/>
              <w:ind w:firstLine="0"/>
              <w:jc w:val="center"/>
            </w:pPr>
            <w:r>
              <w:rPr>
                <w:b/>
                <w:sz w:val="22"/>
              </w:rPr>
              <w:t xml:space="preserve">Số liệu</w:t>
            </w:r>
          </w:p>
        </w:tc>
      </w:tr>
      <w:tr>
        <w:trPr>
          <w:cantSplit/>
        </w:trPr>
        <w:tc>
          <w:tcPr>
            <w:tcW w:w="5762" w:type="dxa"/>
            <w:vAlign w:val="top"/>
          </w:tcPr>
          <w:p>
            <w:pPr>
              <w:pStyle w:val="Compact"/>
              <w:spacing w:before="20" w:after="20" w:line="252" w:lineRule="auto"/>
              <w:ind w:firstLine="0"/>
              <w:jc w:val="left"/>
            </w:pPr>
            <w:r>
              <w:rPr>
                <w:sz w:val="22"/>
              </w:rPr>
              <w:t xml:space="preserve">Đơn, hồ sơ đã có văn bản trả lời đầy đủ nội dung đề nghị</w:t>
            </w:r>
          </w:p>
        </w:tc>
        <w:tc>
          <w:tcPr>
            <w:tcW w:w="3309" w:type="dxa"/>
            <w:vAlign w:val="top"/>
          </w:tcPr>
          <w:p>
            <w:pPr>
              <w:pStyle w:val="Compact"/>
              <w:spacing w:before="20" w:after="20" w:line="252" w:lineRule="auto"/>
              <w:ind w:firstLine="0"/>
              <w:jc w:val="left"/>
            </w:pPr>
            <w:r>
              <w:rPr>
                <w:bCs/>
                <w:b/>
                <w:sz w:val="22"/>
              </w:rPr>
              <w:t xml:space="preserve">0</w:t>
            </w:r>
          </w:p>
        </w:tc>
      </w:tr>
      <w:tr>
        <w:trPr>
          <w:cantSplit/>
        </w:trPr>
        <w:tc>
          <w:tcPr>
            <w:tcW w:w="5762" w:type="dxa"/>
            <w:vAlign w:val="top"/>
          </w:tcPr>
          <w:p>
            <w:pPr>
              <w:pStyle w:val="Compact"/>
              <w:spacing w:before="20" w:after="20" w:line="252" w:lineRule="auto"/>
              <w:ind w:firstLine="0"/>
              <w:jc w:val="left"/>
            </w:pPr>
            <w:r>
              <w:rPr>
                <w:sz w:val="22"/>
              </w:rPr>
              <w:t xml:space="preserve">Đơn, hồ sơ đã có văn bản nhưng chưa trả lời đầy đủ nội dung đề nghị</w:t>
            </w:r>
          </w:p>
        </w:tc>
        <w:tc>
          <w:tcPr>
            <w:tcW w:w="3309" w:type="dxa"/>
            <w:vAlign w:val="top"/>
          </w:tcPr>
          <w:p>
            <w:pPr>
              <w:pStyle w:val="Compact"/>
              <w:spacing w:before="20" w:after="20" w:line="252" w:lineRule="auto"/>
              <w:ind w:firstLine="0"/>
              <w:jc w:val="left"/>
            </w:pPr>
            <w:r>
              <w:rPr>
                <w:bCs/>
                <w:b/>
                <w:sz w:val="22"/>
              </w:rPr>
              <w:t xml:space="preserve">07</w:t>
            </w:r>
          </w:p>
        </w:tc>
      </w:tr>
      <w:tr>
        <w:trPr>
          <w:cantSplit/>
        </w:trPr>
        <w:tc>
          <w:tcPr>
            <w:tcW w:w="5762" w:type="dxa"/>
            <w:vAlign w:val="top"/>
          </w:tcPr>
          <w:p>
            <w:pPr>
              <w:pStyle w:val="Compact"/>
              <w:spacing w:before="20" w:after="20" w:line="252" w:lineRule="auto"/>
              <w:ind w:firstLine="0"/>
              <w:jc w:val="left"/>
            </w:pPr>
            <w:r>
              <w:rPr>
                <w:sz w:val="22"/>
              </w:rPr>
              <w:t xml:space="preserve">Đơn, hồ sơ tôi chưa nhận được văn bản nào của cơ quan nhận đơn</w:t>
            </w:r>
          </w:p>
        </w:tc>
        <w:tc>
          <w:tcPr>
            <w:tcW w:w="3309" w:type="dxa"/>
            <w:vAlign w:val="top"/>
          </w:tcPr>
          <w:p>
            <w:pPr>
              <w:pStyle w:val="Compact"/>
              <w:spacing w:before="20" w:after="20" w:line="252" w:lineRule="auto"/>
              <w:ind w:firstLine="0"/>
              <w:jc w:val="left"/>
            </w:pPr>
            <w:r>
              <w:rPr>
                <w:bCs/>
                <w:b/>
                <w:sz w:val="22"/>
              </w:rPr>
              <w:t xml:space="preserve">11</w:t>
            </w:r>
          </w:p>
        </w:tc>
      </w:tr>
      <w:tr>
        <w:trPr>
          <w:cantSplit/>
        </w:trPr>
        <w:tc>
          <w:tcPr>
            <w:tcW w:w="5762" w:type="dxa"/>
            <w:vAlign w:val="top"/>
          </w:tcPr>
          <w:p>
            <w:pPr>
              <w:pStyle w:val="Compact"/>
              <w:spacing w:before="20" w:after="20" w:line="252" w:lineRule="auto"/>
              <w:ind w:firstLine="0"/>
              <w:jc w:val="left"/>
            </w:pPr>
            <w:r>
              <w:rPr>
                <w:sz w:val="22"/>
              </w:rPr>
              <w:t xml:space="preserve">Đơn, hồ sơ đã quá thời hạn luật định</w:t>
            </w:r>
          </w:p>
        </w:tc>
        <w:tc>
          <w:tcPr>
            <w:tcW w:w="3309" w:type="dxa"/>
            <w:vAlign w:val="top"/>
          </w:tcPr>
          <w:p>
            <w:pPr>
              <w:pStyle w:val="Compact"/>
              <w:spacing w:before="20" w:after="20" w:line="252" w:lineRule="auto"/>
              <w:ind w:firstLine="0"/>
              <w:jc w:val="left"/>
            </w:pPr>
            <w:r>
              <w:rPr>
                <w:bCs/>
                <w:b/>
                <w:sz w:val="22"/>
              </w:rPr>
              <w:t xml:space="preserve">07</w:t>
            </w:r>
          </w:p>
        </w:tc>
      </w:tr>
      <w:tr>
        <w:trPr>
          <w:cantSplit/>
        </w:trPr>
        <w:tc>
          <w:tcPr>
            <w:tcW w:w="5762" w:type="dxa"/>
            <w:vAlign w:val="top"/>
          </w:tcPr>
          <w:p>
            <w:pPr>
              <w:pStyle w:val="Compact"/>
              <w:spacing w:before="20" w:after="20" w:line="252" w:lineRule="auto"/>
              <w:ind w:firstLine="0"/>
              <w:jc w:val="left"/>
            </w:pPr>
            <w:r>
              <w:rPr>
                <w:sz w:val="22"/>
              </w:rPr>
              <w:t xml:space="preserve">Quá hạn lâu nhất, tính từ mốc luật định</w:t>
            </w:r>
          </w:p>
        </w:tc>
        <w:tc>
          <w:tcPr>
            <w:tcW w:w="3309" w:type="dxa"/>
            <w:vAlign w:val="top"/>
          </w:tcPr>
          <w:p>
            <w:pPr>
              <w:pStyle w:val="Compact"/>
              <w:spacing w:before="20" w:after="20" w:line="252" w:lineRule="auto"/>
              <w:ind w:firstLine="0"/>
              <w:jc w:val="left"/>
            </w:pPr>
            <w:r>
              <w:rPr>
                <w:bCs/>
                <w:b/>
                <w:sz w:val="22"/>
              </w:rPr>
              <w:t xml:space="preserve">152 ngày</w:t>
            </w:r>
            <w:r>
              <w:rPr>
                <w:sz w:val="22"/>
              </w:rPr>
              <w:t xml:space="preserve"> </w:t>
            </w:r>
            <w:r>
              <w:rPr>
                <w:sz w:val="22"/>
              </w:rPr>
              <w:t xml:space="preserve">(đơn tố cáo Sở Giáo dục và Đào tạo nhận ngày 16/5/2026, mốc 29/5/2026)</w:t>
            </w:r>
          </w:p>
        </w:tc>
      </w:tr>
    </w:tbl>
    <w:p>
      <w:pPr>
        <w:pStyle w:val="BodyText"/>
        <w:spacing w:before="120"/>
      </w:pPr>
      <w:r>
        <w:t xml:space="preserve">Số ngày trong đơn tính đến ngày 28/10/2026, như ở Tài liệu số 1 và số 2; đến ngày ký đơn này (29/10/2026), tôi vẫn chưa nhận được thêm văn bản nào.</w:t>
      </w:r>
    </w:p>
    <w:p>
      <w:pPr>
        <w:pStyle w:val="BodyText"/>
      </w:pPr>
      <w:r>
        <w:rPr>
          <w:bCs/>
          <w:b/>
        </w:rPr>
        <w:t xml:space="preserve">Ba việc đến nay chưa được thực hiện, và tôi chưa nhận được văn bản nào nói rõ vì sao:</w:t>
      </w:r>
    </w:p>
    <w:p>
      <w:pPr>
        <w:pStyle w:val="Compact"/>
        <w:numPr>
          <w:ilvl w:val="0"/>
          <w:numId w:val="1001"/>
        </w:numPr>
      </w:pPr>
      <w:r>
        <w:t xml:space="preserve">Kết luận bằng văn bản nội dung tiết dạy ngày 14/11/2025 đúng hay sai ở đâu.</w:t>
      </w:r>
    </w:p>
    <w:p>
      <w:pPr>
        <w:pStyle w:val="Compact"/>
        <w:numPr>
          <w:ilvl w:val="0"/>
          <w:numId w:val="1001"/>
        </w:numPr>
      </w:pPr>
      <w:r>
        <w:t xml:space="preserve">Tổ chức lại phần kiến thức ấy cho học sinh.</w:t>
      </w:r>
    </w:p>
    <w:p>
      <w:pPr>
        <w:pStyle w:val="Compact"/>
        <w:numPr>
          <w:ilvl w:val="0"/>
          <w:numId w:val="1001"/>
        </w:numPr>
      </w:pPr>
      <w:r>
        <w:t xml:space="preserve">Giải quyết Đơn khiếu nại ngày 11/12/2025 bằng</w:t>
      </w:r>
      <w:r>
        <w:t xml:space="preserve"> </w:t>
      </w:r>
      <w:r>
        <w:rPr>
          <w:bCs/>
          <w:b/>
        </w:rPr>
        <w:t xml:space="preserve">quyết định giải quyết khiếu nại</w:t>
      </w:r>
      <w:r>
        <w:t xml:space="preserve"> </w:t>
      </w:r>
      <w:r>
        <w:t xml:space="preserve">— văn bản ghi quyền khiếu nại lần hai và quyền khởi kiện vụ án hành chính theo điểm k khoản 2 Điều 31 Luật Khiếu nại. Đơn ấy được trả lời bằng một công văn (Công văn số 87/THCSTP ngày 24/12/2025).</w:t>
      </w:r>
    </w:p>
    <w:p>
      <w:pPr>
        <w:pStyle w:val="FirstParagraph"/>
      </w:pPr>
      <w:r>
        <w:rPr>
          <w:bCs/>
          <w:b/>
        </w:rPr>
        <w:t xml:space="preserve">Một điểm then chốt: hai văn bản của cùng một cơ quan, cách nhau 24 ngày, đánh giá trái nhau về cùng một việc.</w:t>
      </w:r>
      <w:r>
        <w:t xml:space="preserve"> </w:t>
      </w:r>
      <w:r>
        <w:t xml:space="preserve">Ngày 28/8/2026, Ủy ban nhân dân phường Phan Thiết ban hành Thông báo số 5553/TB-UBND, kết luận quá trình giải quyết của Trường là</w:t>
      </w:r>
      <w:r>
        <w:t xml:space="preserve"> </w:t>
      </w:r>
      <w:r>
        <w:rPr>
          <w:iCs/>
          <w:i/>
        </w:rPr>
        <w:t xml:space="preserve">“</w:t>
      </w:r>
      <w:r>
        <w:rPr>
          <w:iCs/>
          <w:i/>
        </w:rPr>
        <w:t xml:space="preserve">thận trọng, cầu thị và khách quan</w:t>
      </w:r>
      <w:r>
        <w:rPr>
          <w:iCs/>
          <w:i/>
        </w:rPr>
        <w:t xml:space="preserve">”</w:t>
      </w:r>
      <w:r>
        <w:t xml:space="preserve"> </w:t>
      </w:r>
      <w:r>
        <w:t xml:space="preserve">và không thụ lý tố cáo vì</w:t>
      </w:r>
      <w:r>
        <w:t xml:space="preserve"> </w:t>
      </w:r>
      <w:r>
        <w:rPr>
          <w:iCs/>
          <w:i/>
        </w:rPr>
        <w:t xml:space="preserve">“</w:t>
      </w:r>
      <w:r>
        <w:rPr>
          <w:iCs/>
          <w:i/>
        </w:rPr>
        <w:t xml:space="preserve">không có cơ sở xác định hành vi vi phạm pháp luật</w:t>
      </w:r>
      <w:r>
        <w:rPr>
          <w:iCs/>
          <w:i/>
        </w:rPr>
        <w:t xml:space="preserve">”</w:t>
      </w:r>
      <w:r>
        <w:t xml:space="preserve">. Ngày 21/9/2026, cũng Ủy ban nhân dân phường ban hành Công văn số 6689/UBND-VHXH:</w:t>
      </w:r>
      <w:r>
        <w:t xml:space="preserve"> </w:t>
      </w:r>
      <w:r>
        <w:rPr>
          <w:iCs/>
          <w:i/>
        </w:rPr>
        <w:t xml:space="preserve">“</w:t>
      </w:r>
      <w:r>
        <w:rPr>
          <w:iCs/>
          <w:i/>
        </w:rPr>
        <w:t xml:space="preserve">Đối với việc sử dụng điểm cộng, điểm trừ vào điểm đánh giá thường xuyên: không có cơ sở theo quy định tại Thông tư số 22/2021/TT-BGDĐT; UBND phường yêu cầu Trường THCS Trần Phú rà soát, chấn chỉnh và xử lý theo đúng quy định, bảo đảm quyền lợi chính đáng của học sinh.</w:t>
      </w:r>
      <w:r>
        <w:rPr>
          <w:iCs/>
          <w:i/>
        </w:rPr>
        <w:t xml:space="preserve">”</w:t>
      </w:r>
      <w:r>
        <w:t xml:space="preserve"> </w:t>
      </w:r>
      <w:r>
        <w:t xml:space="preserve">Việc trừ điểm ấy là một yêu cầu của chính Đơn khiếu nại ngày 11/12/2025. Đến nay tôi chưa nhận được văn bản nào sửa Thông báo 5553, cũng chưa nhận được thông báo thụ lý Đơn khiếu nại của tôi đối với nó.</w:t>
      </w:r>
    </w:p>
    <w:p>
      <w:pPr>
        <w:pStyle w:val="BodyText"/>
      </w:pPr>
      <w:r>
        <w:rPr>
          <w:bCs/>
          <w:b/>
        </w:rPr>
        <w:t xml:space="preserve">Đơn tố cáo gửi Chủ tịch Ủy ban nhân dân tỉnh.</w:t>
      </w:r>
      <w:r>
        <w:t xml:space="preserve"> </w:t>
      </w:r>
      <w:r>
        <w:t xml:space="preserve">Đơn tố cáo đề ngày 14/9/2026 gửi Chủ tịch Ủy ban nhân dân tỉnh Lâm Đồng — người bị tố cáo là Chủ tịch Ủy ban nhân dân phường Phan Thiết và Giám đốc Sở Giáo dục và Đào tạo — được báo phát lúc 10 giờ 09 ngày 17/9/2026 (bưu gửi TOM152242469648). Mốc xử lý ban đầu theo khoản 1 Điều 24 Luật Tố cáo là 28/9/2026; kể cả trường hợp được kéo dài đến 10 ngày làm việc theo luật, mốc cuối là 01/10/2026. Đến ngày 28/10/2026, sau 41 ngày, tôi chưa nhận được thông báo thụ lý, thông báo không thụ lý nêu rõ lý do hay thông báo chuyển đơn. Tôi đề nghị kiểm tra việc tiếp nhận, xử lý và thông báo kết quả xử lý đơn này của Chủ tịch Ủy ban nhân dân tỉnh cùng cơ quan, bộ phận được giao tham mưu (mục III.3, đề nghị 2).</w:t>
      </w:r>
    </w:p>
    <w:bookmarkEnd w:id="21"/>
    <w:bookmarkStart w:id="25" w:name="iii.-nội-dung-kiến-nghị"/>
    <w:p>
      <w:pPr>
        <w:pStyle w:val="Heading2"/>
      </w:pPr>
      <w:r>
        <w:t xml:space="preserve">III. Nội dung kiến nghị</w:t>
      </w:r>
    </w:p>
    <w:bookmarkStart w:id="22" w:name="Xf14943aa6524d3da1731e799e522360574e904c"/>
    <w:p>
      <w:pPr>
        <w:pStyle w:val="Heading3"/>
      </w:pPr>
      <w:r>
        <w:t xml:space="preserve">III.1. Kiến nghị hướng dẫn áp dụng Thông tư số 05/2021/TT-TTCP trong năm tình huống cụ thể</w:t>
      </w:r>
    </w:p>
    <w:p>
      <w:pPr>
        <w:pStyle w:val="FirstParagraph"/>
      </w:pPr>
      <w:r>
        <w:t xml:space="preserve">Thông tư số 05/2021/TT-TTCP ngày 01/10/2021 của Tổng Thanh tra Chính phủ là văn bản quy phạm duy nhất mà Thanh tra tỉnh Lâm Đồng viện dẫn trong hai văn bản trả lời gần nhất của mình — Công văn 3292 dẫn tên thông tư, không kèm điều, khoản; Phiếu hướng dẫn 2960 lập theo một mẫu của thông tư, không dẫn văn bản nào. Kính đề nghị Thanh tra Chính phủ, với tư cách cơ quan ban hành thông tư, hướng dẫn cho tôi biết thông tư được áp dụng thế nào trong năm tình huống dưới đây. Phân tích đầy đủ ở Tài liệu số 1, theo mã ghi trong ngoặc.</w:t>
      </w:r>
    </w:p>
    <w:p>
      <w:pPr>
        <w:pStyle w:val="BodyText"/>
      </w:pPr>
      <w:r>
        <w:rPr>
          <w:bCs/>
          <w:b/>
        </w:rPr>
        <w:t xml:space="preserve">Tình huống 1 — Phiếu hướng dẫn tách đơn không ghi nội dung nào cần tách, cơ quan nào có thẩm quyền (P.1 – P.4).</w:t>
      </w:r>
    </w:p>
    <w:p>
      <w:pPr>
        <w:pStyle w:val="BodyText"/>
      </w:pPr>
      <w:r>
        <w:t xml:space="preserve">Ngày 14/9/2026, tôi lập hai đơn riêng: Đơn tố cáo gửi Chủ tịch Ủy ban nhân dân tỉnh Lâm Đồng, và Đơn đề nghị gửi Chánh Thanh tra tỉnh. Đơn đề nghị dài 11 trang, tự ghi loại đơn là kiến nghị, phản ánh,</w:t>
      </w:r>
      <w:r>
        <w:t xml:space="preserve"> </w:t>
      </w:r>
      <w:r>
        <w:rPr>
          <w:iCs/>
          <w:i/>
        </w:rPr>
        <w:t xml:space="preserve">“</w:t>
      </w:r>
      <w:r>
        <w:rPr>
          <w:iCs/>
          <w:i/>
        </w:rPr>
        <w:t xml:space="preserve">không phải đơn tố cáo</w:t>
      </w:r>
      <w:r>
        <w:rPr>
          <w:iCs/>
          <w:i/>
        </w:rPr>
        <w:t xml:space="preserve">”</w:t>
      </w:r>
      <w:r>
        <w:t xml:space="preserve">, kèm bản sao đơn tố cáo cùng ngày để đối chiếu. Mục IV của đơn mang tên</w:t>
      </w:r>
      <w:r>
        <w:t xml:space="preserve"> </w:t>
      </w:r>
      <w:r>
        <w:rPr>
          <w:iCs/>
          <w:i/>
        </w:rPr>
        <w:t xml:space="preserve">“</w:t>
      </w:r>
      <w:r>
        <w:rPr>
          <w:iCs/>
          <w:i/>
        </w:rPr>
        <w:t xml:space="preserve">Sáu nội dung Quý cơ quan kiểm được bằng hồ sơ lưu của chính mình</w:t>
      </w:r>
      <w:r>
        <w:rPr>
          <w:iCs/>
          <w:i/>
        </w:rPr>
        <w:t xml:space="preserve">”</w:t>
      </w:r>
      <w:r>
        <w:t xml:space="preserve"> </w:t>
      </w:r>
      <w:r>
        <w:t xml:space="preserve">— các câu hỏi về văn bản do chính Thanh tra tỉnh ban hành (Công văn số 1436/TTr-TCDKNTC, Phiếu chuyển số 2329/TTr-TCDKNTC, Văn bản số 2644/TTr-TCDKNTC) và về một văn bản gửi Thanh tra tỉnh để báo cáo (Thông báo 5553).</w:t>
      </w:r>
    </w:p>
    <w:p>
      <w:pPr>
        <w:pStyle w:val="BodyText"/>
      </w:pPr>
      <w:r>
        <w:t xml:space="preserve">Ngày 28/9/2026, Thanh tra tỉnh ban hành Phiếu hướng dẫn số 2960/HD-TTr, phần nội dung gồm hai câu:</w:t>
      </w:r>
      <w:r>
        <w:t xml:space="preserve"> </w:t>
      </w:r>
      <w:r>
        <w:rPr>
          <w:iCs/>
          <w:i/>
        </w:rPr>
        <w:t xml:space="preserve">“</w:t>
      </w:r>
      <w:r>
        <w:rPr>
          <w:iCs/>
          <w:i/>
        </w:rPr>
        <w:t xml:space="preserve">Sau khi xem xét nội dung đơn và các thông tin, tài liệu kèm theo, đơn của công dân có cả nội dung kiến nghị, phản ánh và tố cáo; đơn có nhiều nội dung thuộc thẩm quyền giải quyết của nhiều cơ quan, tổ chức, đơn vị, cá nhân. Do vậy, Thanh tra tỉnh hướng dẫn công dân viết lại đơn, tách nội dung đơn và gửi đơn đến cơ quan, tổ chức, đơn vị, cá nhân có thẩm quyền giải quyết theo quy định của pháp luật./.</w:t>
      </w:r>
      <w:r>
        <w:rPr>
          <w:iCs/>
          <w:i/>
        </w:rPr>
        <w:t xml:space="preserve">”</w:t>
      </w:r>
      <w:r>
        <w:t xml:space="preserve"> </w:t>
      </w:r>
      <w:r>
        <w:t xml:space="preserve">Phiếu ghi</w:t>
      </w:r>
      <w:r>
        <w:t xml:space="preserve"> </w:t>
      </w:r>
      <w:r>
        <w:t xml:space="preserve">“</w:t>
      </w:r>
      <w:r>
        <w:t xml:space="preserve">Kính gửi: Công dân</w:t>
      </w:r>
      <w:r>
        <w:t xml:space="preserve">”</w:t>
      </w:r>
      <w:r>
        <w:t xml:space="preserve">, không dẫn điều, khoản nào, không ghi nội dung nào của đơn thuộc thẩm quyền của cơ quan nào. Bộ hồ sơ bản giấy được gửi trả lại cùng tờ phiếu.</w:t>
      </w:r>
    </w:p>
    <w:p>
      <w:pPr>
        <w:pStyle w:val="BodyText"/>
      </w:pPr>
      <w:r>
        <w:t xml:space="preserve">Điều 21 Thông tư 05 quy định việc hướng dẫn tách đơn thực hiện theo Mẫu số 05; phần nội dung của Mẫu số 05 có câu</w:t>
      </w:r>
      <w:r>
        <w:t xml:space="preserve"> </w:t>
      </w:r>
      <w:r>
        <w:rPr>
          <w:iCs/>
          <w:i/>
        </w:rPr>
        <w:t xml:space="preserve">“</w:t>
      </w:r>
      <w:r>
        <w:rPr>
          <w:iCs/>
          <w:i/>
        </w:rPr>
        <w:t xml:space="preserve">căn cứ quy định của pháp luật, đơn của ông (bà) thuộc thẩm quyền giải quyết của các cơ quan sau đây:</w:t>
      </w:r>
      <w:r>
        <w:rPr>
          <w:iCs/>
          <w:i/>
        </w:rPr>
        <w:t xml:space="preserve">”</w:t>
      </w:r>
      <w:r>
        <w:t xml:space="preserve">, tiếp theo là các dòng ghi từng nội dung và cơ quan có thẩm quyền tương ứng.</w:t>
      </w:r>
    </w:p>
    <w:p>
      <w:pPr>
        <w:pStyle w:val="BodyText"/>
      </w:pPr>
      <w:r>
        <w:t xml:space="preserve">Kính đề nghị cho biết: (a) một phiếu hướng dẫn theo Điều 21 mà không ghi nội dung nào cần tách, cơ quan nào có thẩm quyền, không ghi tên người gửi đơn, có đúng Mẫu số 05 hay không; (b) khi một phần nội dung đơn thuộc trách nhiệm quản lý của chính cơ quan nhận đơn — ở đây là các câu hỏi về văn bản do chính cơ quan ấy ban hành — cơ quan có được áp Điều 21 cho cả lá đơn mà không giải quyết, trả lời phần ấy theo khoản 1 Điều 20 hay không; (c) khi hướng dẫn tách đơn, cơ quan vào sổ, lưu và theo dõi lá đơn đã nhận như thế nào nếu bộ hồ sơ được trả lại cho người gửi.</w:t>
      </w:r>
    </w:p>
    <w:p>
      <w:pPr>
        <w:pStyle w:val="BodyText"/>
      </w:pPr>
      <w:r>
        <w:rPr>
          <w:bCs/>
          <w:b/>
        </w:rPr>
        <w:t xml:space="preserve">Tình huống 2 — Cùng một cơ quan, hai đơn cùng có nhiều nội dung, hai cách xử lý; và một câu kết luận gộp hai chế định (N.1, C.5).</w:t>
      </w:r>
    </w:p>
    <w:p>
      <w:pPr>
        <w:pStyle w:val="BodyText"/>
      </w:pPr>
      <w:r>
        <w:t xml:space="preserve">Đơn tôi gửi Thanh tra tỉnh tháng 5/2026 mang tên</w:t>
      </w:r>
      <w:r>
        <w:t xml:space="preserve"> </w:t>
      </w:r>
      <w:r>
        <w:rPr>
          <w:iCs/>
          <w:i/>
        </w:rPr>
        <w:t xml:space="preserve">“</w:t>
      </w:r>
      <w:r>
        <w:rPr>
          <w:iCs/>
          <w:i/>
        </w:rPr>
        <w:t xml:space="preserve">Đơn đề nghị thanh tra hành vi hành chính &amp; xác minh trình tự tiếp nhận, giải quyết đơn thư</w:t>
      </w:r>
      <w:r>
        <w:rPr>
          <w:iCs/>
          <w:i/>
        </w:rPr>
        <w:t xml:space="preserve">”</w:t>
      </w:r>
      <w:r>
        <w:t xml:space="preserve">, có sáu đề nghị thanh tra gửi Thanh tra tỉnh. Thanh tra tỉnh gắn cho cả đơn một nhãn</w:t>
      </w:r>
      <w:r>
        <w:t xml:space="preserve"> </w:t>
      </w:r>
      <w:r>
        <w:t xml:space="preserve">“</w:t>
      </w:r>
      <w:r>
        <w:t xml:space="preserve">tố cáo</w:t>
      </w:r>
      <w:r>
        <w:t xml:space="preserve">”</w:t>
      </w:r>
      <w:r>
        <w:t xml:space="preserve"> </w:t>
      </w:r>
      <w:r>
        <w:t xml:space="preserve">và chuyển đi bằng Công văn số 1436/TTr-TCDKNTC, tên gọi</w:t>
      </w:r>
      <w:r>
        <w:t xml:space="preserve"> </w:t>
      </w:r>
      <w:r>
        <w:rPr>
          <w:iCs/>
          <w:i/>
        </w:rPr>
        <w:t xml:space="preserve">“</w:t>
      </w:r>
      <w:r>
        <w:rPr>
          <w:iCs/>
          <w:i/>
        </w:rPr>
        <w:t xml:space="preserve">Phiếu chuyển đơn tố cáo</w:t>
      </w:r>
      <w:r>
        <w:rPr>
          <w:iCs/>
          <w:i/>
        </w:rPr>
        <w:t xml:space="preserve">”</w:t>
      </w:r>
      <w:r>
        <w:t xml:space="preserve">. Đơn tháng 9/2026, cũng có nhiều nội dung, được hướng dẫn tách bằng Phiếu 2960. Hai đơn cùng có nhiều nội dung không vì thế mà phải được phân loại giống nhau; nhưng chưa văn bản nào tôi nhận được cho biết, ở mỗi đơn, nội dung nào được xác định là tố cáo, nội dung nào là kiến nghị, căn cứ phân loại và cách xử lý từng phần.</w:t>
      </w:r>
    </w:p>
    <w:p>
      <w:pPr>
        <w:pStyle w:val="BodyText"/>
      </w:pPr>
      <w:r>
        <w:t xml:space="preserve">Ngày 19/10/2026, Công văn 3292 kết luận trong một câu rằng việc ban hành Công văn 1436 (chuyển đơn tố cáo, gửi Chủ tịch Ủy ban nhân dân phường) và Văn bản 2644 (đôn đốc đơn kiến nghị, phản ánh, gửi Ủy ban nhân dân phường)</w:t>
      </w:r>
      <w:r>
        <w:t xml:space="preserve"> </w:t>
      </w:r>
      <w:r>
        <w:rPr>
          <w:iCs/>
          <w:i/>
        </w:rPr>
        <w:t xml:space="preserve">“</w:t>
      </w:r>
      <w:r>
        <w:rPr>
          <w:iCs/>
          <w:i/>
        </w:rPr>
        <w:t xml:space="preserve">là đúng quy định tại Thông tư số 05/2021/TT-TTCP</w:t>
      </w:r>
      <w:r>
        <w:rPr>
          <w:iCs/>
          <w:i/>
        </w:rPr>
        <w:t xml:space="preserve">”</w:t>
      </w:r>
      <w:r>
        <w:t xml:space="preserve">, không nêu điều, khoản nào. Tôi không cho rằng cùng một lá đơn bị gọi hai tên: ba văn bản 1436, 2329, 2644 xử lý ba đơn khác nhau. Điều tôi hỏi là căn cứ và cách viện dẫn.</w:t>
      </w:r>
    </w:p>
    <w:p>
      <w:pPr>
        <w:pStyle w:val="BodyText"/>
      </w:pPr>
      <w:r>
        <w:t xml:space="preserve">Kính đề nghị cho biết: theo khoản 1 Điều 6 và Điều 21 Thông tư 05, khi một lá đơn vừa có đề nghị thanh tra đặt cho chính cơ quan nhận đơn, vừa có nội dung được coi là tố cáo, thì cơ quan xử lý theo tiêu chí nào — gắn một nhãn chung cho cả đơn, tách phần thuộc thẩm quyền của mình, hay hướng dẫn theo Điều 21; và một kết luận</w:t>
      </w:r>
      <w:r>
        <w:t xml:space="preserve"> </w:t>
      </w:r>
      <w:r>
        <w:t xml:space="preserve">“</w:t>
      </w:r>
      <w:r>
        <w:t xml:space="preserve">đúng quy định tại Thông tư 05</w:t>
      </w:r>
      <w:r>
        <w:t xml:space="preserve">”</w:t>
      </w:r>
      <w:r>
        <w:t xml:space="preserve"> </w:t>
      </w:r>
      <w:r>
        <w:t xml:space="preserve">không dẫn điều, khoản, đặt chung một văn bản chuyển đơn tố cáo với một văn bản đôn đốc đơn kiến nghị, phản ánh, có đáp ứng yêu cầu nêu căn cứ hay không.</w:t>
      </w:r>
    </w:p>
    <w:p>
      <w:pPr>
        <w:pStyle w:val="BodyText"/>
      </w:pPr>
      <w:r>
        <w:rPr>
          <w:bCs/>
          <w:b/>
        </w:rPr>
        <w:t xml:space="preserve">Tình huống 3 — Hệ quả về thời hạn của mỗi cách phân loại (C.8).</w:t>
      </w:r>
    </w:p>
    <w:p>
      <w:pPr>
        <w:pStyle w:val="Compact"/>
        <w:numPr>
          <w:ilvl w:val="0"/>
          <w:numId w:val="1002"/>
        </w:numPr>
      </w:pPr>
      <w:r>
        <w:rPr>
          <w:bCs/>
          <w:b/>
        </w:rPr>
        <w:t xml:space="preserve">Nếu là đơn tố cáo</w:t>
      </w:r>
      <w:r>
        <w:t xml:space="preserve"> </w:t>
      </w:r>
      <w:r>
        <w:t xml:space="preserve">— như Công văn 3292 khẳng định: Ủy ban nhân dân phường Phan Thiết nhận đơn ngày 22/5/2026. Thời hạn xử lý ban đầu theo khoản 1 Điều 24 Luật Tố cáo là 07 ngày làm việc, kéo dài không quá 10 ngày làm việc — mốc 02/6/2026, chậm nhất 05/6/2026; thời hạn thông báo kết quả cho cơ quan đã chuyển theo khoản 2 Điều 26 là 20 ngày — mốc 11/6/2026. Văn bản đầu tiên là Thông báo 5553 ký ngày 28/8/2026,</w:t>
      </w:r>
      <w:r>
        <w:t xml:space="preserve"> </w:t>
      </w:r>
      <w:r>
        <w:rPr>
          <w:bCs/>
          <w:b/>
        </w:rPr>
        <w:t xml:space="preserve">98 ngày</w:t>
      </w:r>
      <w:r>
        <w:t xml:space="preserve"> </w:t>
      </w:r>
      <w:r>
        <w:t xml:space="preserve">sau ngày nhận; trang 1 của chính văn bản ấy tự mô tả công việc của mình là</w:t>
      </w:r>
      <w:r>
        <w:t xml:space="preserve"> </w:t>
      </w:r>
      <w:r>
        <w:rPr>
          <w:iCs/>
          <w:i/>
        </w:rPr>
        <w:t xml:space="preserve">“</w:t>
      </w:r>
      <w:r>
        <w:rPr>
          <w:iCs/>
          <w:i/>
        </w:rPr>
        <w:t xml:space="preserve">xử lý ban đầu thông tin tố cáo, kiểm tra, xác minh thông tin về người tố cáo, điều kiện thụ lý tố cáo</w:t>
      </w:r>
      <w:r>
        <w:rPr>
          <w:iCs/>
          <w:i/>
        </w:rPr>
        <w:t xml:space="preserve">”</w:t>
      </w:r>
      <w:r>
        <w:t xml:space="preserve">. Tôi nhận văn bản ấy ngày 04/9/2026,</w:t>
      </w:r>
      <w:r>
        <w:t xml:space="preserve"> </w:t>
      </w:r>
      <w:r>
        <w:rPr>
          <w:bCs/>
          <w:b/>
        </w:rPr>
        <w:t xml:space="preserve">105 ngày</w:t>
      </w:r>
      <w:r>
        <w:t xml:space="preserve"> </w:t>
      </w:r>
      <w:r>
        <w:t xml:space="preserve">sau ngày phường nhận đơn.</w:t>
      </w:r>
    </w:p>
    <w:p>
      <w:pPr>
        <w:pStyle w:val="Compact"/>
        <w:numPr>
          <w:ilvl w:val="0"/>
          <w:numId w:val="1002"/>
        </w:numPr>
      </w:pPr>
      <w:r>
        <w:rPr>
          <w:bCs/>
          <w:b/>
        </w:rPr>
        <w:t xml:space="preserve">Nếu lá đơn gồm nhiều loại nội dung, hoặc chỉ một phần là tố cáo:</w:t>
      </w:r>
      <w:r>
        <w:t xml:space="preserve"> </w:t>
      </w:r>
      <w:r>
        <w:t xml:space="preserve">cần xác định chính xác hồ sơ được chuyển theo Công văn 1436 — văn bản nào, bao nhiêu trang, kèm tài liệu gì — nội dung nào được xử lý theo Luật Tố cáo, nội dung nào theo Thông tư 05, và thời hạn tương ứng với từng nội dung.</w:t>
      </w:r>
    </w:p>
    <w:p>
      <w:pPr>
        <w:pStyle w:val="FirstParagraph"/>
      </w:pPr>
      <w:r>
        <w:t xml:space="preserve">Kính đề nghị cho biết cách xác định đúng, và thời hạn, hệ quả tương ứng với từng nội dung được xử lý theo quy định nào.</w:t>
      </w:r>
    </w:p>
    <w:p>
      <w:pPr>
        <w:pStyle w:val="BodyText"/>
      </w:pPr>
      <w:r>
        <w:rPr>
          <w:bCs/>
          <w:b/>
        </w:rPr>
        <w:t xml:space="preserve">Tình huống 4 — Nghĩa vụ thông báo việc chuyển đơn, và quyền được cấp bản sao văn bản chuyển đơn (C.7).</w:t>
      </w:r>
    </w:p>
    <w:p>
      <w:pPr>
        <w:pStyle w:val="BodyText"/>
      </w:pPr>
      <w:r>
        <w:t xml:space="preserve">Tôi chưa từng nhận được văn bản thông báo việc chuyển đơn theo Công văn 1436, và chưa từng được cấp bản sao Công văn 1436. Đơn ngày 06/10/2026 của tôi đề nghị cả hai việc ấy; Công văn 3292 không trả lời. Kính đề nghị cho biết: theo khoản 2 Điều 24 Luật Tố cáo (chuyển trong 05 ngày làm việc và thông báo cho người tố cáo) và khoản 2 Điều 20 Thông tư 05 (chuyển đơn kiến nghị, phản ánh và thông báo cho người gửi đơn), cơ quan chuyển đơn có nghĩa vụ thông báo cho người gửi đơn hay không, trong thời hạn nào; và người gửi đơn có quyền được cấp bản sao văn bản chuyển đơn của chính mình hay không.</w:t>
      </w:r>
    </w:p>
    <w:p>
      <w:pPr>
        <w:pStyle w:val="BodyText"/>
      </w:pPr>
      <w:r>
        <w:rPr>
          <w:bCs/>
          <w:b/>
        </w:rPr>
        <w:t xml:space="preserve">Tình huống 5 — Trách nhiệm</w:t>
      </w:r>
      <w:r>
        <w:rPr>
          <w:bCs/>
          <w:b/>
        </w:rPr>
        <w:t xml:space="preserve"> </w:t>
      </w:r>
      <w:r>
        <w:rPr>
          <w:bCs/>
          <w:b/>
        </w:rPr>
        <w:t xml:space="preserve">“</w:t>
      </w:r>
      <w:r>
        <w:rPr>
          <w:bCs/>
          <w:b/>
        </w:rPr>
        <w:t xml:space="preserve">giải quyết, trả lời</w:t>
      </w:r>
      <w:r>
        <w:rPr>
          <w:bCs/>
          <w:b/>
        </w:rPr>
        <w:t xml:space="preserve">”</w:t>
      </w:r>
      <w:r>
        <w:rPr>
          <w:bCs/>
          <w:b/>
        </w:rPr>
        <w:t xml:space="preserve"> </w:t>
      </w:r>
      <w:r>
        <w:rPr>
          <w:bCs/>
          <w:b/>
        </w:rPr>
        <w:t xml:space="preserve">khi chính cơ quan xác định đơn là đơn kiến nghị (C.1, C.2, C.4).</w:t>
      </w:r>
    </w:p>
    <w:p>
      <w:pPr>
        <w:pStyle w:val="BodyText"/>
      </w:pPr>
      <w:r>
        <w:t xml:space="preserve">Công văn 3292 có trích yếu</w:t>
      </w:r>
      <w:r>
        <w:t xml:space="preserve"> </w:t>
      </w:r>
      <w:r>
        <w:rPr>
          <w:iCs/>
          <w:i/>
        </w:rPr>
        <w:t xml:space="preserve">“</w:t>
      </w:r>
      <w:r>
        <w:rPr>
          <w:iCs/>
          <w:i/>
        </w:rPr>
        <w:t xml:space="preserve">V/v trả lời đơn kiến nghị của công dân</w:t>
      </w:r>
      <w:r>
        <w:rPr>
          <w:iCs/>
          <w:i/>
        </w:rPr>
        <w:t xml:space="preserve">”</w:t>
      </w:r>
      <w:r>
        <w:t xml:space="preserve"> </w:t>
      </w:r>
      <w:r>
        <w:t xml:space="preserve">— tức Thanh tra tỉnh tự xác định đơn ngày 06/10/2026 của tôi là đơn kiến nghị. Khoản 1 Điều 20 Thông tư 05 quy định:</w:t>
      </w:r>
      <w:r>
        <w:t xml:space="preserve"> </w:t>
      </w:r>
      <w:r>
        <w:rPr>
          <w:iCs/>
          <w:i/>
        </w:rPr>
        <w:t xml:space="preserve">“</w:t>
      </w:r>
      <w:r>
        <w:rPr>
          <w:iCs/>
          <w:i/>
        </w:rPr>
        <w:t xml:space="preserve">Đơn kiến nghị, phản ánh về những nội dung thuộc trách nhiệm quản lý của cơ quan, tổ chức, đơn vị mình thì người xử lý đơn báo cáo, đề xuất người đứng đầu giải quyết, trả lời theo quy định của pháp luật.</w:t>
      </w:r>
      <w:r>
        <w:rPr>
          <w:iCs/>
          <w:i/>
        </w:rPr>
        <w:t xml:space="preserve">”</w:t>
      </w:r>
    </w:p>
    <w:p>
      <w:pPr>
        <w:pStyle w:val="BodyText"/>
      </w:pPr>
      <w:r>
        <w:t xml:space="preserve">Đơn ngày 06/10/2026 là đơn tôi lập đúng theo hướng dẫn của Phiếu 2960: phần khiếu nại tôi đã tách ra gửi Chủ tịch Ủy ban nhân dân phường; phần còn lại gồm ba nội dung đề nghị, nội dung thứ nhất có bốn câu hỏi — tổng cộng sáu nội dung, tất cả về văn bản do chính Thanh tra tỉnh ban hành hoặc văn bản gửi Thanh tra tỉnh để báo cáo. Kết quả đối chiếu:</w:t>
      </w:r>
      <w:r>
        <w:t xml:space="preserve"> </w:t>
      </w:r>
      <w:r>
        <w:rPr>
          <w:bCs/>
          <w:b/>
        </w:rPr>
        <w:t xml:space="preserve">0 nội dung được trả lời đủ, 02 được trả lời một phần, 04 không được trả lời</w:t>
      </w:r>
      <w:r>
        <w:t xml:space="preserve">; nội dung đề nghị thứ ba — về Thông báo 5553 và việc theo dõi thụ lý Đơn khiếu nại — không được nhắc ở dòng nào. Khi thuật lại Phiếu chuyển 2329 và Văn bản 2644, Công văn 3292 bỏ đúng cụm</w:t>
      </w:r>
      <w:r>
        <w:t xml:space="preserve"> </w:t>
      </w:r>
      <w:r>
        <w:rPr>
          <w:iCs/>
          <w:i/>
        </w:rPr>
        <w:t xml:space="preserve">“</w:t>
      </w:r>
      <w:r>
        <w:rPr>
          <w:iCs/>
          <w:i/>
        </w:rPr>
        <w:t xml:space="preserve">và thông báo kết quả đến Thanh tra tỉnh</w:t>
      </w:r>
      <w:r>
        <w:rPr>
          <w:iCs/>
          <w:i/>
        </w:rPr>
        <w:t xml:space="preserve">”</w:t>
      </w:r>
      <w:r>
        <w:t xml:space="preserve"> </w:t>
      </w:r>
      <w:r>
        <w:t xml:space="preserve">— phần mà đơn đề nghị đôn đốc. Công văn 3292 cũng không chuyển nội dung nào đi nơi khác, không hướng dẫn nội dung nào, dù đơn đã ghi sẵn: nội dung nào không thuộc thẩm quyền, xin cho biết nơi gửi.</w:t>
      </w:r>
    </w:p>
    <w:p>
      <w:pPr>
        <w:pStyle w:val="BodyText"/>
      </w:pPr>
      <w:r>
        <w:t xml:space="preserve">Kính đề nghị cho biết: khi cơ quan tự xác định đơn là đơn kiến nghị về nội dung thuộc trách nhiệm quản lý của mình, việc ban hành một văn bản không đề cập bốn trong sáu nội dung có được coi là đã</w:t>
      </w:r>
      <w:r>
        <w:t xml:space="preserve"> </w:t>
      </w:r>
      <w:r>
        <w:rPr>
          <w:iCs/>
          <w:i/>
        </w:rPr>
        <w:t xml:space="preserve">“</w:t>
      </w:r>
      <w:r>
        <w:rPr>
          <w:iCs/>
          <w:i/>
        </w:rPr>
        <w:t xml:space="preserve">giải quyết, trả lời</w:t>
      </w:r>
      <w:r>
        <w:rPr>
          <w:iCs/>
          <w:i/>
        </w:rPr>
        <w:t xml:space="preserve">”</w:t>
      </w:r>
      <w:r>
        <w:t xml:space="preserve"> </w:t>
      </w:r>
      <w:r>
        <w:t xml:space="preserve">hay chưa; và nếu cơ quan cho rằng có nội dung không thuộc trách nhiệm của mình, thì khoản 2 Điều 20 và Điều 21 có bắt buộc để lại văn bản chuyển hoặc hướng dẫn cho người gửi đơn hay không.</w:t>
      </w:r>
    </w:p>
    <w:p>
      <w:pPr>
        <w:pStyle w:val="BodyText"/>
      </w:pPr>
      <w:r>
        <w:rPr>
          <w:bCs/>
          <w:b/>
        </w:rPr>
        <w:t xml:space="preserve">Năm tình huống trên có thể kiểm tra trước hết bằng quy phạm và hồ sơ đang lưu tại cơ quan:</w:t>
      </w:r>
      <w:r>
        <w:t xml:space="preserve"> </w:t>
      </w:r>
      <w:r>
        <w:t xml:space="preserve">bản gốc đơn Thanh tra tỉnh nhận lúc 09 giờ 26 ngày 20/5/2026, bản lưu Công văn 1436 và tài liệu chuyển kèm, bản Thông báo 5553 do Ủy ban nhân dân phường gửi lên để báo cáo, sổ văn bản đến và sổ văn bản đi của chính cơ quan. Một số việc, như đã gửi thông báo cho người gửi đơn hay chưa, vẫn cần được xác minh.</w:t>
      </w:r>
    </w:p>
    <w:bookmarkEnd w:id="22"/>
    <w:bookmarkStart w:id="23" w:name="X267d2f5d78d0d33c234c4cd0e966210680b6b9d"/>
    <w:p>
      <w:pPr>
        <w:pStyle w:val="Heading3"/>
      </w:pPr>
      <w:r>
        <w:t xml:space="preserve">III.2. Kiến nghị kiểm tra việc thực hiện pháp luật về xử lý đơn, giải quyết khiếu nại, tố cáo đối với hồ sơ này tại tỉnh Lâm Đồng và tại Bộ Giáo dục và Đào tạo</w:t>
      </w:r>
    </w:p>
    <w:p>
      <w:pPr>
        <w:pStyle w:val="FirstParagraph"/>
      </w:pPr>
      <w:r>
        <w:t xml:space="preserve">Tôi đề nghị kiểm tra bảy việc có mốc ngày tháng rõ ràng, mỗi việc đều có chứng từ:</w:t>
      </w:r>
    </w:p>
    <w:p>
      <w:pPr>
        <w:pStyle w:val="BodyText"/>
      </w:pPr>
      <w:r>
        <w:rPr>
          <w:bCs/>
          <w:b/>
        </w:rPr>
        <w:t xml:space="preserve">Việc 1 — Một hồ sơ tố cáo sau 111 ngày, tôi chưa nhận được văn bản nào.</w:t>
      </w:r>
      <w:r>
        <w:t xml:space="preserve"> </w:t>
      </w:r>
      <w:r>
        <w:t xml:space="preserve">Ngày 09/7/2026 lúc 08 giờ 39, Ủy ban nhân dân phường Phan Thiết nhận Hồ sơ tố cáo đề ngày 07/7/2026 của tôi, gửi đích danh Chủ tịch Ủy ban nhân dân phường, kèm thẻ nhớ USB dữ liệu (bưu gửi Viettel Post VTP1824030477775, có báo phát). Ngày 19/7/2026, tôi nộp bổ sung một phụ lục vào chính hồ sơ ấy (bưu gửi ES807632468VN) — tài liệu bổ sung, không làm phát sinh yêu cầu mới. Hạn xử lý ban đầu theo khoản 1 Điều 24 Luật Tố cáo là 20/7/2026, chậm nhất 23/7/2026. Đến ngày 28/10/2026 —</w:t>
      </w:r>
      <w:r>
        <w:t xml:space="preserve"> </w:t>
      </w:r>
      <w:r>
        <w:rPr>
          <w:bCs/>
          <w:b/>
        </w:rPr>
        <w:t xml:space="preserve">111 ngày</w:t>
      </w:r>
      <w:r>
        <w:t xml:space="preserve"> </w:t>
      </w:r>
      <w:r>
        <w:t xml:space="preserve">sau khi nhận — tôi chưa nhận được văn bản nào: không thông báo thụ lý, không văn bản không thụ lý nêu lý do, không văn bản chuyển đơn. Ngày 04/9/2026 tôi được giải thích bằng lời rằng không thụ lý vì trùng nội dung; lý do ấy không có trong văn bản nào tôi nhận được, cũng không có trong các điều kiện tại khoản 1 Điều 29 Luật Tố cáo. Hồ sơ có đề nghị áp dụng biện pháp bảo vệ người tố cáo và người thân thích theo Điều 47 Luật Tố cáo đối với vợ và con tôi; phần ấy tôi cũng chưa nhận được văn bản nào.</w:t>
      </w:r>
    </w:p>
    <w:p>
      <w:pPr>
        <w:pStyle w:val="BodyText"/>
      </w:pPr>
      <w:r>
        <w:t xml:space="preserve">Thanh tra tỉnh đã hai lần có văn bản về hồ sơ này: Phiếu chuyển số 2329/TTr-TCDKNTC ngày 03/8/2026, yêu cầu Ủy ban nhân dân phường</w:t>
      </w:r>
      <w:r>
        <w:t xml:space="preserve"> </w:t>
      </w:r>
      <w:r>
        <w:rPr>
          <w:iCs/>
          <w:i/>
        </w:rPr>
        <w:t xml:space="preserve">“</w:t>
      </w:r>
      <w:r>
        <w:rPr>
          <w:iCs/>
          <w:i/>
        </w:rPr>
        <w:t xml:space="preserve">xem xét xử lý, giải quyết theo quy định của pháp luật và thông báo kết quả đến Thanh tra tỉnh</w:t>
      </w:r>
      <w:r>
        <w:rPr>
          <w:iCs/>
          <w:i/>
        </w:rPr>
        <w:t xml:space="preserve">”</w:t>
      </w:r>
      <w:r>
        <w:t xml:space="preserve">; và Văn bản số 2644/TTr-TCDKNTC ngày 27/8/2026, đề nghị phường</w:t>
      </w:r>
      <w:r>
        <w:t xml:space="preserve"> </w:t>
      </w:r>
      <w:r>
        <w:rPr>
          <w:iCs/>
          <w:i/>
        </w:rPr>
        <w:t xml:space="preserve">“</w:t>
      </w:r>
      <w:r>
        <w:rPr>
          <w:iCs/>
          <w:i/>
        </w:rPr>
        <w:t xml:space="preserve">khẩn trương</w:t>
      </w:r>
      <w:r>
        <w:rPr>
          <w:iCs/>
          <w:i/>
        </w:rPr>
        <w:t xml:space="preserve">”</w:t>
      </w:r>
      <w:r>
        <w:t xml:space="preserve"> </w:t>
      </w:r>
      <w:r>
        <w:t xml:space="preserve">thực hiện. Khi tôi đề nghị cho biết yêu cầu ấy đã được thực hiện hay chưa, Công văn 3292 không đề cập hồ sơ này ở dòng nào.</w:t>
      </w:r>
    </w:p>
    <w:p>
      <w:pPr>
        <w:pStyle w:val="BodyText"/>
      </w:pPr>
      <w:r>
        <w:rPr>
          <w:bCs/>
          <w:b/>
        </w:rPr>
        <w:t xml:space="preserve">Việc 2 — Đơn bổ sung tài liệu, chứng cứ nộp theo lời mời của chính Ủy ban nhân dân phường, tôi chưa nhận được văn bản nào.</w:t>
      </w:r>
      <w:r>
        <w:t xml:space="preserve"> </w:t>
      </w:r>
      <w:r>
        <w:t xml:space="preserve">Công văn 6689 ngày 21/9/2026 mời tôi bổ sung tài liệu, chứng cứ và hẹn</w:t>
      </w:r>
      <w:r>
        <w:t xml:space="preserve"> </w:t>
      </w:r>
      <w:r>
        <w:rPr>
          <w:iCs/>
          <w:i/>
        </w:rPr>
        <w:t xml:space="preserve">“</w:t>
      </w:r>
      <w:r>
        <w:rPr>
          <w:iCs/>
          <w:i/>
        </w:rPr>
        <w:t xml:space="preserve">tiếp nhận, xem xét, xử lý theo quy định</w:t>
      </w:r>
      <w:r>
        <w:rPr>
          <w:iCs/>
          <w:i/>
        </w:rPr>
        <w:t xml:space="preserve">”</w:t>
      </w:r>
      <w:r>
        <w:t xml:space="preserve">. Ngày 23/9/2026 lúc 17 giờ, tôi nộp Đơn bổ sung tài liệu, chứng cứ tại Văn phòng HĐND và UBND phường, có giấy tiếp nhận. Đến ngày 28/10/2026 —</w:t>
      </w:r>
      <w:r>
        <w:t xml:space="preserve"> </w:t>
      </w:r>
      <w:r>
        <w:rPr>
          <w:bCs/>
          <w:b/>
        </w:rPr>
        <w:t xml:space="preserve">35 ngày</w:t>
      </w:r>
      <w:r>
        <w:t xml:space="preserve"> </w:t>
      </w:r>
      <w:r>
        <w:t xml:space="preserve">sau — tôi chưa nhận được văn bản nào.</w:t>
      </w:r>
    </w:p>
    <w:p>
      <w:pPr>
        <w:pStyle w:val="BodyText"/>
      </w:pPr>
      <w:r>
        <w:rPr>
          <w:bCs/>
          <w:b/>
        </w:rPr>
        <w:t xml:space="preserve">Việc 3 — Một đơn khiếu nại đã qua mốc 07 ngày làm việc, tôi chưa nhận được cả văn bản không thụ lý.</w:t>
      </w:r>
      <w:r>
        <w:t xml:space="preserve"> </w:t>
      </w:r>
      <w:r>
        <w:t xml:space="preserve">Ngày 06/10/2026 lúc 17 giờ, Ủy ban nhân dân phường nhận Đơn khiếu nại lần đầu của tôi đối với các kết luận tại Mục 1, 2, 3 của Thông báo 5553, có giấy tiếp nhận. Theo Điều 27 Luật Khiếu nại (sửa đổi bởi Luật số 136/2025/QH15, hiệu lực từ 01/7/2026), khiếu nại thuộc thẩm quyền và đủ điều kiện thì phải được thụ lý và thông báo trong 07 ngày làm việc — mốc 15/10/2026; trường hợp không thụ lý thì phải nêu rõ lý do. Đến ngày 28/10/2026, sau mốc ấy</w:t>
      </w:r>
      <w:r>
        <w:t xml:space="preserve"> </w:t>
      </w:r>
      <w:r>
        <w:rPr>
          <w:bCs/>
          <w:b/>
        </w:rPr>
        <w:t xml:space="preserve">09 ngày làm việc</w:t>
      </w:r>
      <w:r>
        <w:t xml:space="preserve">, tôi chưa nhận được văn bản nào, kể cả văn bản cho biết đơn không thuộc thẩm quyền hay không đủ điều kiện thụ lý. Kính đề nghị kiểm tra cả việc phân loại lá đơn ấy và lý do chưa thông báo. Thanh tra tỉnh nhận đơn đề nghị theo dõi, đôn đốc việc thụ lý này ngày 12/10/2026; Công văn 3292 ký ngày 19/10/2026 không có dòng nào về việc này.</w:t>
      </w:r>
    </w:p>
    <w:p>
      <w:pPr>
        <w:pStyle w:val="BodyText"/>
      </w:pPr>
      <w:r>
        <w:rPr>
          <w:bCs/>
          <w:b/>
        </w:rPr>
        <w:t xml:space="preserve">Việc 4 — Đơn tố cáo gửi Chủ tịch Ủy ban nhân dân tỉnh Lâm Đồng, đã qua mốc xử lý ban đầu, tôi chưa nhận được văn bản nào.</w:t>
      </w:r>
      <w:r>
        <w:t xml:space="preserve"> </w:t>
      </w:r>
      <w:r>
        <w:t xml:space="preserve">Báo phát ngày 17/9/2026; đến ngày 28/10/2026 —</w:t>
      </w:r>
      <w:r>
        <w:t xml:space="preserve"> </w:t>
      </w:r>
      <w:r>
        <w:rPr>
          <w:bCs/>
          <w:b/>
        </w:rPr>
        <w:t xml:space="preserve">41 ngày</w:t>
      </w:r>
      <w:r>
        <w:t xml:space="preserve">, sau mốc cuối</w:t>
      </w:r>
      <w:r>
        <w:t xml:space="preserve"> </w:t>
      </w:r>
      <w:r>
        <w:rPr>
          <w:bCs/>
          <w:b/>
        </w:rPr>
        <w:t xml:space="preserve">27 ngày</w:t>
      </w:r>
      <w:r>
        <w:t xml:space="preserve"> </w:t>
      </w:r>
      <w:r>
        <w:t xml:space="preserve">(chi tiết tại mục II). Vụ việc cũng đã được báo cáo lên Chủ tịch Ủy ban nhân dân tỉnh từ ngày 14/7/2026 (báo cáo công dân, bưu gửi ES807558135VN, không đề nghị trả lời).</w:t>
      </w:r>
    </w:p>
    <w:p>
      <w:pPr>
        <w:pStyle w:val="BodyText"/>
      </w:pPr>
      <w:r>
        <w:rPr>
          <w:bCs/>
          <w:b/>
        </w:rPr>
        <w:t xml:space="preserve">Việc 5 — Hai đơn Sở Giáo dục và Đào tạo nhận từ tháng 5/2026, tôi chưa nhận được thông báo xử lý đối với từng đơn.</w:t>
      </w:r>
      <w:r>
        <w:t xml:space="preserve"> </w:t>
      </w:r>
      <w:r>
        <w:t xml:space="preserve">Ngày 16/5/2026 lúc 11 giờ 40, Sở nhận hai đơn của tôi, hai bưu gửi riêng, đều có báo phát, không bưu gửi nào bị trả lại: đơn tố cáo, ghi gửi Chánh Thanh tra Sở (ES805564955VN); và đơn đề nghị thẩm định chuyên môn khẩn cấp, tổ chức tiết đính chính kiến thức, gửi Giám đốc Sở (ES805564941VN). Với đơn tố cáo, dù cơ quan nhận tự xử lý hay chuyển đơn, mốc chậm nhất theo Điều 24 Luật Tố cáo là 29/5/2026 — đến ngày 28/10/2026 đã qua</w:t>
      </w:r>
      <w:r>
        <w:t xml:space="preserve"> </w:t>
      </w:r>
      <w:r>
        <w:rPr>
          <w:bCs/>
          <w:b/>
        </w:rPr>
        <w:t xml:space="preserve">152 ngày</w:t>
      </w:r>
      <w:r>
        <w:t xml:space="preserve">; tôi chưa nhận được thông báo thụ lý, không thụ lý hay chuyển đơn đối với đơn nào, cũng chưa có kết quả thẩm định. Theo Công văn 6689 của Ủy ban nhân dân phường, Sở đã chuyển một đơn của tôi về phường bằng Phiếu chuyển số 2707/SGDĐT-VP ngày 08/6/2026,</w:t>
      </w:r>
      <w:r>
        <w:t xml:space="preserve"> </w:t>
      </w:r>
      <w:r>
        <w:rPr>
          <w:iCs/>
          <w:i/>
        </w:rPr>
        <w:t xml:space="preserve">“</w:t>
      </w:r>
      <w:r>
        <w:rPr>
          <w:iCs/>
          <w:i/>
        </w:rPr>
        <w:t xml:space="preserve">để xem xét, xử lý theo thẩm quyền đối với các nội dung phản ánh, kiến nghị</w:t>
      </w:r>
      <w:r>
        <w:rPr>
          <w:iCs/>
          <w:i/>
        </w:rPr>
        <w:t xml:space="preserve">”</w:t>
      </w:r>
      <w:r>
        <w:t xml:space="preserve">. Phiếu ấy gửi phường, không gửi tôi; tôi không nhận được thông báo nào của Sở về việc chuyển đơn, chỉ biết đến phiếu khi đọc Công văn 6689 ngày 21/9/2026, và đến nay chưa được biết phiếu chuyển đơn nào, kèm tài liệu gì. Ngày 05/10/2026, Sở nhận thêm một đơn đề nghị của tôi gửi Giám đốc Sở (TOM153621923737), hỏi đúng điều này —</w:t>
      </w:r>
      <w:r>
        <w:t xml:space="preserve"> </w:t>
      </w:r>
      <w:r>
        <w:rPr>
          <w:bCs/>
          <w:b/>
        </w:rPr>
        <w:t xml:space="preserve">23 ngày</w:t>
      </w:r>
      <w:r>
        <w:t xml:space="preserve">, tôi chưa nhận được văn bản.</w:t>
      </w:r>
    </w:p>
    <w:p>
      <w:pPr>
        <w:pStyle w:val="BodyText"/>
      </w:pPr>
      <w:r>
        <w:rPr>
          <w:bCs/>
          <w:b/>
        </w:rPr>
        <w:t xml:space="preserve">Việc 6 — Đơn kiến nghị gửi Bộ Giáo dục và Đào tạo, tôi chưa nhận được văn bản nào.</w:t>
      </w:r>
      <w:r>
        <w:t xml:space="preserve"> </w:t>
      </w:r>
      <w:r>
        <w:t xml:space="preserve">Ngày 21/8/2026, tôi gửi Bộ Giáo dục và Đào tạo đơn kiến nghị về nội dung chuyên môn của tiết dạy (bưu gửi ES805344322VN, có phiếu báo phát EX139130389VN). Đến ngày 28/10/2026 —</w:t>
      </w:r>
      <w:r>
        <w:t xml:space="preserve"> </w:t>
      </w:r>
      <w:r>
        <w:rPr>
          <w:bCs/>
          <w:b/>
        </w:rPr>
        <w:t xml:space="preserve">68 ngày</w:t>
      </w:r>
      <w:r>
        <w:t xml:space="preserve"> </w:t>
      </w:r>
      <w:r>
        <w:t xml:space="preserve">sau ngày gửi — tôi chưa nhận được văn bản nào, kể cả văn bản chuyển đơn.</w:t>
      </w:r>
    </w:p>
    <w:p>
      <w:pPr>
        <w:pStyle w:val="BodyText"/>
      </w:pPr>
      <w:r>
        <w:rPr>
          <w:bCs/>
          <w:b/>
        </w:rPr>
        <w:t xml:space="preserve">Việc 7 — Các câu hỏi chỉ Thanh tra tỉnh trả lời được đã đi qua hai lá đơn và hai văn bản mà chưa được trả lời.</w:t>
      </w:r>
      <w:r>
        <w:t xml:space="preserve"> </w:t>
      </w:r>
      <w:r>
        <w:t xml:space="preserve">Câu hỏi</w:t>
      </w:r>
      <w:r>
        <w:t xml:space="preserve"> </w:t>
      </w:r>
      <w:r>
        <w:rPr>
          <w:iCs/>
          <w:i/>
        </w:rPr>
        <w:t xml:space="preserve">“</w:t>
      </w:r>
      <w:r>
        <w:rPr>
          <w:iCs/>
          <w:i/>
        </w:rPr>
        <w:t xml:space="preserve">trong hồ sơ của Thanh tra tỉnh có văn bản nào của tôi đề ngày 18/5/2026 hay không</w:t>
      </w:r>
      <w:r>
        <w:rPr>
          <w:iCs/>
          <w:i/>
        </w:rPr>
        <w:t xml:space="preserve">”</w:t>
      </w:r>
      <w:r>
        <w:t xml:space="preserve"> </w:t>
      </w:r>
      <w:r>
        <w:t xml:space="preserve">— câu hỏi có hoặc không, trả lời được bằng một phép mở hồ sơ lưu — tôi hỏi trong đơn ngày 14/9/2026 (đơn bị trả lại cùng Phiếu 2960) và hỏi lại trong đơn ngày 06/10/2026 (Công văn 3292 không trả lời). Cùng số phận có các câu hỏi về văn bản được chuyển kèm Công văn 1436, về căn cứ phân loại, về trạng thái yêu cầu báo kết quả tại Phiếu chuyển 2329 và Văn bản 2644. Ngày 18/5/2026 là ngày bưu cục chấp nhận bưu gửi; lá đơn Thanh tra tỉnh nhận ngày 20/5/2026 đề ngày 16/5/2026; vậy mà cụm</w:t>
      </w:r>
      <w:r>
        <w:t xml:space="preserve"> </w:t>
      </w:r>
      <w:r>
        <w:rPr>
          <w:iCs/>
          <w:i/>
        </w:rPr>
        <w:t xml:space="preserve">“</w:t>
      </w:r>
      <w:r>
        <w:rPr>
          <w:iCs/>
          <w:i/>
        </w:rPr>
        <w:t xml:space="preserve">đơn ghi ngày 18/5/2026</w:t>
      </w:r>
      <w:r>
        <w:rPr>
          <w:iCs/>
          <w:i/>
        </w:rPr>
        <w:t xml:space="preserve">”</w:t>
      </w:r>
      <w:r>
        <w:t xml:space="preserve"> </w:t>
      </w:r>
      <w:r>
        <w:t xml:space="preserve">— cụm của Thông báo 5553 — được nhắc lại trong chính Công văn 3292. Bảng theo dõi từng câu hỏi ở Tài liệu số 1, mục N.2.</w:t>
      </w:r>
    </w:p>
    <w:bookmarkEnd w:id="23"/>
    <w:bookmarkStart w:id="24" w:name="iii.3.-đề-nghị"/>
    <w:p>
      <w:pPr>
        <w:pStyle w:val="Heading3"/>
      </w:pPr>
      <w:r>
        <w:t xml:space="preserve">III.3. Đề nghị</w:t>
      </w:r>
    </w:p>
    <w:p>
      <w:pPr>
        <w:pStyle w:val="Compact"/>
        <w:numPr>
          <w:ilvl w:val="0"/>
          <w:numId w:val="1003"/>
        </w:numPr>
      </w:pPr>
      <w:r>
        <w:t xml:space="preserve">Kiểm tra việc xử lý đơn tại Thanh tra tỉnh Lâm Đồng qua Phiếu hướng dẫn số 2960/HD-TTr và Công văn số 3292/TTr-PKNTC.1; yêu cầu Thanh tra tỉnh trả lời đủ các đề nghị tại mục 8 của Tài liệu số 1 — theo từng mục, có hoặc không, kèm tên tài liệu làm căn cứ — và báo cáo kết quả về Thanh tra Chính phủ.</w:t>
      </w:r>
    </w:p>
    <w:p>
      <w:pPr>
        <w:pStyle w:val="Compact"/>
        <w:numPr>
          <w:ilvl w:val="0"/>
          <w:numId w:val="1003"/>
        </w:numPr>
      </w:pPr>
      <w:r>
        <w:t xml:space="preserve">Yêu cầu Chủ tịch Ủy ban nhân dân tỉnh Lâm Đồng báo cáo tình trạng xử lý Đơn tố cáo ngày 14/9/2026, cung cấp văn bản xử lý và chứng từ thông báo cho người tố cáo; làm rõ nguyên nhân chậm xử lý hoặc chậm thông báo, nếu có.</w:t>
      </w:r>
    </w:p>
    <w:p>
      <w:pPr>
        <w:pStyle w:val="Compact"/>
        <w:numPr>
          <w:ilvl w:val="0"/>
          <w:numId w:val="1003"/>
        </w:numPr>
      </w:pPr>
      <w:r>
        <w:t xml:space="preserve">Theo dõi, đôn đốc đến kết quả việc giải quyết các đơn, hồ sơ sau, mà tôi chưa nhận được văn bản trả lời: tại Ủy ban nhân dân phường Phan Thiết — Hồ sơ tố cáo nhận ngày 09/7/2026, Đơn bổ sung tài liệu, chứng cứ nhận ngày 23/9/2026 và Đơn khiếu nại nhận ngày 06/10/2026 (Việc 1, 2, 3); tại Sở Giáo dục và Đào tạo — hai đơn nhận ngày 16/5/2026 và đơn nhận ngày 05/10/2026 (Việc 5); hai nơi này thông qua Chủ tịch Ủy ban nhân dân tỉnh Lâm Đồng; tại Bộ Giáo dục và Đào tạo — Đơn kiến nghị gửi ngày 21/8/2026 (Việc 6). Yêu cầu các nơi ấy báo cáo kết quả. Khi kiểm tra, thu thập hai văn bản tôi chưa được cấp: Công văn số 1436/TTr-TCDKNTC ngày 22/5/2026 và Phiếu chuyển số 2707/SGDĐT-VP ngày 08/6/2026, cùng tài liệu chuyển kèm. Đơn gửi Đoàn đại biểu Quốc hội tỉnh và kiến nghị gửi Ủy ban Kiểm tra Tỉnh ủy thuộc kênh giám sát khác, nên tôi không đề nghị ở đây.</w:t>
      </w:r>
    </w:p>
    <w:p>
      <w:pPr>
        <w:pStyle w:val="Compact"/>
        <w:numPr>
          <w:ilvl w:val="0"/>
          <w:numId w:val="1003"/>
        </w:numPr>
      </w:pPr>
      <w:r>
        <w:t xml:space="preserve">Trả lời bằng văn bản, hướng dẫn việc áp dụng Thông tư số 05/2021/TT-TTCP trong năm tình huống tại mục III.1.</w:t>
      </w:r>
    </w:p>
    <w:p>
      <w:pPr>
        <w:pStyle w:val="Compact"/>
        <w:numPr>
          <w:ilvl w:val="0"/>
          <w:numId w:val="1003"/>
        </w:numPr>
      </w:pPr>
      <w:r>
        <w:t xml:space="preserve">Trường hợp có nội dung không thuộc thẩm quyền của Thanh tra Chính phủ: chuyển đơn và thông báo cho tôi theo khoản 2 Điều 20 Thông tư 05, ghi rõ nơi nhận, số và ngày văn bản chuyển, kèm yêu cầu nơi nhận báo cáo kết quả; hoặc hướng dẫn tôi bằng phiếu ghi rõ từng nội dung và nơi gửi — tôi sẽ làm đúng, như đã làm với Phiếu hướng dẫn 2960: trong 08 ngày, tôi đã tách và nộp lại hai đơn riêng. Kính đề nghị không chuyển đơn về chính các cơ quan mà đơn này kiến nghị kiểm tra mà không kèm yêu cầu báo cáo kết quả.</w:t>
      </w:r>
    </w:p>
    <w:p>
      <w:pPr>
        <w:pStyle w:val="Compact"/>
        <w:numPr>
          <w:ilvl w:val="0"/>
          <w:numId w:val="1003"/>
        </w:numPr>
      </w:pPr>
      <w:r>
        <w:t xml:space="preserve">Theo dõi kết quả thực hiện các đề nghị trên và thông báo kết quả xử lý đơn cho tôi bằng văn bản, về địa chỉ tại mục I.</w:t>
      </w:r>
    </w:p>
    <w:bookmarkEnd w:id="24"/>
    <w:bookmarkEnd w:id="25"/>
    <w:bookmarkStart w:id="26" w:name="Xc4821f21a4a8afa8ad1bc33f01cdabd2c112139"/>
    <w:p>
      <w:pPr>
        <w:pStyle w:val="Heading2"/>
      </w:pPr>
      <w:r>
        <w:t xml:space="preserve">IV. Vì sao tôi gửi đơn này tới Thanh tra Chính phủ</w:t>
      </w:r>
    </w:p>
    <w:p>
      <w:pPr>
        <w:pStyle w:val="FirstParagraph"/>
      </w:pPr>
      <w:r>
        <w:t xml:space="preserve">Tôi trình bày phần này để đơn được xử lý đúng chỗ.</w:t>
      </w:r>
    </w:p>
    <w:p>
      <w:pPr>
        <w:pStyle w:val="BodyText"/>
      </w:pPr>
      <w:r>
        <w:rPr>
          <w:bCs/>
          <w:b/>
        </w:rPr>
        <w:t xml:space="preserve">Một.</w:t>
      </w:r>
      <w:r>
        <w:t xml:space="preserve"> </w:t>
      </w:r>
      <w:r>
        <w:t xml:space="preserve">Nội dung kiến nghị tại mục III.1 là việc áp dụng một thông tư do chính Tổng Thanh tra Chính phủ ban hành; tôi đề nghị cơ quan ban hành thông tư hướng dẫn thống nhất cách áp dụng trong năm tình huống ấy.</w:t>
      </w:r>
    </w:p>
    <w:p>
      <w:pPr>
        <w:pStyle w:val="BodyText"/>
      </w:pPr>
      <w:r>
        <w:rPr>
          <w:bCs/>
          <w:b/>
        </w:rPr>
        <w:t xml:space="preserve">Hai.</w:t>
      </w:r>
      <w:r>
        <w:t xml:space="preserve"> </w:t>
      </w:r>
      <w:r>
        <w:t xml:space="preserve">Thanh tra Chính phủ là cơ quan thực hiện chức năng quản lý nhà nước về công tác tiếp công dân, giải quyết khiếu nại, tố cáo trong phạm vi cả nước (Nghị định số 109/2025/NĐ-CP). Chương IV Thông tư 05 quy định việc quản lý, theo dõi, kiểm tra, đôn đốc việc giải quyết đơn (Điều 29, Điều 30). Nội dung kiến nghị tại mục III.2 là việc thực hiện pháp luật ở các cơ quan cấp tỉnh và tại Bộ Giáo dục và Đào tạo, cùng việc theo dõi đến kết quả — đúng phạm vi ấy.</w:t>
      </w:r>
    </w:p>
    <w:p>
      <w:pPr>
        <w:pStyle w:val="BodyText"/>
      </w:pPr>
      <w:r>
        <w:rPr>
          <w:bCs/>
          <w:b/>
        </w:rPr>
        <w:t xml:space="preserve">Ba.</w:t>
      </w:r>
      <w:r>
        <w:t xml:space="preserve"> </w:t>
      </w:r>
      <w:r>
        <w:t xml:space="preserve">Nếu đơn này được chuyển về tỉnh mà không kèm yêu cầu báo cáo, cơ quan được kiến nghị kiểm tra sẽ tự xem xét kiến nghị về mình. Tôi đã thử cả hai cửa trong tỉnh và có chứng từ cho cả hai: đơn tố cáo gửi Chủ tịch Ủy ban nhân dân tỉnh nhận ngày 17/9/2026, đến nay tôi chưa nhận được văn bản nào; hai đơn đề nghị gửi Chánh Thanh tra tỉnh nhận lại hai văn bản nêu tại mục III.1.</w:t>
      </w:r>
    </w:p>
    <w:p>
      <w:pPr>
        <w:pStyle w:val="BodyText"/>
      </w:pPr>
      <w:r>
        <w:rPr>
          <w:bCs/>
          <w:b/>
        </w:rPr>
        <w:t xml:space="preserve">Bốn.</w:t>
      </w:r>
      <w:r>
        <w:t xml:space="preserve"> </w:t>
      </w:r>
      <w:r>
        <w:t xml:space="preserve">Phạm vi đề nghị là phạm vi hẹp: không kết luận chuyên môn, không giải quyết lại khiếu nại, tố cáo nào; chỉ hướng dẫn áp dụng quy phạm, kiểm tra việc thực hiện pháp luật trên hồ sơ có đủ chứng từ, và theo dõi kết quả.</w:t>
      </w:r>
    </w:p>
    <w:bookmarkEnd w:id="26"/>
    <w:bookmarkStart w:id="27" w:name="v.-tài-liệu-kèm-theo"/>
    <w:p>
      <w:pPr>
        <w:pStyle w:val="Heading2"/>
        <w:keepNext/>
      </w:pPr>
      <w:r>
        <w:t xml:space="preserve">V. Tài liệu kèm theo</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716"/>
        <w:gridCol w:w="4655"/>
        <w:gridCol w:w="3700"/>
      </w:tblGrid>
      <w:tr>
        <w:trPr>
          <w:cantSplit/>
          <w:tblHeader w:val="true"/>
        </w:trPr>
        <w:tc>
          <w:tcPr>
            <w:tcW w:w="716" w:type="dxa"/>
            <w:shd w:val="clear" w:color="auto" w:fill="E7E6E6"/>
            <w:vAlign w:val="center"/>
          </w:tcPr>
          <w:p>
            <w:pPr>
              <w:pStyle w:val="Compact"/>
              <w:spacing w:before="20" w:after="20" w:line="252" w:lineRule="auto"/>
              <w:ind w:firstLine="0"/>
              <w:jc w:val="center"/>
            </w:pPr>
            <w:r>
              <w:rPr>
                <w:b/>
                <w:sz w:val="22"/>
              </w:rPr>
              <w:t xml:space="preserve">TT</w:t>
            </w:r>
          </w:p>
        </w:tc>
        <w:tc>
          <w:tcPr>
            <w:tcW w:w="4655" w:type="dxa"/>
            <w:shd w:val="clear" w:color="auto" w:fill="E7E6E6"/>
            <w:vAlign w:val="center"/>
          </w:tcPr>
          <w:p>
            <w:pPr>
              <w:pStyle w:val="Compact"/>
              <w:spacing w:before="20" w:after="20" w:line="252" w:lineRule="auto"/>
              <w:ind w:firstLine="0"/>
              <w:jc w:val="center"/>
            </w:pPr>
            <w:r>
              <w:rPr>
                <w:b/>
                <w:sz w:val="22"/>
              </w:rPr>
              <w:t xml:space="preserve">Tài liệu</w:t>
            </w:r>
          </w:p>
        </w:tc>
        <w:tc>
          <w:tcPr>
            <w:tcW w:w="3700" w:type="dxa"/>
            <w:shd w:val="clear" w:color="auto" w:fill="E7E6E6"/>
            <w:vAlign w:val="center"/>
          </w:tcPr>
          <w:p>
            <w:pPr>
              <w:pStyle w:val="Compact"/>
              <w:spacing w:before="20" w:after="20" w:line="252" w:lineRule="auto"/>
              <w:ind w:firstLine="0"/>
              <w:jc w:val="center"/>
            </w:pPr>
            <w:r>
              <w:rPr>
                <w:b/>
                <w:sz w:val="22"/>
              </w:rPr>
              <w:t xml:space="preserve">Ghi chú</w:t>
            </w:r>
          </w:p>
        </w:tc>
      </w:tr>
      <w:tr>
        <w:trPr>
          <w:cantSplit/>
        </w:trPr>
        <w:tc>
          <w:tcPr>
            <w:tcW w:w="716" w:type="dxa"/>
            <w:vAlign w:val="top"/>
          </w:tcPr>
          <w:p>
            <w:pPr>
              <w:pStyle w:val="Compact"/>
              <w:spacing w:before="20" w:after="20" w:line="252" w:lineRule="auto"/>
              <w:ind w:firstLine="0"/>
              <w:jc w:val="center"/>
            </w:pPr>
            <w:r>
              <w:rPr>
                <w:sz w:val="22"/>
              </w:rPr>
              <w:t xml:space="preserve">1</w:t>
            </w:r>
          </w:p>
        </w:tc>
        <w:tc>
          <w:tcPr>
            <w:tcW w:w="4655" w:type="dxa"/>
            <w:vAlign w:val="top"/>
          </w:tcPr>
          <w:p>
            <w:pPr>
              <w:pStyle w:val="Compact"/>
              <w:spacing w:before="20" w:after="20" w:line="252" w:lineRule="auto"/>
              <w:ind w:firstLine="0"/>
              <w:jc w:val="left"/>
            </w:pPr>
            <w:r>
              <w:rPr>
                <w:bCs/>
                <w:b/>
                <w:sz w:val="22"/>
              </w:rPr>
              <w:t xml:space="preserve">Báo cáo sai phạm Phiếu hướng dẫn số 2960/HD-TTr và Công văn số 3292/TTr-PKNTC.1</w:t>
            </w:r>
            <w:r>
              <w:rPr>
                <w:sz w:val="22"/>
              </w:rPr>
              <w:t xml:space="preserve"> </w:t>
            </w:r>
            <w:r>
              <w:rPr>
                <w:sz w:val="22"/>
              </w:rPr>
              <w:t xml:space="preserve">(tệp 07.9, lập ngày 28/10/2026)</w:t>
            </w:r>
          </w:p>
        </w:tc>
        <w:tc>
          <w:tcPr>
            <w:tcW w:w="3700" w:type="dxa"/>
            <w:vAlign w:val="top"/>
          </w:tcPr>
          <w:p>
            <w:pPr>
              <w:pStyle w:val="Compact"/>
              <w:spacing w:before="20" w:after="20" w:line="252" w:lineRule="auto"/>
              <w:ind w:firstLine="0"/>
              <w:jc w:val="left"/>
            </w:pPr>
            <w:r>
              <w:rPr>
                <w:sz w:val="22"/>
              </w:rPr>
              <w:t xml:space="preserve">Nguyên văn hai văn bản; bảng tổng hợp 18 điểm sai phạm, mỗi điểm ghi quy định không được đáp ứng và mức độ; bảng đối chiếu từng nội dung đơn với văn bản trả lời; đề nghị theo từng mục</w:t>
            </w:r>
          </w:p>
        </w:tc>
      </w:tr>
      <w:tr>
        <w:trPr>
          <w:cantSplit/>
        </w:trPr>
        <w:tc>
          <w:tcPr>
            <w:tcW w:w="716" w:type="dxa"/>
            <w:vAlign w:val="top"/>
          </w:tcPr>
          <w:p>
            <w:pPr>
              <w:pStyle w:val="Compact"/>
              <w:spacing w:before="20" w:after="20" w:line="252" w:lineRule="auto"/>
              <w:ind w:firstLine="0"/>
              <w:jc w:val="center"/>
            </w:pPr>
            <w:r>
              <w:rPr>
                <w:sz w:val="22"/>
              </w:rPr>
              <w:t xml:space="preserve">2</w:t>
            </w:r>
          </w:p>
        </w:tc>
        <w:tc>
          <w:tcPr>
            <w:tcW w:w="4655" w:type="dxa"/>
            <w:vAlign w:val="top"/>
          </w:tcPr>
          <w:p>
            <w:pPr>
              <w:pStyle w:val="Compact"/>
              <w:spacing w:before="20" w:after="20" w:line="252" w:lineRule="auto"/>
              <w:ind w:firstLine="0"/>
              <w:jc w:val="left"/>
            </w:pPr>
            <w:r>
              <w:rPr>
                <w:bCs/>
                <w:b/>
                <w:sz w:val="22"/>
              </w:rPr>
              <w:t xml:space="preserve">Bảng tổng hợp đơn, hồ sơ đã nộp và trạng thái theo từng cơ quan</w:t>
            </w:r>
            <w:r>
              <w:rPr>
                <w:sz w:val="22"/>
              </w:rPr>
              <w:t xml:space="preserve"> </w:t>
            </w:r>
            <w:r>
              <w:rPr>
                <w:sz w:val="22"/>
              </w:rPr>
              <w:t xml:space="preserve">(tệp 07.10, đến ngày 28/10/2026)</w:t>
            </w:r>
          </w:p>
        </w:tc>
        <w:tc>
          <w:tcPr>
            <w:tcW w:w="3700" w:type="dxa"/>
            <w:vAlign w:val="top"/>
          </w:tcPr>
          <w:p>
            <w:pPr>
              <w:pStyle w:val="Compact"/>
              <w:spacing w:before="20" w:after="20" w:line="252" w:lineRule="auto"/>
              <w:ind w:firstLine="0"/>
              <w:jc w:val="left"/>
            </w:pPr>
            <w:r>
              <w:rPr>
                <w:sz w:val="22"/>
              </w:rPr>
              <w:t xml:space="preserve">Từng ngày nhận, từng mốc thời hạn luật định, từng mã chứng từ</w:t>
            </w:r>
          </w:p>
        </w:tc>
      </w:tr>
      <w:tr>
        <w:trPr>
          <w:cantSplit/>
        </w:trPr>
        <w:tc>
          <w:tcPr>
            <w:tcW w:w="716" w:type="dxa"/>
            <w:vAlign w:val="top"/>
          </w:tcPr>
          <w:p>
            <w:pPr>
              <w:pStyle w:val="Compact"/>
              <w:spacing w:before="20" w:after="20" w:line="252" w:lineRule="auto"/>
              <w:ind w:firstLine="0"/>
              <w:jc w:val="center"/>
            </w:pPr>
            <w:r>
              <w:rPr>
                <w:sz w:val="22"/>
              </w:rPr>
              <w:t xml:space="preserve">3</w:t>
            </w:r>
          </w:p>
        </w:tc>
        <w:tc>
          <w:tcPr>
            <w:tcW w:w="4655" w:type="dxa"/>
            <w:vAlign w:val="top"/>
          </w:tcPr>
          <w:p>
            <w:pPr>
              <w:pStyle w:val="Compact"/>
              <w:spacing w:before="20" w:after="20" w:line="252" w:lineRule="auto"/>
              <w:ind w:firstLine="0"/>
              <w:jc w:val="left"/>
            </w:pPr>
            <w:r>
              <w:rPr>
                <w:sz w:val="22"/>
              </w:rPr>
              <w:t xml:space="preserve">Bản sao Đơn đề nghị ngày 14/9/2026 gửi Chánh Thanh tra tỉnh và Danh mục tài liệu số hóa kèm đơn</w:t>
            </w:r>
          </w:p>
        </w:tc>
        <w:tc>
          <w:tcPr>
            <w:tcW w:w="3700" w:type="dxa"/>
            <w:vAlign w:val="top"/>
          </w:tcPr>
          <w:p>
            <w:pPr>
              <w:pStyle w:val="Compact"/>
              <w:spacing w:before="20" w:after="20" w:line="252" w:lineRule="auto"/>
              <w:ind w:firstLine="0"/>
              <w:jc w:val="left"/>
            </w:pPr>
            <w:r>
              <w:rPr>
                <w:sz w:val="22"/>
              </w:rPr>
              <w:t xml:space="preserve">Bộ bản giấy của đơn này đã được trả lại cùng Phiếu 2960</w:t>
            </w:r>
          </w:p>
        </w:tc>
      </w:tr>
      <w:tr>
        <w:trPr>
          <w:cantSplit/>
        </w:trPr>
        <w:tc>
          <w:tcPr>
            <w:tcW w:w="716" w:type="dxa"/>
            <w:vAlign w:val="top"/>
          </w:tcPr>
          <w:p>
            <w:pPr>
              <w:pStyle w:val="Compact"/>
              <w:spacing w:before="20" w:after="20" w:line="252" w:lineRule="auto"/>
              <w:ind w:firstLine="0"/>
              <w:jc w:val="center"/>
            </w:pPr>
            <w:r>
              <w:rPr>
                <w:sz w:val="22"/>
              </w:rPr>
              <w:t xml:space="preserve">4</w:t>
            </w:r>
          </w:p>
        </w:tc>
        <w:tc>
          <w:tcPr>
            <w:tcW w:w="4655" w:type="dxa"/>
            <w:vAlign w:val="top"/>
          </w:tcPr>
          <w:p>
            <w:pPr>
              <w:pStyle w:val="Compact"/>
              <w:spacing w:before="20" w:after="20" w:line="252" w:lineRule="auto"/>
              <w:ind w:firstLine="0"/>
              <w:jc w:val="left"/>
            </w:pPr>
            <w:r>
              <w:rPr>
                <w:sz w:val="22"/>
              </w:rPr>
              <w:t xml:space="preserve">Bản sao Đơn tố cáo ngày 14/9/2026 gửi Chủ tịch Ủy ban nhân dân tỉnh Lâm Đồng và báo phát bưu gửi TOM152242469648</w:t>
            </w:r>
          </w:p>
        </w:tc>
        <w:tc>
          <w:tcPr>
            <w:tcW w:w="3700" w:type="dxa"/>
            <w:vAlign w:val="top"/>
          </w:tcPr>
          <w:p>
            <w:pPr>
              <w:pStyle w:val="Compact"/>
              <w:spacing w:before="20" w:after="20" w:line="252" w:lineRule="auto"/>
              <w:ind w:firstLine="0"/>
              <w:jc w:val="left"/>
            </w:pPr>
            <w:r>
              <w:rPr>
                <w:sz w:val="22"/>
              </w:rPr>
              <w:t xml:space="preserve">Báo phát lúc 10 giờ 09 ngày 17/9/2026</w:t>
            </w:r>
          </w:p>
        </w:tc>
      </w:tr>
      <w:tr>
        <w:trPr>
          <w:cantSplit/>
        </w:trPr>
        <w:tc>
          <w:tcPr>
            <w:tcW w:w="716" w:type="dxa"/>
            <w:vAlign w:val="top"/>
          </w:tcPr>
          <w:p>
            <w:pPr>
              <w:pStyle w:val="Compact"/>
              <w:spacing w:before="20" w:after="20" w:line="252" w:lineRule="auto"/>
              <w:ind w:firstLine="0"/>
              <w:jc w:val="center"/>
            </w:pPr>
            <w:r>
              <w:rPr>
                <w:sz w:val="22"/>
              </w:rPr>
              <w:t xml:space="preserve">5</w:t>
            </w:r>
          </w:p>
        </w:tc>
        <w:tc>
          <w:tcPr>
            <w:tcW w:w="4655" w:type="dxa"/>
            <w:vAlign w:val="top"/>
          </w:tcPr>
          <w:p>
            <w:pPr>
              <w:pStyle w:val="Compact"/>
              <w:spacing w:before="20" w:after="20" w:line="252" w:lineRule="auto"/>
              <w:ind w:firstLine="0"/>
              <w:jc w:val="left"/>
            </w:pPr>
            <w:r>
              <w:rPr>
                <w:sz w:val="22"/>
              </w:rPr>
              <w:t xml:space="preserve">Bản sao Phiếu hướng dẫn số 2960/HD-TTr ngày 28/9/2026</w:t>
            </w:r>
          </w:p>
        </w:tc>
        <w:tc>
          <w:tcPr>
            <w:tcW w:w="3700" w:type="dxa"/>
            <w:vAlign w:val="top"/>
          </w:tcPr>
          <w:p>
            <w:pPr>
              <w:pStyle w:val="Compact"/>
              <w:spacing w:before="20" w:after="20" w:line="252" w:lineRule="auto"/>
              <w:ind w:firstLine="0"/>
              <w:jc w:val="left"/>
            </w:pPr>
          </w:p>
        </w:tc>
      </w:tr>
      <w:tr>
        <w:trPr>
          <w:cantSplit/>
        </w:trPr>
        <w:tc>
          <w:tcPr>
            <w:tcW w:w="716" w:type="dxa"/>
            <w:vAlign w:val="top"/>
          </w:tcPr>
          <w:p>
            <w:pPr>
              <w:pStyle w:val="Compact"/>
              <w:spacing w:before="20" w:after="20" w:line="252" w:lineRule="auto"/>
              <w:ind w:firstLine="0"/>
              <w:jc w:val="center"/>
            </w:pPr>
            <w:r>
              <w:rPr>
                <w:sz w:val="22"/>
              </w:rPr>
              <w:t xml:space="preserve">6</w:t>
            </w:r>
          </w:p>
        </w:tc>
        <w:tc>
          <w:tcPr>
            <w:tcW w:w="4655" w:type="dxa"/>
            <w:vAlign w:val="top"/>
          </w:tcPr>
          <w:p>
            <w:pPr>
              <w:pStyle w:val="Compact"/>
              <w:spacing w:before="20" w:after="20" w:line="252" w:lineRule="auto"/>
              <w:ind w:firstLine="0"/>
              <w:jc w:val="left"/>
            </w:pPr>
            <w:r>
              <w:rPr>
                <w:sz w:val="22"/>
              </w:rPr>
              <w:t xml:space="preserve">Bản sao Đơn đề nghị ngày 06/10/2026 gửi Chánh Thanh tra tỉnh và báo phát</w:t>
            </w:r>
          </w:p>
        </w:tc>
        <w:tc>
          <w:tcPr>
            <w:tcW w:w="3700" w:type="dxa"/>
            <w:vAlign w:val="top"/>
          </w:tcPr>
          <w:p>
            <w:pPr>
              <w:pStyle w:val="Compact"/>
              <w:spacing w:before="20" w:after="20" w:line="252" w:lineRule="auto"/>
              <w:ind w:firstLine="0"/>
              <w:jc w:val="left"/>
            </w:pPr>
            <w:r>
              <w:rPr>
                <w:sz w:val="22"/>
              </w:rPr>
              <w:t xml:space="preserve">Lập theo Phiếu 2960</w:t>
            </w:r>
          </w:p>
        </w:tc>
      </w:tr>
      <w:tr>
        <w:trPr>
          <w:cantSplit/>
        </w:trPr>
        <w:tc>
          <w:tcPr>
            <w:tcW w:w="716" w:type="dxa"/>
            <w:vAlign w:val="top"/>
          </w:tcPr>
          <w:p>
            <w:pPr>
              <w:pStyle w:val="Compact"/>
              <w:spacing w:before="20" w:after="20" w:line="252" w:lineRule="auto"/>
              <w:ind w:firstLine="0"/>
              <w:jc w:val="center"/>
            </w:pPr>
            <w:r>
              <w:rPr>
                <w:sz w:val="22"/>
              </w:rPr>
              <w:t xml:space="preserve">7</w:t>
            </w:r>
          </w:p>
        </w:tc>
        <w:tc>
          <w:tcPr>
            <w:tcW w:w="4655" w:type="dxa"/>
            <w:vAlign w:val="top"/>
          </w:tcPr>
          <w:p>
            <w:pPr>
              <w:pStyle w:val="Compact"/>
              <w:spacing w:before="20" w:after="20" w:line="252" w:lineRule="auto"/>
              <w:ind w:firstLine="0"/>
              <w:jc w:val="left"/>
            </w:pPr>
            <w:r>
              <w:rPr>
                <w:sz w:val="22"/>
              </w:rPr>
              <w:t xml:space="preserve">Bản sao Công văn số 3292/TTr-PKNTC.1 ngày 19/10/2026</w:t>
            </w:r>
          </w:p>
        </w:tc>
        <w:tc>
          <w:tcPr>
            <w:tcW w:w="3700" w:type="dxa"/>
            <w:vAlign w:val="top"/>
          </w:tcPr>
          <w:p>
            <w:pPr>
              <w:pStyle w:val="Compact"/>
              <w:spacing w:before="20" w:after="20" w:line="252" w:lineRule="auto"/>
              <w:ind w:firstLine="0"/>
              <w:jc w:val="left"/>
            </w:pPr>
          </w:p>
        </w:tc>
      </w:tr>
      <w:tr>
        <w:trPr>
          <w:cantSplit/>
        </w:trPr>
        <w:tc>
          <w:tcPr>
            <w:tcW w:w="716" w:type="dxa"/>
            <w:vAlign w:val="top"/>
          </w:tcPr>
          <w:p>
            <w:pPr>
              <w:pStyle w:val="Compact"/>
              <w:spacing w:before="20" w:after="20" w:line="252" w:lineRule="auto"/>
              <w:ind w:firstLine="0"/>
              <w:jc w:val="center"/>
            </w:pPr>
            <w:r>
              <w:rPr>
                <w:sz w:val="22"/>
              </w:rPr>
              <w:t xml:space="preserve">8</w:t>
            </w:r>
          </w:p>
        </w:tc>
        <w:tc>
          <w:tcPr>
            <w:tcW w:w="4655" w:type="dxa"/>
            <w:vAlign w:val="top"/>
          </w:tcPr>
          <w:p>
            <w:pPr>
              <w:pStyle w:val="Compact"/>
              <w:spacing w:before="20" w:after="20" w:line="252" w:lineRule="auto"/>
              <w:ind w:firstLine="0"/>
              <w:jc w:val="left"/>
            </w:pPr>
            <w:r>
              <w:rPr>
                <w:sz w:val="22"/>
              </w:rPr>
              <w:t xml:space="preserve">Bản sao Phiếu chuyển số 2329/TTr-TCDKNTC ngày 03/8/2026 và Văn bản số 2644/TTr-TCDKNTC ngày 27/8/2026</w:t>
            </w:r>
          </w:p>
        </w:tc>
        <w:tc>
          <w:tcPr>
            <w:tcW w:w="3700" w:type="dxa"/>
            <w:vAlign w:val="top"/>
          </w:tcPr>
          <w:p>
            <w:pPr>
              <w:pStyle w:val="Compact"/>
              <w:spacing w:before="20" w:after="20" w:line="252" w:lineRule="auto"/>
              <w:ind w:firstLine="0"/>
              <w:jc w:val="left"/>
            </w:pPr>
            <w:r>
              <w:rPr>
                <w:sz w:val="22"/>
              </w:rPr>
              <w:t xml:space="preserve">Có cụm</w:t>
            </w:r>
            <w:r>
              <w:rPr>
                <w:sz w:val="22"/>
              </w:rPr>
              <w:t xml:space="preserve"> </w:t>
            </w:r>
            <w:r>
              <w:rPr>
                <w:sz w:val="22"/>
              </w:rPr>
              <w:t xml:space="preserve">“</w:t>
            </w:r>
            <w:r>
              <w:rPr>
                <w:sz w:val="22"/>
              </w:rPr>
              <w:t xml:space="preserve">thông báo kết quả đến Thanh tra tỉnh</w:t>
            </w:r>
            <w:r>
              <w:rPr>
                <w:sz w:val="22"/>
              </w:rPr>
              <w:t xml:space="preserve">”</w:t>
            </w:r>
          </w:p>
        </w:tc>
      </w:tr>
      <w:tr>
        <w:trPr>
          <w:cantSplit/>
        </w:trPr>
        <w:tc>
          <w:tcPr>
            <w:tcW w:w="716" w:type="dxa"/>
            <w:vAlign w:val="top"/>
          </w:tcPr>
          <w:p>
            <w:pPr>
              <w:pStyle w:val="Compact"/>
              <w:spacing w:before="20" w:after="20" w:line="252" w:lineRule="auto"/>
              <w:ind w:firstLine="0"/>
              <w:jc w:val="center"/>
            </w:pPr>
            <w:r>
              <w:rPr>
                <w:sz w:val="22"/>
              </w:rPr>
              <w:t xml:space="preserve">9</w:t>
            </w:r>
          </w:p>
        </w:tc>
        <w:tc>
          <w:tcPr>
            <w:tcW w:w="4655" w:type="dxa"/>
            <w:vAlign w:val="top"/>
          </w:tcPr>
          <w:p>
            <w:pPr>
              <w:pStyle w:val="Compact"/>
              <w:spacing w:before="20" w:after="20" w:line="252" w:lineRule="auto"/>
              <w:ind w:firstLine="0"/>
              <w:jc w:val="left"/>
            </w:pPr>
            <w:r>
              <w:rPr>
                <w:sz w:val="22"/>
              </w:rPr>
              <w:t xml:space="preserve">Bản sao Thông báo số 5553/TB-UBND ngày 28/8/2026 (03 trang) và Công văn số 6689/UBND-VHXH ngày 21/9/2026</w:t>
            </w:r>
          </w:p>
        </w:tc>
        <w:tc>
          <w:tcPr>
            <w:tcW w:w="3700" w:type="dxa"/>
            <w:vAlign w:val="top"/>
          </w:tcPr>
          <w:p>
            <w:pPr>
              <w:pStyle w:val="Compact"/>
              <w:spacing w:before="20" w:after="20" w:line="252" w:lineRule="auto"/>
              <w:ind w:firstLine="0"/>
              <w:jc w:val="left"/>
            </w:pPr>
            <w:r>
              <w:rPr>
                <w:sz w:val="22"/>
              </w:rPr>
              <w:t xml:space="preserve">Cùng một cơ quan, cách nhau 24 ngày</w:t>
            </w:r>
          </w:p>
        </w:tc>
      </w:tr>
      <w:tr>
        <w:trPr>
          <w:cantSplit/>
        </w:trPr>
        <w:tc>
          <w:tcPr>
            <w:tcW w:w="716" w:type="dxa"/>
            <w:vAlign w:val="top"/>
          </w:tcPr>
          <w:p>
            <w:pPr>
              <w:pStyle w:val="Compact"/>
              <w:spacing w:before="20" w:after="20" w:line="252" w:lineRule="auto"/>
              <w:ind w:firstLine="0"/>
              <w:jc w:val="center"/>
            </w:pPr>
            <w:r>
              <w:rPr>
                <w:sz w:val="22"/>
              </w:rPr>
              <w:t xml:space="preserve">10</w:t>
            </w:r>
          </w:p>
        </w:tc>
        <w:tc>
          <w:tcPr>
            <w:tcW w:w="4655" w:type="dxa"/>
            <w:vAlign w:val="top"/>
          </w:tcPr>
          <w:p>
            <w:pPr>
              <w:pStyle w:val="Compact"/>
              <w:spacing w:before="20" w:after="20" w:line="252" w:lineRule="auto"/>
              <w:ind w:firstLine="0"/>
              <w:jc w:val="left"/>
            </w:pPr>
            <w:r>
              <w:rPr>
                <w:sz w:val="22"/>
              </w:rPr>
              <w:t xml:space="preserve">Bản sao Đơn bổ sung tài liệu, chứng cứ ngày 23/9/2026, Đơn khiếu nại ngày 06/10/2026 và hai giấy tiếp nhận của phường</w:t>
            </w:r>
          </w:p>
        </w:tc>
        <w:tc>
          <w:tcPr>
            <w:tcW w:w="3700" w:type="dxa"/>
            <w:vAlign w:val="top"/>
          </w:tcPr>
          <w:p>
            <w:pPr>
              <w:pStyle w:val="Compact"/>
              <w:spacing w:before="20" w:after="20" w:line="252" w:lineRule="auto"/>
              <w:ind w:firstLine="0"/>
              <w:jc w:val="left"/>
            </w:pPr>
            <w:r>
              <w:rPr>
                <w:sz w:val="22"/>
              </w:rPr>
              <w:t xml:space="preserve">Nhận 17 giờ ngày 23/9 và ngày 06/10/2026; mốc 07 ngày làm việc 15/10/2026</w:t>
            </w:r>
          </w:p>
        </w:tc>
      </w:tr>
      <w:tr>
        <w:trPr>
          <w:cantSplit/>
        </w:trPr>
        <w:tc>
          <w:tcPr>
            <w:tcW w:w="716" w:type="dxa"/>
            <w:vAlign w:val="top"/>
          </w:tcPr>
          <w:p>
            <w:pPr>
              <w:pStyle w:val="Compact"/>
              <w:spacing w:before="20" w:after="20" w:line="252" w:lineRule="auto"/>
              <w:ind w:firstLine="0"/>
              <w:jc w:val="center"/>
            </w:pPr>
            <w:r>
              <w:rPr>
                <w:sz w:val="22"/>
              </w:rPr>
              <w:t xml:space="preserve">11</w:t>
            </w:r>
          </w:p>
        </w:tc>
        <w:tc>
          <w:tcPr>
            <w:tcW w:w="4655" w:type="dxa"/>
            <w:vAlign w:val="top"/>
          </w:tcPr>
          <w:p>
            <w:pPr>
              <w:pStyle w:val="Compact"/>
              <w:spacing w:before="20" w:after="20" w:line="252" w:lineRule="auto"/>
              <w:ind w:firstLine="0"/>
              <w:jc w:val="left"/>
            </w:pPr>
            <w:r>
              <w:rPr>
                <w:sz w:val="22"/>
              </w:rPr>
              <w:t xml:space="preserve">Bản sao Đơn tố cáo đề ngày 07/7/2026 và báo phát bưu gửi VTP1824030477775</w:t>
            </w:r>
          </w:p>
        </w:tc>
        <w:tc>
          <w:tcPr>
            <w:tcW w:w="3700" w:type="dxa"/>
            <w:vAlign w:val="top"/>
          </w:tcPr>
          <w:p>
            <w:pPr>
              <w:pStyle w:val="Compact"/>
              <w:spacing w:before="20" w:after="20" w:line="252" w:lineRule="auto"/>
              <w:ind w:firstLine="0"/>
              <w:jc w:val="left"/>
            </w:pPr>
            <w:r>
              <w:rPr>
                <w:sz w:val="22"/>
              </w:rPr>
              <w:t xml:space="preserve">Mốc 09/7/2026 lúc 08 giờ 39</w:t>
            </w:r>
          </w:p>
        </w:tc>
      </w:tr>
      <w:tr>
        <w:trPr>
          <w:cantSplit/>
        </w:trPr>
        <w:tc>
          <w:tcPr>
            <w:tcW w:w="716" w:type="dxa"/>
            <w:vAlign w:val="top"/>
          </w:tcPr>
          <w:p>
            <w:pPr>
              <w:pStyle w:val="Compact"/>
              <w:spacing w:before="20" w:after="20" w:line="252" w:lineRule="auto"/>
              <w:ind w:firstLine="0"/>
              <w:jc w:val="center"/>
            </w:pPr>
            <w:r>
              <w:rPr>
                <w:sz w:val="22"/>
              </w:rPr>
              <w:t xml:space="preserve">12</w:t>
            </w:r>
          </w:p>
        </w:tc>
        <w:tc>
          <w:tcPr>
            <w:tcW w:w="4655" w:type="dxa"/>
            <w:vAlign w:val="top"/>
          </w:tcPr>
          <w:p>
            <w:pPr>
              <w:pStyle w:val="Compact"/>
              <w:spacing w:before="20" w:after="20" w:line="252" w:lineRule="auto"/>
              <w:ind w:firstLine="0"/>
              <w:jc w:val="left"/>
            </w:pPr>
            <w:r>
              <w:rPr>
                <w:sz w:val="22"/>
              </w:rPr>
              <w:t xml:space="preserve">Tập chứng từ bưu chính của các đơn, hồ sơ nêu trong đơn này</w:t>
            </w:r>
          </w:p>
        </w:tc>
        <w:tc>
          <w:tcPr>
            <w:tcW w:w="3700" w:type="dxa"/>
            <w:vAlign w:val="top"/>
          </w:tcPr>
          <w:p>
            <w:pPr>
              <w:pStyle w:val="Compact"/>
              <w:spacing w:before="20" w:after="20" w:line="252" w:lineRule="auto"/>
              <w:ind w:firstLine="0"/>
              <w:jc w:val="left"/>
            </w:pPr>
            <w:r>
              <w:rPr>
                <w:sz w:val="22"/>
              </w:rPr>
              <w:t xml:space="preserve">Có ngày giờ giao, tên người nhận; tra được độc lập</w:t>
            </w:r>
          </w:p>
        </w:tc>
      </w:tr>
    </w:tbl>
    <w:p>
      <w:pPr>
        <w:pStyle w:val="BodyText"/>
        <w:spacing w:before="120"/>
      </w:pPr>
      <w:r>
        <w:rPr>
          <w:bCs/>
          <w:b/>
        </w:rPr>
        <w:t xml:space="preserve">Tài liệu đề nghị Quý cơ quan thu thập</w:t>
      </w:r>
      <w:r>
        <w:t xml:space="preserve"> </w:t>
      </w:r>
      <w:r>
        <w:t xml:space="preserve">(tôi chưa được cấp bản sao): Công văn 1436 của Thanh tra tỉnh và Phiếu chuyển 2707 của Sở, cùng tài liệu chuyển kèm.</w:t>
      </w:r>
    </w:p>
    <w:p>
      <w:pPr>
        <w:pStyle w:val="BodyText"/>
      </w:pPr>
      <w:r>
        <w:t xml:space="preserve">Cùng ngày với đơn này, tôi gửi tâm thư đến Chủ tịch nước và đơn kiến nghị đến Ủy ban Thường vụ Quốc hội về cùng vụ việc; bản gửi ghi đường dẫn thư mục hồ sơ số hoá dùng chung cho ba văn bản.</w:t>
      </w:r>
    </w:p>
    <w:bookmarkEnd w:id="27"/>
    <w:bookmarkStart w:id="28" w:name="vi.-cam-đoan"/>
    <w:p>
      <w:pPr>
        <w:pStyle w:val="Heading2"/>
      </w:pPr>
      <w:r>
        <w:t xml:space="preserve">VI. Cam đoan</w:t>
      </w:r>
    </w:p>
    <w:p>
      <w:pPr>
        <w:pStyle w:val="FirstParagraph"/>
        <w:keepNext/>
      </w:pPr>
      <w:r>
        <w:t xml:space="preserve">Tôi cam đoan những nội dung trình bày trong đơn này và trong các tài liệu kèm theo là đúng sự thật. Mọi mốc ngày tháng đều dựa trên chứng từ tiếp nhận hoặc chứng từ bưu chính, và mọi đoạn trích văn bản của cơ quan đều chép nguyên văn từ bản gốc. Tôi xin chịu trách nhiệm trước pháp luật về nội dung đơn.</w:t>
      </w:r>
    </w:p>
    <w:p>
      <w:pPr>
        <w:pStyle w:val="BodyText"/>
        <w:keepNext/>
      </w:pPr>
      <w:r>
        <w:t xml:space="preserve">Trân trọng cảm ơn.</w:t>
      </w:r>
    </w:p>
    <w:p>
      <w:pPr>
        <w:pStyle w:val="Kyten"/>
      </w:pPr>
      <w:r>
        <w:rPr>
          <w:bCs/>
          <w:b/>
        </w:rPr>
        <w:t xml:space="preserve">NGƯỜI KIẾN NGHỊ</w:t>
      </w:r>
    </w:p>
    <w:p>
      <w:pPr>
        <w:pStyle w:val="Kytenchuthich"/>
      </w:pPr>
      <w:r>
        <w:rPr>
          <w:iCs/>
          <w:i/>
        </w:rPr>
        <w:t xml:space="preserve">(Ký, ghi rõ họ tên)</w:t>
      </w:r>
    </w:p>
    <w:p>
      <w:pPr>
        <w:pStyle w:val="Kytenhoten"/>
      </w:pPr>
      <w:r>
        <w:rPr>
          <w:bCs/>
          <w:b/>
        </w:rPr>
        <w:t xml:space="preserve">TRẦN DUY TUỆ</w:t>
      </w:r>
    </w:p>
    <w:p>
      <w:pPr>
        <w:pStyle w:val="Noinhan"/>
      </w:pPr>
      <w:r>
        <w:rPr>
          <w:iCs/>
          <w:i/>
          <w:bCs/>
          <w:b/>
        </w:rPr>
        <w:t xml:space="preserve">Nơi nhận:</w:t>
      </w:r>
      <w:r>
        <w:br/>
      </w:r>
      <w:r>
        <w:t xml:space="preserve">- Như trên;</w:t>
      </w:r>
      <w:r>
        <w:br/>
      </w:r>
      <w:r>
        <w:t xml:space="preserve">- Lưu người kiến nghị.</w:t>
      </w:r>
    </w:p>
    <w:bookmarkEnd w:id="28"/>
    <w:sectPr>
      <w:footerReference r:id="rId9" w:type="default"/>
      <w:pgSz w:h="16838" w:w="11906"/>
      <w:pgMar w:bottom="1134" w:footer="567" w:gutter="0" w:header="567"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i/>
        <w:sz w:val="20"/>
      </w:rPr>
      <w:t xml:space="preserve">Đơn kiến nghị gửi Tổng Thanh tra Chính phủ · Ngày 29/10/2026 · Trang </w:t>
    </w:r>
    <w:r>
      <w:rPr>
        <w:rFonts w:ascii="Times New Roman" w:hAnsi="Times New Roman"/>
        <w:i/>
        <w:sz w:val="20"/>
      </w:rPr>
      <w:fldChar w:fldCharType="begin"/>
    </w:r>
    <w:r>
      <w:rPr>
        <w:rFonts w:ascii="Times New Roman" w:hAnsi="Times New Roman"/>
        <w:i/>
        <w:sz w:val="20"/>
      </w:rPr>
      <w:instrText xml:space="preserve"> PAGE </w:instrText>
    </w:r>
    <w:r>
      <w:rPr>
        <w:rFonts w:ascii="Times New Roman" w:hAnsi="Times New Roman"/>
        <w:i/>
        <w:sz w:val="20"/>
      </w:rPr>
      <w:fldChar w:fldCharType="separate"/>
    </w:r>
    <w:r>
      <w:rPr>
        <w:rFonts w:ascii="Times New Roman" w:hAnsi="Times New Roman"/>
        <w:i/>
        <w:sz w:val="20"/>
      </w:rPr>
      <w:t>1</w:t>
    </w:r>
    <w:r>
      <w:rPr>
        <w:rFonts w:ascii="Times New Roman" w:hAnsi="Times New Roman"/>
        <w:i/>
        <w:sz w:val="20"/>
      </w:rPr>
      <w:fldChar w:fldCharType="end"/>
    </w:r>
    <w:r>
      <w:rPr>
        <w:rFonts w:ascii="Times New Roman" w:hAnsi="Times New Roman"/>
        <w:i/>
        <w:sz w:val="20"/>
      </w:rPr>
      <w:t>/</w:t>
    </w:r>
    <w:r>
      <w:rPr>
        <w:rFonts w:ascii="Times New Roman" w:hAnsi="Times New Roman"/>
        <w:i/>
        <w:sz w:val="20"/>
      </w:rPr>
      <w:fldChar w:fldCharType="begin"/>
    </w:r>
    <w:r>
      <w:rPr>
        <w:rFonts w:ascii="Times New Roman" w:hAnsi="Times New Roman"/>
        <w:i/>
        <w:sz w:val="20"/>
      </w:rPr>
      <w:instrText xml:space="preserve"> NUMPAGES </w:instrText>
    </w:r>
    <w:r>
      <w:rPr>
        <w:rFonts w:ascii="Times New Roman" w:hAnsi="Times New Roman"/>
        <w:i/>
        <w:sz w:val="20"/>
      </w:rPr>
      <w:fldChar w:fldCharType="separate"/>
    </w:r>
    <w:r>
      <w:rPr>
        <w:rFonts w:ascii="Times New Roman" w:hAnsi="Times New Roman"/>
        <w:i/>
        <w:sz w:val="20"/>
      </w:rPr>
      <w:t>1</w:t>
    </w:r>
    <w:r>
      <w:rPr>
        <w:rFonts w:ascii="Times New Roman" w:hAnsi="Times New Roman"/>
        <w:i/>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Times New Roman" w:cs="Times New Roman" w:eastAsia="Times New Roman" w:hAnsi="Times New Roman"/>
      <w:color w:val="000000"/>
      <w:sz w:val="26"/>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color w:val="000000"/>
      <w:sz w:val="26"/>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color w:val="000000"/>
      <w:sz w:val="26"/>
    </w:rPr>
  </w:style>
  <w:style w:customStyle="1" w:styleId="Compact" w:type="paragraph">
    <w:name w:val="Compact"/>
    <w:basedOn w:val="BodyText"/>
    <w:qFormat/>
    <w:pPr>
      <w:spacing w:after="60" w:before="0" w:line="276" w:lineRule="auto"/>
    </w:pPr>
    <w:rPr>
      <w:rFonts w:ascii="Times New Roman" w:cs="Times New Roman" w:eastAsia="Times New Roman" w:hAnsi="Times New Roman"/>
      <w:color w:val="000000"/>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b w:val="0"/>
      <w:i w:val="0"/>
      <w:color w:val="000000"/>
      <w:sz w:val="26"/>
      <w:szCs w:val="30"/>
    </w:rPr>
  </w:style>
  <w:style w:customStyle="1" w:styleId="Author" w:type="paragraph">
    <w:name w:val="Author"/>
    <w:next w:val="BodyText"/>
    <w:qFormat/>
    <w:pPr>
      <w:keepNext/>
      <w:keepLines/>
      <w:jc w:val="center"/>
    </w:pPr>
    <w:rPr>
      <w:rFonts w:ascii="Times New Roman" w:cs="Times New Roman" w:eastAsia="Times New Roman" w:hAnsi="Times New Roman"/>
      <w:b/>
      <w:i w:val="0"/>
      <w:color w:val="000000"/>
      <w:sz w:val="26"/>
    </w:rPr>
  </w:style>
  <w:style w:styleId="Date" w:type="paragraph">
    <w:name w:val="Date"/>
    <w:next w:val="BodyText"/>
    <w:qFormat/>
    <w:pPr>
      <w:keepNext/>
      <w:keepLines/>
      <w:jc w:val="center"/>
    </w:pPr>
    <w:rPr>
      <w:rFonts w:ascii="Times New Roman" w:cs="Times New Roman" w:eastAsia="Times New Roman" w:hAnsi="Times New Roman"/>
      <w:b/>
      <w:i w:val="0"/>
      <w:color w:val="000000"/>
      <w:sz w:val="26"/>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0" w:line="264" w:lineRule="auto"/>
      <w:jc w:val="center"/>
      <w:outlineLvl w:val="0"/>
    </w:pPr>
    <w:rPr>
      <w:rFonts w:ascii="Times New Roman" w:cs="Times New Roman" w:eastAsia="Times New Roman" w:hAnsi="Times New Roman"/>
      <w:b/>
      <w:bCs/>
      <w:i w:val="0"/>
      <w:color w:val="000000"/>
      <w:sz w:val="30"/>
      <w:szCs w:val="32"/>
    </w:rPr>
  </w:style>
  <w:style w:styleId="Heading2" w:type="paragraph">
    <w:name w:val="Heading 2"/>
    <w:basedOn w:val="Normal"/>
    <w:next w:val="BodyText"/>
    <w:uiPriority w:val="9"/>
    <w:unhideWhenUsed/>
    <w:qFormat/>
    <w:pPr>
      <w:keepNext/>
      <w:keepLines/>
      <w:spacing w:after="120" w:before="280" w:line="264" w:lineRule="auto"/>
      <w:jc w:val="left"/>
      <w:outlineLvl w:val="1"/>
    </w:pPr>
    <w:rPr>
      <w:rFonts w:ascii="Times New Roman" w:cs="Times New Roman" w:eastAsia="Times New Roman" w:hAnsi="Times New Roman"/>
      <w:b/>
      <w:bCs/>
      <w:i w:val="0"/>
      <w:color w:val="000000"/>
      <w:sz w:val="27"/>
      <w:szCs w:val="28"/>
    </w:rPr>
  </w:style>
  <w:style w:styleId="Heading3" w:type="paragraph">
    <w:name w:val="Heading 3"/>
    <w:basedOn w:val="Normal"/>
    <w:next w:val="BodyText"/>
    <w:uiPriority w:val="9"/>
    <w:unhideWhenUsed/>
    <w:qFormat/>
    <w:pPr>
      <w:keepNext/>
      <w:keepLines/>
      <w:spacing w:after="80" w:before="200" w:line="264" w:lineRule="auto"/>
      <w:jc w:val="both"/>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b/>
      <w:bCs/>
      <w:i w:val="0"/>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7F7F7F" w:space="8" w:sz="12" w:val="single"/>
      </w:pBdr>
      <w:spacing w:after="80" w:before="40" w:line="264" w:lineRule="auto"/>
      <w:ind w:firstLine="0" w:left="454" w:right="227"/>
      <w:jc w:val="both"/>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cs="Times New Roman" w:eastAsia="Times New Roman" w:hAnsi="Times New Roman"/>
      <w:color w:val="1F3A8A"/>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paragraph" w:customStyle="1" w:styleId="Kinhgui">
    <w:name w:val="Kinh gui"/>
    <w:basedOn w:val="BodyText"/>
    <w:qFormat/>
    <w:pPr>
      <w:keepNext/>
      <w:spacing w:before="0" w:after="80"/>
      <w:ind w:firstLine="0" w:left="0"/>
      <w:jc w:val="center"/>
    </w:pPr>
    <w:rPr>
      <w:rFonts w:ascii="Times New Roman" w:hAnsi="Times New Roman"/>
      <w:b/>
      <w:i w:val="0"/>
      <w:sz w:val="26"/>
      <w:u w:val="none"/>
    </w:rPr>
  </w:style>
  <w:style w:type="paragraph" w:customStyle="1" w:styleId="Kyten">
    <w:name w:val="Ky ten"/>
    <w:basedOn w:val="BodyText"/>
    <w:qFormat/>
    <w:pPr>
      <w:keepNext/>
      <w:spacing w:before="240" w:after="0"/>
      <w:ind w:firstLine="0" w:left="4819"/>
      <w:jc w:val="center"/>
    </w:pPr>
    <w:rPr>
      <w:rFonts w:ascii="Times New Roman" w:hAnsi="Times New Roman"/>
      <w:b/>
      <w:i w:val="0"/>
      <w:sz w:val="26"/>
      <w:u w:val="none"/>
    </w:rPr>
  </w:style>
  <w:style w:type="paragraph" w:customStyle="1" w:styleId="Kytenchuthich">
    <w:name w:val="Ky ten chu thich"/>
    <w:basedOn w:val="BodyText"/>
    <w:qFormat/>
    <w:pPr>
      <w:keepNext/>
      <w:spacing w:before="0" w:after="0"/>
      <w:ind w:firstLine="0" w:left="4819"/>
      <w:jc w:val="center"/>
    </w:pPr>
    <w:rPr>
      <w:rFonts w:ascii="Times New Roman" w:hAnsi="Times New Roman"/>
      <w:b w:val="0"/>
      <w:i/>
      <w:sz w:val="26"/>
      <w:u w:val="none"/>
    </w:rPr>
  </w:style>
  <w:style w:type="paragraph" w:customStyle="1" w:styleId="Kytenhoten">
    <w:name w:val="Ky ten ho ten"/>
    <w:basedOn w:val="BodyText"/>
    <w:qFormat/>
    <w:pPr>
      <w:keepNext w:val="0"/>
      <w:spacing w:before="1200" w:after="240"/>
      <w:ind w:firstLine="0" w:left="4819"/>
      <w:jc w:val="center"/>
    </w:pPr>
    <w:rPr>
      <w:rFonts w:ascii="Times New Roman" w:hAnsi="Times New Roman"/>
      <w:b/>
      <w:i w:val="0"/>
      <w:sz w:val="26"/>
      <w:u w:val="none"/>
    </w:rPr>
  </w:style>
  <w:style w:type="paragraph" w:customStyle="1" w:styleId="Ngaythang">
    <w:name w:val="Ngay thang"/>
    <w:basedOn w:val="BodyText"/>
    <w:qFormat/>
    <w:pPr>
      <w:keepNext/>
      <w:spacing w:before="120" w:after="240"/>
      <w:ind w:firstLine="0" w:left="0"/>
      <w:jc w:val="right"/>
    </w:pPr>
    <w:rPr>
      <w:rFonts w:ascii="Times New Roman" w:hAnsi="Times New Roman"/>
      <w:b w:val="0"/>
      <w:i/>
      <w:sz w:val="26"/>
      <w:u w:val="none"/>
    </w:rPr>
  </w:style>
  <w:style w:type="paragraph" w:customStyle="1" w:styleId="Noinhan">
    <w:name w:val="Noi nhan"/>
    <w:basedOn w:val="BodyText"/>
    <w:qFormat/>
    <w:pPr>
      <w:keepNext w:val="0"/>
      <w:spacing w:before="120" w:after="0"/>
      <w:ind w:firstLine="0" w:left="0"/>
      <w:jc w:val="left"/>
    </w:pPr>
    <w:rPr>
      <w:rFonts w:ascii="Times New Roman" w:hAnsi="Times New Roman"/>
      <w:b w:val="0"/>
      <w:i w:val="0"/>
      <w:sz w:val="22"/>
      <w:u w:val="none"/>
    </w:rPr>
  </w:style>
  <w:style w:type="paragraph" w:customStyle="1" w:styleId="Quochieu">
    <w:name w:val="Quoc hieu"/>
    <w:basedOn w:val="BodyText"/>
    <w:qFormat/>
    <w:pPr>
      <w:keepNext/>
      <w:spacing w:before="0" w:after="0"/>
      <w:ind w:firstLine="0" w:left="0"/>
      <w:jc w:val="center"/>
    </w:pPr>
    <w:rPr>
      <w:rFonts w:ascii="Times New Roman" w:hAnsi="Times New Roman"/>
      <w:b/>
      <w:i w:val="0"/>
      <w:sz w:val="26"/>
      <w:u w:val="none"/>
    </w:rPr>
  </w:style>
  <w:style w:type="paragraph" w:customStyle="1" w:styleId="Tendon">
    <w:name w:val="Ten don"/>
    <w:basedOn w:val="BodyText"/>
    <w:qFormat/>
    <w:pPr>
      <w:keepNext/>
      <w:spacing w:before="120" w:after="40"/>
      <w:ind w:firstLine="0" w:left="0"/>
      <w:jc w:val="center"/>
    </w:pPr>
    <w:rPr>
      <w:rFonts w:ascii="Times New Roman" w:hAnsi="Times New Roman"/>
      <w:b/>
      <w:i w:val="0"/>
      <w:sz w:val="30"/>
      <w:u w:val="none"/>
    </w:rPr>
  </w:style>
  <w:style w:type="paragraph" w:customStyle="1" w:styleId="Tieungu">
    <w:name w:val="Tieu ngu"/>
    <w:basedOn w:val="BodyText"/>
    <w:qFormat/>
    <w:pPr>
      <w:keepNext/>
      <w:spacing w:before="0" w:after="120"/>
      <w:ind w:firstLine="0" w:left="0"/>
      <w:jc w:val="center"/>
    </w:pPr>
    <w:rPr>
      <w:rFonts w:ascii="Times New Roman" w:hAnsi="Times New Roman"/>
      <w:b/>
      <w:i w:val="0"/>
      <w:sz w:val="26"/>
      <w:u w:val="single"/>
    </w:rPr>
  </w:style>
  <w:style w:type="paragraph" w:customStyle="1" w:styleId="Trichyeu">
    <w:name w:val="Trich yeu"/>
    <w:basedOn w:val="BodyText"/>
    <w:qFormat/>
    <w:pPr>
      <w:keepNext/>
      <w:spacing w:before="0" w:after="240"/>
      <w:ind w:firstLine="0" w:left="0"/>
      <w:jc w:val="center"/>
    </w:pPr>
    <w:rPr>
      <w:rFonts w:ascii="Times New Roman" w:hAnsi="Times New Roman"/>
      <w:b w:val="0"/>
      <w:i w:val="0"/>
      <w:sz w:val="26"/>
      <w:u w:val="non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2026-10-29T07:52:30Z</dcterms:created>
  <dcterms:modified xsi:type="dcterms:W3CDTF">2026-10-29T07:52:30Z</dcterms:modified>
</cp:coreProperties>
</file>

<file path=docProps/custom.xml><?xml version="1.0" encoding="utf-8"?>
<Properties xmlns="http://schemas.openxmlformats.org/officeDocument/2006/custom-properties" xmlns:vt="http://schemas.openxmlformats.org/officeDocument/2006/docPropsVTypes"/>
</file>