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4</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7</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15</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21</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27</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31</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33</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34</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75" w:history="1">
        <w:r>
          <w:rPr>
            <w:noProof/>
          </w:rPr>
          <w:t xml:space="preserve">4.6 </w:t>
        </w:r>
        <w:r>
          <w:rPr>
            <w:noProof/>
          </w:rPr>
          <w:t xml:space="preserve">Đánh giá khả năng tháo lũ khi lượng mưa, lũ biến đổi và hiệu quả của giải pháp sửa chữa công trình tháo lũ</w:t>
        </w:r>
        <w:r>
          <w:rPr>
            <w:noProof/>
          </w:rPr>
          <w:tab/>
        </w:r>
        <w:r>
          <w:rPr>
            <w:noProof/>
          </w:rPr>
          <w:fldChar w:fldCharType="begin"/>
        </w:r>
        <w:r>
          <w:rPr>
            <w:noProof/>
          </w:rPr>
          <w:instrText xml:space="preserve"> PAGEREF _Toc1075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6" w:history="1">
        <w:r>
          <w:rPr>
            <w:noProof/>
          </w:rPr>
          <w:t xml:space="preserve">4.6.1 </w:t>
        </w:r>
        <w:r>
          <w:rPr>
            <w:noProof/>
          </w:rPr>
          <w:t xml:space="preserve">Biến động lượng mưa lưu vực từ khi công trình vận hành</w:t>
        </w:r>
        <w:r>
          <w:rPr>
            <w:noProof/>
          </w:rPr>
          <w:tab/>
        </w:r>
        <w:r>
          <w:rPr>
            <w:noProof/>
          </w:rPr>
          <w:fldChar w:fldCharType="begin"/>
        </w:r>
        <w:r>
          <w:rPr>
            <w:noProof/>
          </w:rPr>
          <w:instrText xml:space="preserve"> PAGEREF _Toc1076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7" w:history="1">
        <w:r>
          <w:rPr>
            <w:noProof/>
          </w:rPr>
          <w:t xml:space="preserve">4.6.2 </w:t>
        </w:r>
        <w:r>
          <w:rPr>
            <w:noProof/>
          </w:rPr>
          <w:t xml:space="preserve">Mực nước lũ khi lũ đến gia tăng – so sánh với MNLTK thiết kế ban đầu</w:t>
        </w:r>
        <w:r>
          <w:rPr>
            <w:noProof/>
          </w:rPr>
          <w:tab/>
        </w:r>
        <w:r>
          <w:rPr>
            <w:noProof/>
          </w:rPr>
          <w:fldChar w:fldCharType="begin"/>
        </w:r>
        <w:r>
          <w:rPr>
            <w:noProof/>
          </w:rPr>
          <w:instrText xml:space="preserve"> PAGEREF _Toc1077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78" w:history="1">
        <w:r>
          <w:rPr>
            <w:noProof/>
          </w:rPr>
          <w:t xml:space="preserve">4.6.3 </w:t>
        </w:r>
        <w:r>
          <w:rPr>
            <w:noProof/>
          </w:rPr>
          <w:t xml:space="preserve">Hiệu quả của giải pháp sửa chữa đối với công trình tháo lũ</w:t>
        </w:r>
        <w:r>
          <w:rPr>
            <w:noProof/>
          </w:rPr>
          <w:tab/>
        </w:r>
        <w:r>
          <w:rPr>
            <w:noProof/>
          </w:rPr>
          <w:fldChar w:fldCharType="begin"/>
        </w:r>
        <w:r>
          <w:rPr>
            <w:noProof/>
          </w:rPr>
          <w:instrText xml:space="preserve"> PAGEREF _Toc1078 \h </w:instrText>
        </w:r>
        <w:r>
          <w:rPr>
            <w:noProof/>
          </w:rPr>
          <w:fldChar w:fldCharType="separate"/>
        </w:r>
        <w:r>
          <w:rPr>
            <w:noProof/>
          </w:rPr>
          <w:t xml:space="preserve">49</w:t>
        </w:r>
        <w:r>
          <w:rPr>
            <w:noProof/>
          </w:rPr>
          <w:fldChar w:fldCharType="end"/>
        </w:r>
      </w:hyperlink>
    </w:p>
    <w:p>
      <w:pPr>
        <w:pStyle w:val="TOC1"/>
        <w:tabs>
          <w:tab w:val="right" w:leader="dot" w:pos="9062"/>
        </w:tabs>
      </w:pPr>
      <w:hyperlink w:anchor="_Toc1079"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_Toc1079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80"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_Toc1080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1" w:history="1">
        <w:r>
          <w:rPr>
            <w:noProof/>
          </w:rPr>
          <w:t xml:space="preserve">5.1.1 </w:t>
        </w:r>
        <w:r>
          <w:rPr>
            <w:noProof/>
          </w:rPr>
          <w:t>Cao trình đỉnh đập</w:t>
        </w:r>
        <w:r>
          <w:rPr>
            <w:noProof/>
          </w:rPr>
          <w:tab/>
        </w:r>
        <w:r>
          <w:rPr>
            <w:noProof/>
          </w:rPr>
          <w:fldChar w:fldCharType="begin"/>
        </w:r>
        <w:r>
          <w:rPr>
            <w:noProof/>
          </w:rPr>
          <w:instrText xml:space="preserve"> PAGEREF _Toc1081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2" w:history="1">
        <w:r>
          <w:rPr>
            <w:noProof/>
          </w:rPr>
          <w:t xml:space="preserve">5.1.2 </w:t>
        </w:r>
        <w:r>
          <w:rPr>
            <w:noProof/>
          </w:rPr>
          <w:t>Bề rộng đỉnh và mái đập</w:t>
        </w:r>
        <w:r>
          <w:rPr>
            <w:noProof/>
          </w:rPr>
          <w:tab/>
        </w:r>
        <w:r>
          <w:rPr>
            <w:noProof/>
          </w:rPr>
          <w:fldChar w:fldCharType="begin"/>
        </w:r>
        <w:r>
          <w:rPr>
            <w:noProof/>
          </w:rPr>
          <w:instrText xml:space="preserve"> PAGEREF _Toc1082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83"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_Toc1083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4" w:history="1">
        <w:r>
          <w:rPr>
            <w:noProof/>
          </w:rPr>
          <w:t xml:space="preserve">5.2 </w:t>
        </w:r>
        <w:r>
          <w:rPr>
            <w:noProof/>
          </w:rPr>
          <w:t>Tính thấm qua đập sau sửa chữa</w:t>
        </w:r>
        <w:r>
          <w:rPr>
            <w:noProof/>
          </w:rPr>
          <w:tab/>
        </w:r>
        <w:r>
          <w:rPr>
            <w:noProof/>
          </w:rPr>
          <w:fldChar w:fldCharType="begin"/>
        </w:r>
        <w:r>
          <w:rPr>
            <w:noProof/>
          </w:rPr>
          <w:instrText xml:space="preserve"> PAGEREF _Toc1084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5"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_Toc1085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86"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_Toc1086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087"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_Toc1087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8"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_Toc1088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9"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_Toc1089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090"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_Toc1090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091" w:history="1">
        <w:r>
          <w:rPr>
            <w:noProof/>
          </w:rPr>
          <w:t xml:space="preserve">5.6 </w:t>
        </w:r>
        <w:r>
          <w:rPr>
            <w:noProof/>
          </w:rPr>
          <w:t xml:space="preserve">Đánh giá hiệu quả của giải pháp sửa chữa đối với an toàn đập</w:t>
        </w:r>
        <w:r>
          <w:rPr>
            <w:noProof/>
          </w:rPr>
          <w:tab/>
        </w:r>
        <w:r>
          <w:rPr>
            <w:noProof/>
          </w:rPr>
          <w:fldChar w:fldCharType="begin"/>
        </w:r>
        <w:r>
          <w:rPr>
            <w:noProof/>
          </w:rPr>
          <w:instrText xml:space="preserve"> PAGEREF _Toc1091 \h </w:instrText>
        </w:r>
        <w:r>
          <w:rPr>
            <w:noProof/>
          </w:rPr>
          <w:fldChar w:fldCharType="separate"/>
        </w:r>
        <w:r>
          <w:rPr>
            <w:noProof/>
          </w:rPr>
          <w:t xml:space="preserve">59</w:t>
        </w:r>
        <w:r>
          <w:rPr>
            <w:noProof/>
          </w:rPr>
          <w:fldChar w:fldCharType="end"/>
        </w:r>
      </w:hyperlink>
    </w:p>
    <w:p>
      <w:pPr>
        <w:pStyle w:val="TOC1"/>
        <w:tabs>
          <w:tab w:val="right" w:leader="dot" w:pos="9062"/>
        </w:tabs>
      </w:pPr>
      <w:hyperlink w:anchor="_Toc1092"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_Toc1092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3"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_Toc1093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4"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_Toc1094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5" w:history="1">
        <w:r>
          <w:rPr>
            <w:noProof/>
          </w:rPr>
          <w:t xml:space="preserve">6.3 </w:t>
        </w:r>
        <w:r>
          <w:rPr>
            <w:noProof/>
          </w:rPr>
          <w:t>Tính toán thủy lực cống</w:t>
        </w:r>
        <w:r>
          <w:rPr>
            <w:noProof/>
          </w:rPr>
          <w:tab/>
        </w:r>
        <w:r>
          <w:rPr>
            <w:noProof/>
          </w:rPr>
          <w:fldChar w:fldCharType="begin"/>
        </w:r>
        <w:r>
          <w:rPr>
            <w:noProof/>
          </w:rPr>
          <w:instrText xml:space="preserve"> PAGEREF _Toc1095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6" w:history="1">
        <w:r>
          <w:rPr>
            <w:noProof/>
          </w:rPr>
          <w:t xml:space="preserve">6.3.1 </w:t>
        </w:r>
        <w:r>
          <w:rPr>
            <w:noProof/>
          </w:rPr>
          <w:t>Khả năng tháo qua cửa vào</w:t>
        </w:r>
        <w:r>
          <w:rPr>
            <w:noProof/>
          </w:rPr>
          <w:tab/>
        </w:r>
        <w:r>
          <w:rPr>
            <w:noProof/>
          </w:rPr>
          <w:fldChar w:fldCharType="begin"/>
        </w:r>
        <w:r>
          <w:rPr>
            <w:noProof/>
          </w:rPr>
          <w:instrText xml:space="preserve"> PAGEREF _Toc1096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7"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_Toc1097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098" w:history="1">
        <w:r>
          <w:rPr>
            <w:noProof/>
          </w:rPr>
          <w:t xml:space="preserve">6.3.3 </w:t>
        </w:r>
        <w:r>
          <w:rPr>
            <w:noProof/>
          </w:rPr>
          <w:t>Kiểm tra tiêu năng sau cống</w:t>
        </w:r>
        <w:r>
          <w:rPr>
            <w:noProof/>
          </w:rPr>
          <w:tab/>
        </w:r>
        <w:r>
          <w:rPr>
            <w:noProof/>
          </w:rPr>
          <w:fldChar w:fldCharType="begin"/>
        </w:r>
        <w:r>
          <w:rPr>
            <w:noProof/>
          </w:rPr>
          <w:instrText xml:space="preserve"> PAGEREF _Toc1098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099"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_Toc1099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00"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_Toc1100 \h </w:instrText>
        </w:r>
        <w:r>
          <w:rPr>
            <w:noProof/>
          </w:rPr>
          <w:fldChar w:fldCharType="separate"/>
        </w:r>
        <w:r>
          <w:rPr>
            <w:noProof/>
          </w:rPr>
          <w:t xml:space="preserve">67</w:t>
        </w:r>
        <w:r>
          <w:rPr>
            <w:noProof/>
          </w:rPr>
          <w:fldChar w:fldCharType="end"/>
        </w:r>
      </w:hyperlink>
    </w:p>
    <w:p>
      <w:pPr>
        <w:pStyle w:val="TOC1"/>
        <w:tabs>
          <w:tab w:val="right" w:leader="dot" w:pos="9062"/>
        </w:tabs>
      </w:pPr>
      <w:hyperlink w:anchor="_Toc1101"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_Toc1101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2"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_Toc1102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3"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4" w:history="1">
        <w:r>
          <w:rPr>
            <w:noProof/>
          </w:rPr>
          <w:t xml:space="preserve">7.2.1 </w:t>
        </w:r>
        <w:r>
          <w:rPr>
            <w:noProof/>
          </w:rPr>
          <w:t>Công tác đất đập</w:t>
        </w:r>
        <w:r>
          <w:rPr>
            <w:noProof/>
          </w:rPr>
          <w:tab/>
        </w:r>
        <w:r>
          <w:rPr>
            <w:noProof/>
          </w:rPr>
          <w:fldChar w:fldCharType="begin"/>
        </w:r>
        <w:r>
          <w:rPr>
            <w:noProof/>
          </w:rPr>
          <w:instrText xml:space="preserve"> PAGEREF _Toc1104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5" w:history="1">
        <w:r>
          <w:rPr>
            <w:noProof/>
          </w:rPr>
          <w:t xml:space="preserve">7.2.2 </w:t>
        </w:r>
        <w:r>
          <w:rPr>
            <w:noProof/>
          </w:rPr>
          <w:t>Công tác bê tông</w:t>
        </w:r>
        <w:r>
          <w:rPr>
            <w:noProof/>
          </w:rPr>
          <w:tab/>
        </w:r>
        <w:r>
          <w:rPr>
            <w:noProof/>
          </w:rPr>
          <w:fldChar w:fldCharType="begin"/>
        </w:r>
        <w:r>
          <w:rPr>
            <w:noProof/>
          </w:rPr>
          <w:instrText xml:space="preserve"> PAGEREF _Toc1105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6" w:history="1">
        <w:r>
          <w:rPr>
            <w:noProof/>
          </w:rPr>
          <w:t xml:space="preserve">7.2.3 </w:t>
        </w:r>
        <w:r>
          <w:rPr>
            <w:noProof/>
          </w:rPr>
          <w:t>Công tác khoan phụt chống thấm</w:t>
        </w:r>
        <w:r>
          <w:rPr>
            <w:noProof/>
          </w:rPr>
          <w:tab/>
        </w:r>
        <w:r>
          <w:rPr>
            <w:noProof/>
          </w:rPr>
          <w:fldChar w:fldCharType="begin"/>
        </w:r>
        <w:r>
          <w:rPr>
            <w:noProof/>
          </w:rPr>
          <w:instrText xml:space="preserve"> PAGEREF _Toc1106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7" w:history="1">
        <w:r>
          <w:rPr>
            <w:noProof/>
          </w:rPr>
          <w:t xml:space="preserve">7.2.4 </w:t>
        </w:r>
        <w:r>
          <w:rPr>
            <w:noProof/>
          </w:rPr>
          <w:t>Lắp đặt thiết bị</w:t>
        </w:r>
        <w:r>
          <w:rPr>
            <w:noProof/>
          </w:rPr>
          <w:tab/>
        </w:r>
        <w:r>
          <w:rPr>
            <w:noProof/>
          </w:rPr>
          <w:fldChar w:fldCharType="begin"/>
        </w:r>
        <w:r>
          <w:rPr>
            <w:noProof/>
          </w:rPr>
          <w:instrText xml:space="preserve"> PAGEREF _Toc1107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8"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_Toc1108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9" w:history="1">
        <w:r>
          <w:rPr>
            <w:noProof/>
          </w:rPr>
          <w:t xml:space="preserve">7.4 </w:t>
        </w:r>
        <w:r>
          <w:rPr>
            <w:noProof/>
          </w:rPr>
          <w:t>Tiến độ thi công</w:t>
        </w:r>
        <w:r>
          <w:rPr>
            <w:noProof/>
          </w:rPr>
          <w:tab/>
        </w:r>
        <w:r>
          <w:rPr>
            <w:noProof/>
          </w:rPr>
          <w:fldChar w:fldCharType="begin"/>
        </w:r>
        <w:r>
          <w:rPr>
            <w:noProof/>
          </w:rPr>
          <w:instrText xml:space="preserve"> PAGEREF _Toc1109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0"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_Toc1110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1"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_Toc1111 \h </w:instrText>
        </w:r>
        <w:r>
          <w:rPr>
            <w:noProof/>
          </w:rPr>
          <w:fldChar w:fldCharType="separate"/>
        </w:r>
        <w:r>
          <w:rPr>
            <w:noProof/>
          </w:rPr>
          <w:t xml:space="preserve">75</w:t>
        </w:r>
        <w:r>
          <w:rPr>
            <w:noProof/>
          </w:rPr>
          <w:fldChar w:fldCharType="end"/>
        </w:r>
      </w:hyperlink>
    </w:p>
    <w:p>
      <w:pPr>
        <w:pStyle w:val="TOC1"/>
        <w:tabs>
          <w:tab w:val="right" w:leader="dot" w:pos="9062"/>
        </w:tabs>
      </w:pPr>
      <w:hyperlink w:anchor="_Toc1112"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_Toc1112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3" w:history="1">
        <w:r>
          <w:rPr>
            <w:noProof/>
          </w:rPr>
          <w:t xml:space="preserve">8.1 </w:t>
        </w:r>
        <w:r>
          <w:rPr>
            <w:noProof/>
          </w:rPr>
          <w:t>Đặt vấn đề</w:t>
        </w:r>
        <w:r>
          <w:rPr>
            <w:noProof/>
          </w:rPr>
          <w:tab/>
        </w:r>
        <w:r>
          <w:rPr>
            <w:noProof/>
          </w:rPr>
          <w:fldChar w:fldCharType="begin"/>
        </w:r>
        <w:r>
          <w:rPr>
            <w:noProof/>
          </w:rPr>
          <w:instrText xml:space="preserve"> PAGEREF _Toc1113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4" w:history="1">
        <w:r>
          <w:rPr>
            <w:noProof/>
          </w:rPr>
          <w:t xml:space="preserve">8.2 </w:t>
        </w:r>
        <w:r>
          <w:rPr>
            <w:noProof/>
          </w:rPr>
          <w:t>Cơ sở lý thuyết</w:t>
        </w:r>
        <w:r>
          <w:rPr>
            <w:noProof/>
          </w:rPr>
          <w:tab/>
        </w:r>
        <w:r>
          <w:rPr>
            <w:noProof/>
          </w:rPr>
          <w:fldChar w:fldCharType="begin"/>
        </w:r>
        <w:r>
          <w:rPr>
            <w:noProof/>
          </w:rPr>
          <w:instrText xml:space="preserve"> PAGEREF _Toc1114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5"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_Toc1115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6"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_Toc1116 \h </w:instrText>
        </w:r>
        <w:r>
          <w:rPr>
            <w:noProof/>
          </w:rPr>
          <w:fldChar w:fldCharType="separate"/>
        </w:r>
        <w:r>
          <w:rPr>
            <w:noProof/>
          </w:rPr>
          <w:t xml:space="preserve">77</w:t>
        </w:r>
        <w:r>
          <w:rPr>
            <w:noProof/>
          </w:rPr>
          <w:fldChar w:fldCharType="end"/>
        </w:r>
      </w:hyperlink>
    </w:p>
    <w:p>
      <w:pPr>
        <w:pStyle w:val="TOC2"/>
        <w:tabs>
          <w:tab w:val="right" w:leader="dot" w:pos="9062"/>
        </w:tabs>
      </w:pPr>
      <w:hyperlink w:anchor="_Toc1117" w:history="1">
        <w:r>
          <w:rPr>
            <w:noProof/>
          </w:rPr>
          <w:t xml:space="preserve">8.3 </w:t>
        </w:r>
        <w:r>
          <w:rPr>
            <w:noProof/>
          </w:rPr>
          <w:t>Mô hình tính toán</w:t>
        </w:r>
        <w:r>
          <w:rPr>
            <w:noProof/>
          </w:rPr>
          <w:tab/>
        </w:r>
        <w:r>
          <w:rPr>
            <w:noProof/>
          </w:rPr>
          <w:fldChar w:fldCharType="begin"/>
        </w:r>
        <w:r>
          <w:rPr>
            <w:noProof/>
          </w:rPr>
          <w:instrText xml:space="preserve"> PAGEREF _Toc1117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8" w:history="1">
        <w:r>
          <w:rPr>
            <w:noProof/>
          </w:rPr>
          <w:t xml:space="preserve">8.3.1 </w:t>
        </w:r>
        <w:r>
          <w:rPr>
            <w:noProof/>
          </w:rPr>
          <w:t>Hình học và địa tầng</w:t>
        </w:r>
        <w:r>
          <w:rPr>
            <w:noProof/>
          </w:rPr>
          <w:tab/>
        </w:r>
        <w:r>
          <w:rPr>
            <w:noProof/>
          </w:rPr>
          <w:fldChar w:fldCharType="begin"/>
        </w:r>
        <w:r>
          <w:rPr>
            <w:noProof/>
          </w:rPr>
          <w:instrText xml:space="preserve"> PAGEREF _Toc1118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9"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_Toc1119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0"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_Toc1120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21"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_Toc1121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2"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_Toc1122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3"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_Toc1123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4"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_Toc1124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5"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_Toc1125 \h </w:instrText>
        </w:r>
        <w:r>
          <w:rPr>
            <w:noProof/>
          </w:rPr>
          <w:fldChar w:fldCharType="separate"/>
        </w:r>
        <w:r>
          <w:rPr>
            <w:noProof/>
          </w:rPr>
          <w:t xml:space="preserve">83</w:t>
        </w:r>
        <w:r>
          <w:rPr>
            <w:noProof/>
          </w:rPr>
          <w:fldChar w:fldCharType="end"/>
        </w:r>
      </w:hyperlink>
    </w:p>
    <w:p>
      <w:pPr>
        <w:pStyle w:val="TOC2"/>
        <w:tabs>
          <w:tab w:val="right" w:leader="dot" w:pos="9062"/>
        </w:tabs>
      </w:pPr>
      <w:hyperlink w:anchor="_Toc1126"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_Toc1126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27" w:history="1">
        <w:r>
          <w:rPr>
            <w:noProof/>
          </w:rPr>
          <w:t xml:space="preserve">8.7 </w:t>
        </w:r>
        <w:r>
          <w:rPr>
            <w:noProof/>
          </w:rPr>
          <w:t>Kết luận chuyên đề</w:t>
        </w:r>
        <w:r>
          <w:rPr>
            <w:noProof/>
          </w:rPr>
          <w:tab/>
        </w:r>
        <w:r>
          <w:rPr>
            <w:noProof/>
          </w:rPr>
          <w:fldChar w:fldCharType="begin"/>
        </w:r>
        <w:r>
          <w:rPr>
            <w:noProof/>
          </w:rPr>
          <w:instrText xml:space="preserve"> PAGEREF _Toc1127 \h </w:instrText>
        </w:r>
        <w:r>
          <w:rPr>
            <w:noProof/>
          </w:rPr>
          <w:fldChar w:fldCharType="separate"/>
        </w:r>
        <w:r>
          <w:rPr>
            <w:noProof/>
          </w:rPr>
          <w:t xml:space="preserve">88</w:t>
        </w:r>
        <w:r>
          <w:rPr>
            <w:noProof/>
          </w:rPr>
          <w:fldChar w:fldCharType="end"/>
        </w:r>
      </w:hyperlink>
    </w:p>
    <w:p>
      <w:pPr>
        <w:pStyle w:val="TOC1"/>
        <w:tabs>
          <w:tab w:val="right" w:leader="dot" w:pos="9062"/>
        </w:tabs>
      </w:pPr>
      <w:hyperlink w:anchor="_Toc1128" w:history="1">
        <w:r>
          <w:rPr>
            <w:noProof/>
          </w:rPr>
          <w:t>KẾT LUẬN VÀ KIẾN NGHỊ</w:t>
        </w:r>
        <w:r>
          <w:rPr>
            <w:noProof/>
          </w:rPr>
          <w:tab/>
        </w:r>
        <w:r>
          <w:rPr>
            <w:noProof/>
          </w:rPr>
          <w:fldChar w:fldCharType="begin"/>
        </w:r>
        <w:r>
          <w:rPr>
            <w:noProof/>
          </w:rPr>
          <w:instrText xml:space="preserve"> PAGEREF _Toc1128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29" w:history="1">
        <w:r>
          <w:rPr>
            <w:noProof/>
          </w:rPr>
          <w:t>Kết luận</w:t>
        </w:r>
        <w:r>
          <w:rPr>
            <w:noProof/>
          </w:rPr>
          <w:tab/>
        </w:r>
        <w:r>
          <w:rPr>
            <w:noProof/>
          </w:rPr>
          <w:fldChar w:fldCharType="begin"/>
        </w:r>
        <w:r>
          <w:rPr>
            <w:noProof/>
          </w:rPr>
          <w:instrText xml:space="preserve"> PAGEREF _Toc1129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30" w:history="1">
        <w:r>
          <w:rPr>
            <w:noProof/>
          </w:rPr>
          <w:t>Kiến nghị</w:t>
        </w:r>
        <w:r>
          <w:rPr>
            <w:noProof/>
          </w:rPr>
          <w:tab/>
        </w:r>
        <w:r>
          <w:rPr>
            <w:noProof/>
          </w:rPr>
          <w:fldChar w:fldCharType="begin"/>
        </w:r>
        <w:r>
          <w:rPr>
            <w:noProof/>
          </w:rPr>
          <w:instrText xml:space="preserve"> PAGEREF _Toc1130 \h </w:instrText>
        </w:r>
        <w:r>
          <w:rPr>
            <w:noProof/>
          </w:rPr>
          <w:fldChar w:fldCharType="separate"/>
        </w:r>
        <w:r>
          <w:rPr>
            <w:noProof/>
          </w:rPr>
          <w:t xml:space="preserve">91</w:t>
        </w:r>
        <w:r>
          <w:rPr>
            <w:noProof/>
          </w:rPr>
          <w:fldChar w:fldCharType="end"/>
        </w:r>
      </w:hyperlink>
    </w:p>
    <w:p>
      <w:pPr>
        <w:pStyle w:val="TOC1"/>
        <w:tabs>
          <w:tab w:val="right" w:leader="dot" w:pos="9062"/>
        </w:tabs>
      </w:pPr>
      <w:hyperlink w:anchor="_Toc1131" w:history="1">
        <w:r>
          <w:rPr>
            <w:noProof/>
          </w:rPr>
          <w:t>TÀI LIỆU THAM KHẢO</w:t>
        </w:r>
        <w:r>
          <w:rPr>
            <w:noProof/>
          </w:rPr>
          <w:tab/>
        </w:r>
        <w:r>
          <w:rPr>
            <w:noProof/>
          </w:rPr>
          <w:fldChar w:fldCharType="begin"/>
        </w:r>
        <w:r>
          <w:rPr>
            <w:noProof/>
          </w:rPr>
          <w:instrText xml:space="preserve"> PAGEREF _Toc1131 \h </w:instrText>
        </w:r>
        <w:r>
          <w:rPr>
            <w:noProof/>
          </w:rPr>
          <w:fldChar w:fldCharType="separate"/>
        </w:r>
        <w:r>
          <w:rPr>
            <w:noProof/>
          </w:rPr>
          <w:t xml:space="preserve">93</w:t>
        </w:r>
        <w:r>
          <w:rPr>
            <w:noProof/>
          </w:rPr>
          <w:fldChar w:fldCharType="end"/>
        </w:r>
      </w:hyperlink>
    </w:p>
    <w:p>
      <w:pPr>
        <w:pStyle w:val="TOC1"/>
        <w:tabs>
          <w:tab w:val="right" w:leader="dot" w:pos="9062"/>
        </w:tabs>
      </w:pPr>
      <w:hyperlink w:anchor="_Toc1132" w:history="1">
        <w:r>
          <w:rPr>
            <w:noProof/>
          </w:rPr>
          <w:t>PHỤ LỤC</w:t>
        </w:r>
        <w:r>
          <w:rPr>
            <w:noProof/>
          </w:rPr>
          <w:tab/>
        </w:r>
        <w:r>
          <w:rPr>
            <w:noProof/>
          </w:rPr>
          <w:fldChar w:fldCharType="begin"/>
        </w:r>
        <w:r>
          <w:rPr>
            <w:noProof/>
          </w:rPr>
          <w:instrText xml:space="preserve"> PAGEREF _Toc1132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3"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_Toc1133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4" w:history="1">
        <w:r>
          <w:rPr>
            <w:noProof/>
          </w:rPr>
          <w:t>Phụ lục 2. Bảng tính điều tiết lũ theo thời gian</w:t>
        </w:r>
        <w:r>
          <w:rPr>
            <w:noProof/>
          </w:rPr>
          <w:tab/>
        </w:r>
        <w:r>
          <w:rPr>
            <w:noProof/>
          </w:rPr>
          <w:fldChar w:fldCharType="begin"/>
        </w:r>
        <w:r>
          <w:rPr>
            <w:noProof/>
          </w:rPr>
          <w:instrText xml:space="preserve"> PAGEREF _Toc1134 \h </w:instrText>
        </w:r>
        <w:r>
          <w:rPr>
            <w:noProof/>
          </w:rPr>
          <w:fldChar w:fldCharType="separate"/>
        </w:r>
        <w:r>
          <w:rPr>
            <w:noProof/>
          </w:rPr>
          <w:t xml:space="preserve">97</w:t>
        </w:r>
        <w:r>
          <w:rPr>
            <w:noProof/>
          </w:rPr>
          <w:fldChar w:fldCharType="end"/>
        </w:r>
      </w:hyperlink>
    </w:p>
    <w:p>
      <w:pPr>
        <w:pStyle w:val="TOC2"/>
        <w:tabs>
          <w:tab w:val="right" w:leader="dot" w:pos="9062"/>
        </w:tabs>
      </w:pPr>
      <w:hyperlink w:anchor="_Toc1135" w:history="1">
        <w:r>
          <w:rPr>
            <w:noProof/>
          </w:rPr>
          <w:t>Phụ lục 3. Kết quả tính ổn định mái đập sau sửa chữa</w:t>
        </w:r>
        <w:r>
          <w:rPr>
            <w:noProof/>
          </w:rPr>
          <w:tab/>
        </w:r>
        <w:r>
          <w:rPr>
            <w:noProof/>
          </w:rPr>
          <w:fldChar w:fldCharType="begin"/>
        </w:r>
        <w:r>
          <w:rPr>
            <w:noProof/>
          </w:rPr>
          <w:instrText xml:space="preserve"> PAGEREF _Toc1135 \h </w:instrText>
        </w:r>
        <w:r>
          <w:rPr>
            <w:noProof/>
          </w:rPr>
          <w:fldChar w:fldCharType="separate"/>
        </w:r>
        <w:r>
          <w:rPr>
            <w:noProof/>
          </w:rPr>
          <w:t xml:space="preserve">99</w:t>
        </w:r>
        <w:r>
          <w:rPr>
            <w:noProof/>
          </w:rPr>
          <w:fldChar w:fldCharType="end"/>
        </w:r>
      </w:hyperlink>
    </w:p>
    <w:p>
      <w:pPr>
        <w:pStyle w:val="TOC2"/>
        <w:tabs>
          <w:tab w:val="right" w:leader="dot" w:pos="9062"/>
        </w:tabs>
      </w:pPr>
      <w:hyperlink w:anchor="_Toc1136" w:history="1">
        <w:r>
          <w:rPr>
            <w:noProof/>
          </w:rPr>
          <w:t>Phụ lục 4. Kết quả tính thấm bổ sung</w:t>
        </w:r>
        <w:r>
          <w:rPr>
            <w:noProof/>
          </w:rPr>
          <w:tab/>
        </w:r>
        <w:r>
          <w:rPr>
            <w:noProof/>
          </w:rPr>
          <w:fldChar w:fldCharType="begin"/>
        </w:r>
        <w:r>
          <w:rPr>
            <w:noProof/>
          </w:rPr>
          <w:instrText xml:space="preserve"> PAGEREF _Toc1136 \h </w:instrText>
        </w:r>
        <w:r>
          <w:rPr>
            <w:noProof/>
          </w:rPr>
          <w:fldChar w:fldCharType="separate"/>
        </w:r>
        <w:r>
          <w:rPr>
            <w:noProof/>
          </w:rPr>
          <w:t xml:space="preserve">101</w:t>
        </w:r>
        <w:r>
          <w:rPr>
            <w:noProof/>
          </w:rPr>
          <w:fldChar w:fldCharType="end"/>
        </w:r>
      </w:hyperlink>
    </w:p>
    <w:p>
      <w:pPr>
        <w:pStyle w:val="TOC2"/>
        <w:tabs>
          <w:tab w:val="right" w:leader="dot" w:pos="9062"/>
        </w:tabs>
      </w:pPr>
      <w:hyperlink w:anchor="_Toc1137" w:history="1">
        <w:r>
          <w:rPr>
            <w:noProof/>
          </w:rPr>
          <w:t>Phụ lục 5. Chương trình tính toán của đồ án</w:t>
        </w:r>
        <w:r>
          <w:rPr>
            <w:noProof/>
          </w:rPr>
          <w:tab/>
        </w:r>
        <w:r>
          <w:rPr>
            <w:noProof/>
          </w:rPr>
          <w:fldChar w:fldCharType="begin"/>
        </w:r>
        <w:r>
          <w:rPr>
            <w:noProof/>
          </w:rPr>
          <w:instrText xml:space="preserve"> PAGEREF _Toc1137 \h </w:instrText>
        </w:r>
        <w:r>
          <w:rPr>
            <w:noProof/>
          </w:rPr>
          <w:fldChar w:fldCharType="separate"/>
        </w:r>
        <w:r>
          <w:rPr>
            <w:noProof/>
          </w:rPr>
          <w:t xml:space="preserve">102</w:t>
        </w:r>
        <w:r>
          <w:rPr>
            <w:noProof/>
          </w:rPr>
          <w:fldChar w:fldCharType="end"/>
        </w:r>
      </w:hyperlink>
    </w:p>
    <w:p>
      <w:pPr>
        <w:pStyle w:val="TOC2"/>
        <w:tabs>
          <w:tab w:val="right" w:leader="dot" w:pos="9062"/>
        </w:tabs>
      </w:pPr>
      <w:hyperlink w:anchor="_Toc1138"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_Toc1138 \h </w:instrText>
        </w:r>
        <w:r>
          <w:rPr>
            <w:noProof/>
          </w:rPr>
          <w:fldChar w:fldCharType="separate"/>
        </w:r>
        <w:r>
          <w:rPr>
            <w:noProof/>
          </w:rPr>
          <w:t xml:space="preserve">103</w:t>
        </w:r>
        <w:r>
          <w:rPr>
            <w:noProof/>
          </w:rPr>
          <w:fldChar w:fldCharType="end"/>
        </w:r>
      </w:hyperlink>
    </w:p>
    <w:p>
      <w:pPr>
        <w:pStyle w:val="TOC2"/>
        <w:tabs>
          <w:tab w:val="right" w:leader="dot" w:pos="9062"/>
        </w:tabs>
      </w:pPr>
      <w:hyperlink w:anchor="_Toc1139" w:history="1">
        <w:r>
          <w:rPr>
            <w:noProof/>
          </w:rPr>
          <w:t xml:space="preserve">Phụ lục 7. Số liệu mưa lưu vực hồ Cà Giây</w:t>
        </w:r>
        <w:r>
          <w:rPr>
            <w:noProof/>
          </w:rPr>
          <w:tab/>
        </w:r>
        <w:r>
          <w:rPr>
            <w:noProof/>
          </w:rPr>
          <w:fldChar w:fldCharType="begin"/>
        </w:r>
        <w:r>
          <w:rPr>
            <w:noProof/>
          </w:rPr>
          <w:instrText xml:space="preserve"> PAGEREF _Toc1139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8" w:history="1">
        <w:r>
          <w:rPr>
            <w:noProof/>
          </w:rPr>
          <w:t xml:space="preserve">Hình 3.1 </w:t>
        </w:r>
        <w:r>
          <w:rPr>
            <w:noProof/>
          </w:rPr>
          <w:t xml:space="preserve">Cấu tạo đỉnh đập sau sửa chữa, bộ phận chống thấm và cao trình khống chế (lập trên cơ sở TKCS [2]; tỷ lệ đứng phóng to 4 lần)</w:t>
        </w:r>
        <w:r>
          <w:rPr>
            <w:noProof/>
          </w:rPr>
          <w:tab/>
        </w:r>
        <w:r>
          <w:rPr>
            <w:noProof/>
          </w:rPr>
          <w:fldChar w:fldCharType="begin"/>
        </w:r>
        <w:r>
          <w:rPr>
            <w:noProof/>
          </w:rPr>
          <w:instrText xml:space="preserve"> PAGEREF _Toc2008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2009" w:history="1">
        <w:r>
          <w:rPr>
            <w:noProof/>
          </w:rPr>
          <w:t xml:space="preserve">Hình 3.2 </w:t>
        </w:r>
        <w:r>
          <w:rPr>
            <w:noProof/>
          </w:rPr>
          <w:t xml:space="preserve">Mặt bằng bố trí hệ thống rãnh thoát nước mái hạ lưu </w:t>
        </w:r>
        <w:r>
          <w:rPr>
            <w:noProof/>
          </w:rPr>
          <w:t xml:space="preserve">(nguồn: TKCS [2]; ô 4 × 4 m đặt xoay 45°, đường chảy dài nhất theo đường chéo ≈ 5,66 m)</w:t>
        </w:r>
        <w:r>
          <w:rPr>
            <w:noProof/>
          </w:rPr>
          <w:tab/>
        </w:r>
        <w:r>
          <w:rPr>
            <w:noProof/>
          </w:rPr>
          <w:fldChar w:fldCharType="begin"/>
        </w:r>
        <w:r>
          <w:rPr>
            <w:noProof/>
          </w:rPr>
          <w:instrText xml:space="preserve"> PAGEREF _Toc2009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1" w:history="1">
        <w:r>
          <w:rPr>
            <w:noProof/>
          </w:rPr>
          <w:t xml:space="preserve">Hình 4.2 Lượng mưa năm và lượng mưa 1 ngày lớn nhất năm của lưu vực trước và sau khi công trình vận hành</w:t>
        </w:r>
        <w:r>
          <w:rPr>
            <w:noProof/>
          </w:rPr>
          <w:tab/>
        </w:r>
        <w:r>
          <w:rPr>
            <w:noProof/>
          </w:rPr>
          <w:fldChar w:fldCharType="begin"/>
        </w:r>
        <w:r>
          <w:rPr>
            <w:noProof/>
          </w:rPr>
          <w:instrText xml:space="preserve"> PAGEREF _Toc2011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2012" w:history="1">
        <w:r>
          <w:rPr>
            <w:noProof/>
          </w:rPr>
          <w:t xml:space="preserve">Hình 4.3 Mực nước lớn nhất trong hồ theo mức tăng lưu lượng lũ đến (tràn hiện trạng)</w:t>
        </w:r>
        <w:r>
          <w:rPr>
            <w:noProof/>
          </w:rPr>
          <w:tab/>
        </w:r>
        <w:r>
          <w:rPr>
            <w:noProof/>
          </w:rPr>
          <w:fldChar w:fldCharType="begin"/>
        </w:r>
        <w:r>
          <w:rPr>
            <w:noProof/>
          </w:rPr>
          <w:instrText xml:space="preserve"> PAGEREF _Toc2012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2013"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_Toc2013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4"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5"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_Toc2015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6"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_Toc2016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7"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19"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0"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_Toc2020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1"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_Toc2021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2"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3"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_Toc2023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24"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_Toc2024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5"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_Toc2025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6"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_Toc2026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7"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_Toc2027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8"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_Toc2028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9"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_Toc2029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30"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_Toc2030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1"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_Toc2031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2"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_Toc2032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3"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_Toc2033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4"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_Toc2034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5"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_Toc2035 \h </w:instrText>
        </w:r>
        <w:r>
          <w:rPr>
            <w:noProof/>
          </w:rPr>
          <w:fldChar w:fldCharType="separate"/>
        </w:r>
        <w:r>
          <w:rPr>
            <w:noProof/>
          </w:rPr>
          <w:t xml:space="preserve">102</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6</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13</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25</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34</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1" w:history="1">
        <w:r>
          <w:rPr>
            <w:noProof/>
          </w:rPr>
          <w:t xml:space="preserve">Bảng 4.7 </w:t>
        </w:r>
        <w:r>
          <w:rPr>
            <w:noProof/>
          </w:rPr>
          <w:t xml:space="preserve">Đặc trưng lượng mưa lưu vực hồ Cà Giây trước và sau khi công trình vận hành</w:t>
        </w:r>
        <w:r>
          <w:rPr>
            <w:noProof/>
          </w:rPr>
          <w:tab/>
        </w:r>
        <w:r>
          <w:rPr>
            <w:noProof/>
          </w:rPr>
          <w:fldChar w:fldCharType="begin"/>
        </w:r>
        <w:r>
          <w:rPr>
            <w:noProof/>
          </w:rPr>
          <w:instrText xml:space="preserve"> PAGEREF _Toc3021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2" w:history="1">
        <w:r>
          <w:rPr>
            <w:noProof/>
          </w:rPr>
          <w:t xml:space="preserve">Bảng 4.8 </w:t>
        </w:r>
        <w:r>
          <w:rPr>
            <w:noProof/>
          </w:rPr>
          <w:t xml:space="preserve">Mực nước lớn nhất trong hồ Z</w:t>
        </w:r>
        <w:r>
          <w:rPr>
            <w:noProof/>
            <w:vertAlign w:val="subscript"/>
          </w:rPr>
          <w:t xml:space="preserve">max</w:t>
        </w:r>
        <w:r>
          <w:rPr>
            <w:noProof/>
          </w:rPr>
          <w:t xml:space="preserve"> (m) và lưu lượng xả lớn nhất (m</w:t>
        </w:r>
        <w:r>
          <w:rPr>
            <w:noProof/>
            <w:vertAlign w:val="superscript"/>
          </w:rPr>
          <w:t xml:space="preserve">3</w:t>
        </w:r>
        <w:r>
          <w:rPr>
            <w:noProof/>
          </w:rPr>
          <w:t xml:space="preserve">/s) khi lũ đến tăng k (tràn hiện trạng, đầu trận lũ ở MNDBT)</w:t>
        </w:r>
        <w:r>
          <w:rPr>
            <w:noProof/>
          </w:rPr>
          <w:tab/>
        </w:r>
        <w:r>
          <w:rPr>
            <w:noProof/>
          </w:rPr>
          <w:fldChar w:fldCharType="begin"/>
        </w:r>
        <w:r>
          <w:rPr>
            <w:noProof/>
          </w:rPr>
          <w:instrText xml:space="preserve"> PAGEREF _Toc3022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3" w:history="1">
        <w:r>
          <w:rPr>
            <w:noProof/>
          </w:rPr>
          <w:t xml:space="preserve">Bảng 4.9 </w:t>
        </w:r>
        <w:r>
          <w:rPr>
            <w:noProof/>
          </w:rPr>
          <w:t xml:space="preserve">So sánh các chỉ tiêu an toàn của công trình tháo lũ trước và sau sửa chữa</w:t>
        </w:r>
        <w:r>
          <w:rPr>
            <w:noProof/>
          </w:rPr>
          <w:tab/>
        </w:r>
        <w:r>
          <w:rPr>
            <w:noProof/>
          </w:rPr>
          <w:fldChar w:fldCharType="begin"/>
        </w:r>
        <w:r>
          <w:rPr>
            <w:noProof/>
          </w:rPr>
          <w:instrText xml:space="preserve"> PAGEREF _Toc3023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4"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25"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_Toc3025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26"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_Toc3026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27"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_Toc3027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28"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_Toc3028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29"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_Toc3029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0" w:history="1">
        <w:r>
          <w:rPr>
            <w:noProof/>
          </w:rPr>
          <w:t xml:space="preserve">Bảng 5.7 </w:t>
        </w:r>
        <w:r>
          <w:rPr>
            <w:noProof/>
          </w:rPr>
          <w:t xml:space="preserve">So sánh các chỉ tiêu an toàn của đập đất trước và sau sửa chữa (mặt cắt lòng sông)</w:t>
        </w:r>
        <w:r>
          <w:rPr>
            <w:noProof/>
          </w:rPr>
          <w:tab/>
        </w:r>
        <w:r>
          <w:rPr>
            <w:noProof/>
          </w:rPr>
          <w:fldChar w:fldCharType="begin"/>
        </w:r>
        <w:r>
          <w:rPr>
            <w:noProof/>
          </w:rPr>
          <w:instrText xml:space="preserve"> PAGEREF _Toc3030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3031"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_Toc3031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2"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_Toc3032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3"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_Toc3033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4"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_Toc3034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3035"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_Toc3035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36"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_Toc3036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3037"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_Toc3037 \h </w:instrText>
        </w:r>
        <w:r>
          <w:rPr>
            <w:noProof/>
          </w:rPr>
          <w:fldChar w:fldCharType="separate"/>
        </w:r>
        <w:r>
          <w:rPr>
            <w:noProof/>
          </w:rPr>
          <w:t xml:space="preserve">74</w:t>
        </w:r>
        <w:r>
          <w:rPr>
            <w:noProof/>
          </w:rPr>
          <w:fldChar w:fldCharType="end"/>
        </w:r>
      </w:hyperlink>
    </w:p>
    <w:p>
      <w:pPr>
        <w:pStyle w:val="TableofFigures"/>
        <w:tabs>
          <w:tab w:val="right" w:leader="dot" w:pos="9062"/>
        </w:tabs>
      </w:pPr>
      <w:hyperlink w:anchor="_Toc3038"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39"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0"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_Toc3040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1"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_Toc3041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2"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_Toc3042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3"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_Toc3043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4"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_Toc3044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5"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_Toc3045 \h </w:instrText>
        </w:r>
        <w:r>
          <w:rPr>
            <w:noProof/>
          </w:rPr>
          <w:fldChar w:fldCharType="separate"/>
        </w:r>
        <w:r>
          <w:rPr>
            <w:noProof/>
          </w:rPr>
          <w:t xml:space="preserve">88</w:t>
        </w:r>
        <w:r>
          <w:rPr>
            <w:noProof/>
          </w:rPr>
          <w:fldChar w:fldCharType="end"/>
        </w:r>
      </w:hyperlink>
    </w:p>
    <w:p>
      <w:pPr>
        <w:pStyle w:val="TableofFigures"/>
        <w:tabs>
          <w:tab w:val="right" w:leader="dot" w:pos="9062"/>
        </w:tabs>
      </w:pPr>
      <w:hyperlink w:anchor="_Toc3046"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_Toc3046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7"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_Toc3047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8"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_Toc3048 \h </w:instrText>
        </w:r>
        <w:r>
          <w:rPr>
            <w:noProof/>
          </w:rPr>
          <w:fldChar w:fldCharType="separate"/>
        </w:r>
        <w:r>
          <w:rPr>
            <w:noProof/>
          </w:rPr>
          <w:t xml:space="preserve">97</w:t>
        </w:r>
        <w:r>
          <w:rPr>
            <w:noProof/>
          </w:rPr>
          <w:fldChar w:fldCharType="end"/>
        </w:r>
      </w:hyperlink>
    </w:p>
    <w:p>
      <w:pPr>
        <w:pStyle w:val="TableofFigures"/>
        <w:tabs>
          <w:tab w:val="right" w:leader="dot" w:pos="9062"/>
        </w:tabs>
      </w:pPr>
      <w:hyperlink w:anchor="_Toc3049"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_Toc3049 \h </w:instrText>
        </w:r>
        <w:r>
          <w:rPr>
            <w:noProof/>
          </w:rPr>
          <w:fldChar w:fldCharType="separate"/>
        </w:r>
        <w:r>
          <w:rPr>
            <w:noProof/>
          </w:rPr>
          <w:t xml:space="preserve">98</w:t>
        </w:r>
        <w:r>
          <w:rPr>
            <w:noProof/>
          </w:rPr>
          <w:fldChar w:fldCharType="end"/>
        </w:r>
      </w:hyperlink>
    </w:p>
    <w:p>
      <w:pPr>
        <w:pStyle w:val="TableofFigures"/>
        <w:tabs>
          <w:tab w:val="right" w:leader="dot" w:pos="9062"/>
        </w:tabs>
      </w:pPr>
      <w:hyperlink w:anchor="_Toc3050"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_Toc3050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3051"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_Toc3051 \h </w:instrText>
        </w:r>
        <w:r>
          <w:rPr>
            <w:noProof/>
          </w:rPr>
          <w:fldChar w:fldCharType="separate"/>
        </w:r>
        <w:r>
          <w:rPr>
            <w:noProof/>
          </w:rPr>
          <w:t xml:space="preserve">103</w:t>
        </w:r>
        <w:r>
          <w:rPr>
            <w:noProof/>
          </w:rPr>
          <w:fldChar w:fldCharType="end"/>
        </w:r>
      </w:hyperlink>
    </w:p>
    <w:p>
      <w:pPr>
        <w:pStyle w:val="TableofFigures"/>
        <w:tabs>
          <w:tab w:val="right" w:leader="dot" w:pos="9062"/>
        </w:tabs>
      </w:pPr>
      <w:hyperlink w:anchor="_Toc3052"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_Toc3052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3"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_Toc3053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4"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_Toc3054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5" w:history="1">
        <w:r>
          <w:rPr>
            <w:noProof/>
          </w:rPr>
          <w:t xml:space="preserve">Bảng PL10 </w:t>
        </w:r>
        <w:r>
          <w:rPr>
            <w:noProof/>
          </w:rPr>
          <w:t xml:space="preserve">Ảnh hưởng của bất đẳng hướng thấm k</w:t>
        </w:r>
        <w:r>
          <w:rPr>
            <w:noProof/>
            <w:vertAlign w:val="subscript"/>
          </w:rPr>
          <w:t xml:space="preserve">h</w:t>
        </w:r>
        <w:r>
          <w:rPr>
            <w:noProof/>
          </w:rPr>
          <w:t xml:space="preserve">/k</w:t>
        </w:r>
        <w:r>
          <w:rPr>
            <w:noProof/>
            <w:vertAlign w:val="subscript"/>
          </w:rPr>
          <w:t xml:space="preserve">v</w:t>
        </w:r>
        <w:r>
          <w:rPr>
            <w:noProof/>
          </w:rPr>
          <w:t xml:space="preserve"> = 5 (giá trị k</w:t>
        </w:r>
        <w:r>
          <w:rPr>
            <w:noProof/>
            <w:vertAlign w:val="subscript"/>
          </w:rPr>
          <w:t xml:space="preserve">h</w:t>
        </w:r>
        <w:r>
          <w:rPr>
            <w:noProof/>
          </w:rPr>
          <w:t xml:space="preserve">/k</w:t>
        </w:r>
        <w:r>
          <w:rPr>
            <w:noProof/>
            <w:vertAlign w:val="subscript"/>
          </w:rPr>
          <w:t xml:space="preserve">v</w:t>
        </w:r>
        <w:r>
          <w:rPr>
            <w:noProof/>
          </w:rPr>
          <w:t xml:space="preserve"> = 1 / = 5)</w:t>
        </w:r>
        <w:r>
          <w:rPr>
            <w:noProof/>
          </w:rPr>
          <w:tab/>
        </w:r>
        <w:r>
          <w:rPr>
            <w:noProof/>
          </w:rPr>
          <w:fldChar w:fldCharType="begin"/>
        </w:r>
        <w:r>
          <w:rPr>
            <w:noProof/>
          </w:rPr>
          <w:instrText xml:space="preserve"> PAGEREF _Toc3055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6" w:history="1">
        <w:r>
          <w:rPr>
            <w:noProof/>
          </w:rPr>
          <w:t xml:space="preserve">Bảng PL11 </w:t>
        </w:r>
        <w:r>
          <w:rPr>
            <w:noProof/>
          </w:rPr>
          <w:t xml:space="preserve">Kiểm tra tìm cung trượt nguy hiểm nhất sau sửa chữa (Bishop; Spencer trên cung tìm lại)</w:t>
        </w:r>
        <w:r>
          <w:rPr>
            <w:noProof/>
          </w:rPr>
          <w:tab/>
        </w:r>
        <w:r>
          <w:rPr>
            <w:noProof/>
          </w:rPr>
          <w:fldChar w:fldCharType="begin"/>
        </w:r>
        <w:r>
          <w:rPr>
            <w:noProof/>
          </w:rPr>
          <w:instrText xml:space="preserve"> PAGEREF _Toc3056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7" w:history="1">
        <w:r>
          <w:rPr>
            <w:noProof/>
          </w:rPr>
          <w:t xml:space="preserve">Bảng PL12 </w:t>
        </w:r>
        <w:r>
          <w:rPr>
            <w:noProof/>
          </w:rPr>
          <w:t xml:space="preserve">Lượng mưa năm X</w:t>
        </w:r>
        <w:r>
          <w:rPr>
            <w:noProof/>
            <w:vertAlign w:val="subscript"/>
          </w:rPr>
          <w:t xml:space="preserve">năm</w:t>
        </w:r>
        <w:r>
          <w:rPr>
            <w:noProof/>
          </w:rPr>
          <w:t xml:space="preserve"> và lượng mưa 1 ngày lớn nhất X</w:t>
        </w:r>
        <w:r>
          <w:rPr>
            <w:noProof/>
            <w:vertAlign w:val="subscript"/>
          </w:rPr>
          <w:t xml:space="preserve">1max</w:t>
        </w:r>
        <w:r>
          <w:rPr>
            <w:noProof/>
          </w:rPr>
          <w:t xml:space="preserve"> của lưu vực (mm)</w:t>
        </w:r>
        <w:r>
          <w:rPr>
            <w:noProof/>
          </w:rPr>
          <w:tab/>
        </w:r>
        <w:r>
          <w:rPr>
            <w:noProof/>
          </w:rPr>
          <w:fldChar w:fldCharType="begin"/>
        </w:r>
        <w:r>
          <w:rPr>
            <w:noProof/>
          </w:rPr>
          <w:instrText xml:space="preserve"> PAGEREF _Toc3057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 (mực nước lớn nhất kiểm tra – TCVN 10778:2024)</w:t>
            </w:r>
          </w:p>
        </w:tc>
      </w:tr>
      <w:tr>
        <w:tc>
          <w:tcPr>
            <w:tcW w:type="dxa" w:w="2268"/>
          </w:tcPr>
          <w:p>
            <w:pPr>
              <w:spacing w:after="80"/>
            </w:pPr>
            <w:r>
              <w:t xml:space="preserve">MNLTK</w:t>
            </w:r>
          </w:p>
        </w:tc>
        <w:tc>
          <w:tcPr>
            <w:tcW w:type="dxa" w:w="6803"/>
          </w:tcPr>
          <w:p>
            <w:pPr>
              <w:spacing w:after="80"/>
            </w:pPr>
            <w:r>
              <w:t xml:space="preserve">Mực nước lũ thiết kế (mực nước lớn nhất thiết kế – TCVN 10778:2024)</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w:t>
      </w:r>
      <w:r>
        <w:t xml:space="preserve">tiêu chí diện tích tưới (2.000 ÷ 10.000 ha) cho cấp III; tiêu chí đặc tính kỹ thuật: đập đất cao lớn nhất khoảng 24,3 m (24,75 m sau nâng cấp [1]) trên nền đất sét pha nửa cứng (nền loại B, chiều cao &gt; 15 ÷ 35 m) cũng cho cấp II, nên không thuộc trường hợp được xem xét giảm cấp theo điều 2.1.2.3a của quy chuẩn. </w:t>
      </w:r>
      <w:r>
        <w:t xml:space="preserve">Vậy cấp thiết kế của cụm đầu mối là </w:t>
      </w:r>
      <w:r>
        <w:rPr>
          <w:b/>
        </w:rPr>
        <w:t>cấp II</w:t>
      </w:r>
      <w:r>
        <w:t>, tương ứng tần suất lũ thiết kế P = 1%, lũ kiểm tra P = 0,2% và mức bảo đảm cấp nước tưới thiết kế P = 85%.</w:t>
      </w:r>
      <w:r>
        <w:t xml:space="preserve"> Cấp công trình thay đổi theo các thế hệ tiêu chuẩn: khi thiết kế (1996) và lập QTVH năm 2005 theo TCVN 5060-90, hồ sơ ghi công trình cấp III [1] hoặc cấp IV [3] và đều tính lũ thiết kế P = 1%; nếu theo TCXDVN 285:2002 (thang cấp I ÷ V), công trình thuộc cấp III (dung tích 20 ÷ 200 triệu m</w:t>
      </w:r>
      <w:r>
        <w:rPr>
          <w:vertAlign w:val="superscript"/>
        </w:rPr>
        <w:t xml:space="preserve">3</w:t>
      </w:r>
      <w:r>
        <w:t xml:space="preserve">; đập nền loại B cao 15 ÷ 35 m), ứng với lũ thiết kế 1,5% và lũ kiểm tra 0,5%; từ QCVN 04-05:2012 (thang cấp mới: đặc biệt, I ÷ IV) đến QCVN 04-05:2022, công trình là cấp II. Các hồ sơ sửa chữa (BCNCKT, TKCS, báo cáo KTTV, QTVH 2026) đều xác định công trình cấp II với tần suất lũ 1% / 0,2%, phù hợp quy chuẩn hiện hành; đồ án sử dụng thống nhất cấp II.</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76" w:name="_Toc3000"/>
      <w:r>
        <w:t xml:space="preserve">Bảng 1.1 </w:t>
      </w:r>
      <w:r>
        <w:t>Thông số kỹ thuật chủ yếu của cụm công trình đầu mối hồ Cà Giây</w:t>
      </w:r>
      <w:bookmarkEnd w:id="1076"/>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 xml:space="preserve">Quan hệ đặc tính lòng hồ được lập từ bình đồ khảo sát năm 2022. </w:t>
      </w:r>
      <w:r>
        <w:t xml:space="preserve">Khi sử dụng bảng số liệu, đồ án thống nhất hai điểm: (i) cột diện tích được hiểu theo đơn vị km</w:t>
      </w:r>
      <w:r>
        <w:rPr>
          <w:vertAlign w:val="superscript"/>
        </w:rPr>
        <w:t xml:space="preserve">2</w:t>
      </w:r>
      <w:r>
        <w:t xml:space="preserve"> như biểu đồ đặc tính lòng hồ trong TKCS (bảng số ghi đơn vị “ha”); (ii) từ cao trình +70 m trở lên, dung tích được tính lại từ diện tích để quan hệ Z ~ F ~ W nhất quán (ví dụ từ +70 đến +71 m diện tích trung bình 3,70 km</w:t>
      </w:r>
      <w:r>
        <w:rPr>
          <w:vertAlign w:val="superscript"/>
        </w:rPr>
        <w:t xml:space="preserve">2</w:t>
      </w:r>
      <w:r>
        <w:t xml:space="preserve">, trong bảng dung tích tăng 2,81 triệu m</w:t>
      </w:r>
      <w:r>
        <w:rPr>
          <w:vertAlign w:val="superscript"/>
        </w:rPr>
        <w:t xml:space="preserve">3</w:t>
      </w:r>
      <w:r>
        <w:t xml:space="preserve">). Toàn bộ đồ án sử dụng dung tích tính lại</w:t>
      </w:r>
      <w:r>
        <w:t xml:space="preserve">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77" w:name="_Toc3001"/>
      <w:r>
        <w:t xml:space="preserve">Bảng 1.2 </w:t>
      </w:r>
      <w:r>
        <w:t>Quan hệ Z ~ F ~ W lòng hồ Cà Giây (đoạn +64 ÷ +82 m)</w:t>
      </w:r>
      <w:bookmarkEnd w:id="1077"/>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40" w:name="_Toc2000"/>
      <w:r>
        <w:t xml:space="preserve">Hình 1.1 </w:t>
      </w:r>
      <w:r>
        <w:t>Đường đặc tính lòng hồ: a) Z ~ F; b) Z ~ W (so sánh số liệu hồ sơ và tính lại)</w:t>
      </w:r>
      <w:bookmarkEnd w:id="1040"/>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8" w:name="_Toc3002"/>
      <w:r>
        <w:t xml:space="preserve">Bảng 1.3 </w:t>
      </w:r>
      <w:r>
        <w:t>Chỉ tiêu cơ lý chủ yếu của các lớp đất đắp và nền đập</w:t>
      </w:r>
      <w:bookmarkEnd w:id="1078"/>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9" w:name="_Toc3003"/>
      <w:r>
        <w:t xml:space="preserve">Bảng 1.4 </w:t>
      </w:r>
      <w:r>
        <w:t>Vận tốc gió lớn nhất theo hướng ứng với các tần suất (m/s)</w:t>
      </w:r>
      <w:bookmarkEnd w:id="1079"/>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80" w:name="_Toc3004"/>
      <w:r>
        <w:t xml:space="preserve">Bảng 1.5 </w:t>
      </w:r>
      <w:r>
        <w:t>Đặc trưng lũ thiết kế đến hồ Cà Giây</w:t>
      </w:r>
      <w:bookmarkEnd w:id="1080"/>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 xml:space="preserve">/s) nhưng khác nhau về hình dạng: đường quá trình của BCNCKT lên nhanh, kéo dài 36 giờ; đường quá trình của QTVH kéo dài 72 giờ với tổng lượng lớn hơn. </w:t>
      </w:r>
      <w:r>
        <w:t xml:space="preserve">Tổng lượng tích phân từ đường quá trình (36,27 và 47,69 triệu m</w:t>
      </w:r>
      <w:r>
        <w:rPr>
          <w:vertAlign w:val="superscript"/>
        </w:rPr>
        <w:t xml:space="preserve">3</w:t>
      </w:r>
      <w:r>
        <w:t xml:space="preserve">) khác giá trị ghi trong bảng đặc trưng lũ (32,43 và 41,95 triệu m</w:t>
      </w:r>
      <w:r>
        <w:rPr>
          <w:vertAlign w:val="superscript"/>
        </w:rPr>
        <w:t xml:space="preserve">3</w:t>
      </w:r>
      <w:r>
        <w:t xml:space="preserve">); đồ án sử dụng trực tiếp</w:t>
      </w:r>
      <w:r>
        <w:t xml:space="preserve">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 xml:space="preserve">Tràn chính có 9 khoang × 2,4 m (các trụ pin đỡ cầu giao thông), ngưỡng +74,70 m, chảy tự do – không có cửa van [1], [3], [7];</w:t>
      </w:r>
      <w:r>
        <w:t xml:space="preserve">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w:t>
      </w:r>
      <w:r>
        <w:t xml:space="preserve">Hồ sơ BCNCKT năm 2022 tính điều tiết lũ với bề rộng tràn theo thiết kế ban đầu 25 m (3 khoang 9 + 8 + 8 m); hồ sơ QTVH 2026 cập nhật hiện trạng 9 khoang × 2,4 m = 21,6 m. Đồ án sử dụng số liệu hiện trạng cập nhật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w:t>
      </w:r>
      <w:r>
        <w:t xml:space="preserve">để chủ động kiểm soát giả thiết và đối chiếu với kết quả của hồ sơ dự án:</w:t>
      </w:r>
      <w:r>
        <w:t xml:space="preserve">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w:t>
      </w:r>
      <w:r>
        <w:t xml:space="preserve">(i) tính lại với cùng thông số của hồ sơ dự án và so sánh với kết quả trong hồ sơ</w:t>
      </w:r>
      <w:r>
        <w:t xml:space="preserve">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41" w:name="_Toc2001"/>
      <w:r>
        <w:t xml:space="preserve">Hình 1.2 Trình tự thực hiện và kiểm chứng kết quả tính toán của đồ án</w:t>
      </w:r>
      <w:bookmarkEnd w:id="1041"/>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81" w:name="_Toc3005"/>
      <w:r>
        <w:t xml:space="preserve">Bảng 2.1 </w:t>
      </w:r>
      <w:r>
        <w:t>Các chỉ tiêu thiết kế áp dụng cho công trình cấp II</w:t>
      </w:r>
      <w:bookmarkEnd w:id="1081"/>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 xml:space="preserve">Tần suất lũ thiết kế / lũ kiểm tra / lũ vượt kiểm tra</w:t>
            </w:r>
          </w:p>
        </w:tc>
        <w:tc>
          <w:tcPr>
            <w:tcW w:type="dxa" w:w="1984"/>
          </w:tcPr>
          <w:p>
            <w:pPr>
              <w:spacing w:before="20" w:after="20" w:line="240" w:lineRule="auto"/>
              <w:jc w:val="center"/>
            </w:pPr>
            <w:r>
              <w:rPr>
                <w:sz w:val="21"/>
              </w:rPr>
              <w:t xml:space="preserve">P = 1% / P = 0,2% / P = 0,1%</w:t>
            </w:r>
          </w:p>
        </w:tc>
        <w:tc>
          <w:tcPr>
            <w:tcW w:type="dxa" w:w="2268"/>
          </w:tcPr>
          <w:p>
            <w:pPr>
              <w:spacing w:before="20" w:after="20" w:line="240" w:lineRule="auto"/>
              <w:jc w:val="left"/>
            </w:pPr>
            <w:r>
              <w:rPr>
                <w:sz w:val="21"/>
              </w:rPr>
              <w:t xml:space="preserve">QCVN 04-05:2022 [6], Bảng 4; lũ vượt kiểm tra chỉ xét khi có luận cứ (điều 2.6.3.5)</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 xml:space="preserve">Hệ số bảo đảm γ</w:t>
            </w:r>
            <w:r>
              <w:rPr>
                <w:sz w:val="21"/>
                <w:vertAlign w:val="subscript"/>
              </w:rPr>
              <w:t xml:space="preserve">n</w:t>
            </w:r>
            <w:r>
              <w:rPr>
                <w:sz w:val="21"/>
              </w:rPr>
              <w:t xml:space="preserve"> (trước đây ký hiệu K</w:t>
            </w:r>
            <w:r>
              <w:rPr>
                <w:sz w:val="21"/>
                <w:vertAlign w:val="subscript"/>
              </w:rPr>
              <w:t xml:space="preserve">n</w:t>
            </w:r>
            <w:r>
              <w:rPr>
                <w:sz w:val="21"/>
              </w:rPr>
              <w:t xml:space="preserve">) – cấp II: kết cấu bê tông, BTCT / mái đất đắp</w:t>
            </w:r>
          </w:p>
        </w:tc>
        <w:tc>
          <w:tcPr>
            <w:tcW w:type="dxa" w:w="1984"/>
          </w:tcPr>
          <w:p>
            <w:pPr>
              <w:spacing w:before="20" w:after="20" w:line="240" w:lineRule="auto"/>
              <w:jc w:val="center"/>
            </w:pPr>
            <w:r>
              <w:rPr>
                <w:sz w:val="21"/>
              </w:rPr>
              <w:t xml:space="preserve">1,15 / 1,30</w:t>
            </w:r>
          </w:p>
        </w:tc>
        <w:tc>
          <w:tcPr>
            <w:tcW w:type="dxa" w:w="2268"/>
          </w:tcPr>
          <w:p>
            <w:pPr>
              <w:spacing w:before="20" w:after="20" w:line="240" w:lineRule="auto"/>
              <w:jc w:val="left"/>
            </w:pPr>
            <w:r>
              <w:rPr>
                <w:sz w:val="21"/>
              </w:rPr>
              <w:t xml:space="preserve">QCVN 04-05:2022, Bảng B.1; TCVN 4116:2023, mục 8.1.4</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 xml:space="preserve">Hệ số tổ hợp tải trọng γ</w:t>
            </w:r>
            <w:r>
              <w:rPr>
                <w:sz w:val="21"/>
                <w:vertAlign w:val="subscript"/>
              </w:rPr>
              <w:t xml:space="preserve">lc</w:t>
            </w:r>
            <w:r>
              <w:rPr>
                <w:sz w:val="21"/>
              </w:rPr>
              <w:t xml:space="preserve"> (trước đây n</w:t>
            </w:r>
            <w:r>
              <w:rPr>
                <w:sz w:val="21"/>
                <w:vertAlign w:val="subscript"/>
              </w:rPr>
              <w:t xml:space="preserve">c</w:t>
            </w:r>
            <w:r>
              <w:rPr>
                <w:sz w:val="21"/>
              </w:rPr>
              <w:t xml:space="preserve">): cơ bản / đặc biệt / thi công – sửa chữa</w:t>
            </w:r>
          </w:p>
        </w:tc>
        <w:tc>
          <w:tcPr>
            <w:tcW w:type="dxa" w:w="1984"/>
          </w:tcPr>
          <w:p>
            <w:pPr>
              <w:spacing w:before="20" w:after="20" w:line="240" w:lineRule="auto"/>
              <w:jc w:val="center"/>
            </w:pPr>
            <w:r>
              <w:rPr>
                <w:sz w:val="21"/>
              </w:rPr>
              <w:t xml:space="preserve">1,00 / 0,90 / 0,95</w:t>
            </w:r>
          </w:p>
        </w:tc>
        <w:tc>
          <w:tcPr>
            <w:tcW w:type="dxa" w:w="2268"/>
          </w:tcPr>
          <w:p>
            <w:pPr>
              <w:spacing w:before="20" w:after="20" w:line="240" w:lineRule="auto"/>
              <w:jc w:val="left"/>
            </w:pPr>
            <w:r>
              <w:rPr>
                <w:sz w:val="21"/>
              </w:rPr>
              <w:t xml:space="preserve">QCVN 04-05:2022, điều 2.5.3</w:t>
            </w:r>
          </w:p>
        </w:tc>
      </w:tr>
      <w:tr>
        <w:trPr>
          <w:cantSplit w:val="true"/>
        </w:trPr>
        <w:tc>
          <w:tcPr>
            <w:tcW w:type="dxa" w:w="567"/>
          </w:tcPr>
          <w:p>
            <w:pPr>
              <w:spacing w:before="20" w:after="20" w:line="240" w:lineRule="auto"/>
              <w:jc w:val="center"/>
            </w:pPr>
            <w:r>
              <w:rPr>
                <w:sz w:val="21"/>
              </w:rPr>
              <w:t xml:space="preserve">7a</w:t>
            </w:r>
          </w:p>
        </w:tc>
        <w:tc>
          <w:tcPr>
            <w:tcW w:type="dxa" w:w="4252"/>
          </w:tcPr>
          <w:p>
            <w:pPr>
              <w:spacing w:before="20" w:after="20" w:line="240" w:lineRule="auto"/>
              <w:jc w:val="left"/>
            </w:pPr>
            <w:r>
              <w:rPr>
                <w:sz w:val="21"/>
              </w:rPr>
              <w:t xml:space="preserve">Hệ số điều kiện làm việc γ</w:t>
            </w:r>
            <w:r>
              <w:rPr>
                <w:sz w:val="21"/>
                <w:vertAlign w:val="subscript"/>
              </w:rPr>
              <w:t xml:space="preserve">c</w:t>
            </w:r>
            <w:r>
              <w:rPr>
                <w:sz w:val="21"/>
              </w:rPr>
              <w:t xml:space="preserve">: kết cấu BT trên nền đá, mặt trượt qua tiếp xúc bê tông – đá / mái dốc</w:t>
            </w:r>
          </w:p>
        </w:tc>
        <w:tc>
          <w:tcPr>
            <w:tcW w:type="dxa" w:w="1984"/>
          </w:tcPr>
          <w:p>
            <w:pPr>
              <w:spacing w:before="20" w:after="20" w:line="240" w:lineRule="auto"/>
              <w:jc w:val="center"/>
            </w:pPr>
            <w:r>
              <w:rPr>
                <w:sz w:val="21"/>
              </w:rPr>
              <w:t xml:space="preserve">0,95 / 1,00</w:t>
            </w:r>
          </w:p>
        </w:tc>
        <w:tc>
          <w:tcPr>
            <w:tcW w:type="dxa" w:w="2268"/>
          </w:tcPr>
          <w:p>
            <w:pPr>
              <w:spacing w:before="20" w:after="20" w:line="240" w:lineRule="auto"/>
              <w:jc w:val="left"/>
            </w:pPr>
            <w:r>
              <w:rPr>
                <w:sz w:val="21"/>
              </w:rPr>
              <w:t xml:space="preserve">QCVN 04-05:2022, Bảng B.2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r>
        <w:trPr>
          <w:cantSplit w:val="true"/>
        </w:trPr>
        <w:tc>
          <w:tcPr>
            <w:tcW w:type="dxa" w:w="567"/>
          </w:tcPr>
          <w:p>
            <w:pPr>
              <w:spacing w:before="20" w:after="20" w:line="240" w:lineRule="auto"/>
              <w:jc w:val="center"/>
            </w:pPr>
            <w:r>
              <w:rPr>
                <w:sz w:val="21"/>
              </w:rPr>
              <w:t xml:space="preserve">11</w:t>
            </w:r>
          </w:p>
        </w:tc>
        <w:tc>
          <w:tcPr>
            <w:tcW w:type="dxa" w:w="4252"/>
          </w:tcPr>
          <w:p>
            <w:pPr>
              <w:spacing w:before="20" w:after="20" w:line="240" w:lineRule="auto"/>
              <w:jc w:val="left"/>
            </w:pPr>
            <w:r>
              <w:rPr>
                <w:sz w:val="21"/>
              </w:rPr>
              <w:t xml:space="preserve">Bê tông kết cấu thủy công: chỉ tiêu thiết kế; vùng chịu mài mòn, xâm thực; lớp bê tông bảo vệ cốt thép ở mặt tiếp xúc trực tiếp với nước; cường độ tính toán cốt thép R</w:t>
            </w:r>
            <w:r>
              <w:rPr>
                <w:sz w:val="21"/>
                <w:vertAlign w:val="subscript"/>
              </w:rPr>
              <w:t xml:space="preserve">s</w:t>
            </w:r>
          </w:p>
        </w:tc>
        <w:tc>
          <w:tcPr>
            <w:tcW w:type="dxa" w:w="1984"/>
          </w:tcPr>
          <w:p>
            <w:pPr>
              <w:spacing w:before="20" w:after="20" w:line="240" w:lineRule="auto"/>
              <w:jc w:val="center"/>
            </w:pPr>
            <w:r>
              <w:rPr>
                <w:sz w:val="21"/>
              </w:rPr>
              <w:t xml:space="preserve">Cấp độ bền chịu nén B, mác chống thấm W (mác M ghi kèm để đối chiếu); ≥ B25, W8; ≥ 60 mm và ≥ 2d; CB300-V 260 MPa, CB400-V 350 MPa</w:t>
            </w:r>
          </w:p>
        </w:tc>
        <w:tc>
          <w:tcPr>
            <w:tcW w:type="dxa" w:w="2268"/>
          </w:tcPr>
          <w:p>
            <w:pPr>
              <w:spacing w:before="20" w:after="20" w:line="240" w:lineRule="auto"/>
              <w:jc w:val="left"/>
            </w:pPr>
            <w:r>
              <w:rPr>
                <w:sz w:val="21"/>
              </w:rPr>
              <w:t xml:space="preserve">TCVN 4116:2023, mục 5.1.2, 5.1.9, 6.3.3; Bảng 11</w:t>
            </w:r>
          </w:p>
        </w:tc>
      </w:tr>
      <w:tr>
        <w:trPr>
          <w:cantSplit w:val="true"/>
        </w:trPr>
        <w:tc>
          <w:tcPr>
            <w:tcW w:type="dxa" w:w="567"/>
          </w:tcPr>
          <w:p>
            <w:pPr>
              <w:spacing w:before="20" w:after="20" w:line="240" w:lineRule="auto"/>
              <w:jc w:val="center"/>
            </w:pPr>
            <w:r>
              <w:rPr>
                <w:sz w:val="21"/>
              </w:rPr>
              <w:t xml:space="preserve">12</w:t>
            </w:r>
          </w:p>
        </w:tc>
        <w:tc>
          <w:tcPr>
            <w:tcW w:type="dxa" w:w="4252"/>
          </w:tcPr>
          <w:p>
            <w:pPr>
              <w:spacing w:before="20" w:after="20" w:line="240" w:lineRule="auto"/>
              <w:jc w:val="left"/>
            </w:pPr>
            <w:r>
              <w:rPr>
                <w:sz w:val="21"/>
              </w:rPr>
              <w:t xml:space="preserve">Mức bảo đảm cấp nước tính toán; tổn thất thấm lòng hồ; dòng chảy tối thiểu</w:t>
            </w:r>
          </w:p>
        </w:tc>
        <w:tc>
          <w:tcPr>
            <w:tcW w:type="dxa" w:w="1984"/>
          </w:tcPr>
          <w:p>
            <w:pPr>
              <w:spacing w:before="20" w:after="20" w:line="240" w:lineRule="auto"/>
              <w:jc w:val="center"/>
            </w:pPr>
            <w:r>
              <w:rPr>
                <w:sz w:val="21"/>
              </w:rPr>
              <w:t xml:space="preserve">P = m/(n + 1); 1%/tháng; Q</w:t>
            </w:r>
            <w:r>
              <w:rPr>
                <w:sz w:val="21"/>
                <w:vertAlign w:val="subscript"/>
              </w:rPr>
              <w:t xml:space="preserve">tt</w:t>
            </w:r>
            <w:r>
              <w:rPr>
                <w:sz w:val="21"/>
              </w:rPr>
              <w:t xml:space="preserve"> = 0,027 m</w:t>
            </w:r>
            <w:r>
              <w:rPr>
                <w:sz w:val="21"/>
                <w:vertAlign w:val="superscript"/>
              </w:rPr>
              <w:t xml:space="preserve">3</w:t>
            </w:r>
            <w:r>
              <w:rPr>
                <w:sz w:val="21"/>
              </w:rPr>
              <w:t xml:space="preserve">/s</w:t>
            </w:r>
          </w:p>
        </w:tc>
        <w:tc>
          <w:tcPr>
            <w:tcW w:type="dxa" w:w="2268"/>
          </w:tcPr>
          <w:p>
            <w:pPr>
              <w:spacing w:before="20" w:after="20" w:line="240" w:lineRule="auto"/>
              <w:jc w:val="left"/>
            </w:pPr>
            <w:r>
              <w:rPr>
                <w:sz w:val="21"/>
              </w:rPr>
              <w:t xml:space="preserve">TCVN 10778:2024, công thức (6), (14), Bảng 1; QTVH [1]</w:t>
            </w:r>
          </w:p>
        </w:tc>
      </w:tr>
    </w:tbl>
    <w:p>
      <w:pPr>
        <w:spacing w:after="40"/>
      </w:pPr>
    </w:p>
    <w:p>
      <w:pPr>
        <w:pStyle w:val="Content"/>
      </w:pPr>
      <w:r>
        <w:t xml:space="preserve">Đồ án dùng [K] = 1,17 cho tổ hợp đặc biệt của đập cấp II theo TCVN 8216:2018 (BCNCKT dùng 1,13; các hệ số ổn định tính được đều lớn hơn cả hai trị số nên kết luận đánh giá không đổi).</w:t>
      </w:r>
      <w:r>
        <w:t xml:space="preserve">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 xml:space="preserve">Mực nước chết của hồ MNC = +67,50 m được giữ như thiết kế và kiểm tra lại theo các yêu cầu của TCVN 10778:2024 (mục 7.1 ÷ 7.3). Theo điều kiện bồi lắng: </w:t>
      </w:r>
      <w:r>
        <w:t xml:space="preserve">QCVN 04-05:2022 (Bảng 9) quy định ngưỡng cửa lấy nước của hồ cấp II không bị bồi lấp trong ít nhất 75 năm; tổng lượng bùn cát đến hồ trong 75 năm khoảng 0,48·75/70 ≈ 0,51 triệu m</w:t>
      </w:r>
      <w:r>
        <w:rPr>
          <w:vertAlign w:val="superscript"/>
        </w:rPr>
        <w:t xml:space="preserve">3</w:t>
      </w:r>
      <w:r>
        <w:t xml:space="preserve"> (QTVH tính cho 70 năm: 0,48 triệu m</w:t>
      </w:r>
      <w:r>
        <w:rPr>
          <w:vertAlign w:val="superscript"/>
        </w:rPr>
        <w:t xml:space="preserve">3</w:t>
      </w:r>
      <w:r>
        <w:t xml:space="preserve"> [1]),</w:t>
      </w:r>
      <w:r>
        <w:t xml:space="preserve"> nhỏ hơn nhiều dung tích dưới ngưỡng cống +65,60 m (3,52 triệu m</w:t>
      </w:r>
      <w:r>
        <w:rPr>
          <w:vertAlign w:val="superscript"/>
        </w:rPr>
        <w:t xml:space="preserve">3</w:t>
      </w:r>
      <w:r>
        <w:t xml:space="preserve"> theo bình đồ 2022) nên sau thời gian khai thác mặt bùn cát vẫn thấp hơn ngưỡng cửa lấy nước và MNC. Theo điều kiện lấy nước:</w:t>
      </w:r>
      <w:r>
        <w:t xml:space="preserve">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w:t>
      </w:r>
      <w:r>
        <w:t xml:space="preserve">theo thời đoạn tháng [14], [15] (TCVN 10778:2024 mục 8.2.1.2: áp dụng khi chuỗi dòng chảy đến từ 15 năm trở lên) với chuỗi dòng chảy đến 44 năm thủy văn</w:t>
      </w:r>
      <w:r>
        <w:t xml:space="preserve">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xml:space="preserve">; </w:t>
      </w:r>
      <w:r>
        <w:t xml:space="preserve">W</w:t>
      </w:r>
      <w:r>
        <w:rPr>
          <w:vertAlign w:val="subscript"/>
        </w:rPr>
        <w:t xml:space="preserve">đến</w:t>
      </w:r>
      <w:r>
        <w:t xml:space="preserve">, W</w:t>
      </w:r>
      <w:r>
        <w:rPr>
          <w:vertAlign w:val="subscript"/>
        </w:rPr>
        <w:t xml:space="preserve">dùng</w:t>
      </w:r>
      <w:r>
        <w:t xml:space="preserve"> – lượng nước đến và lượng nước dùng trong tháng (W</w:t>
      </w:r>
      <w:r>
        <w:rPr>
          <w:vertAlign w:val="subscript"/>
        </w:rPr>
        <w:t xml:space="preserve">dùng</w:t>
      </w:r>
      <w:r>
        <w:t xml:space="preserve"> gồm nhu cầu tưới, sinh hoạt theo QTVH [1]; khi kiểm tra theo công thức (6) của TCVN 10778:2024 cộng thêm lượng xả duy trì dòng chảy tối thiểu Q</w:t>
      </w:r>
      <w:r>
        <w:rPr>
          <w:vertAlign w:val="subscript"/>
        </w:rPr>
        <w:t xml:space="preserve">tt</w:t>
      </w:r>
      <w:r>
        <w:t xml:space="preserve"> = 0,027 m</w:t>
      </w:r>
      <w:r>
        <w:rPr>
          <w:vertAlign w:val="superscript"/>
        </w:rPr>
        <w:t xml:space="preserve">3</w:t>
      </w:r>
      <w:r>
        <w:t xml:space="preserve">/s, khoảng 0,07 triệu m</w:t>
      </w:r>
      <w:r>
        <w:rPr>
          <w:vertAlign w:val="superscript"/>
        </w:rPr>
        <w:t xml:space="preserve">3</w:t>
      </w:r>
      <w:r>
        <w:t xml:space="preserve">/tháng [1]);</w:t>
      </w:r>
      <w:r>
        <w:t xml:space="preserve"> ΔZ</w:t>
      </w:r>
      <w:r>
        <w:rPr>
          <w:vertAlign w:val="subscript"/>
        </w:rPr>
        <w:t>i</w:t>
      </w:r>
      <w:r>
        <w:t xml:space="preserve"> – tổn thất bốc hơi phụ thêm (m); F(Z̄) – diện tích mặt hồ ứng với mực nước bình quân tháng (km</w:t>
      </w:r>
      <w:r>
        <w:rPr>
          <w:vertAlign w:val="superscript"/>
        </w:rPr>
        <w:t>2</w:t>
      </w:r>
      <w:r>
        <w:t xml:space="preserve">); </w:t>
      </w:r>
      <w:r>
        <w:t xml:space="preserve">k</w:t>
      </w:r>
      <w:r>
        <w:rPr>
          <w:vertAlign w:val="subscript"/>
        </w:rPr>
        <w:t xml:space="preserve">t</w:t>
      </w:r>
      <w:r>
        <w:t xml:space="preserve"> = 1%/tháng – tổn thất thấm (nền tương đối tốt; TCVN 10778:2024 Bảng 1: 0,5 ÷ 1,0%/tháng với địa chất lòng hồ tốt, 1,0 ÷ 1,5%/tháng với địa chất trung bình);</w:t>
      </w:r>
      <w:r>
        <w:t xml:space="preserve">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 công thức (14) của TCVN 10778:2024 [15], với m – số năm đủ nước, n = 44; điều kiện đạt mức bảo đảm thiết kế P</w:t>
      </w:r>
      <w:r>
        <w:rPr>
          <w:vertAlign w:val="subscript"/>
        </w:rPr>
        <w:t xml:space="preserve">CN</w:t>
      </w:r>
      <w:r>
        <w:t xml:space="preserve"> = 85% theo công thức (9) của tiêu chuẩn là m ≥ (n + 1)·P</w:t>
      </w:r>
      <w:r>
        <w:rPr>
          <w:vertAlign w:val="subscript"/>
        </w:rPr>
        <w:t xml:space="preserve">CN</w:t>
      </w:r>
      <w:r>
        <w:t xml:space="preserve">/100 = 38,25, tức ít nhất 39 năm đủ nước (QTVH [1] dùng P = m/n·100% – khác tiêu chuẩn; kết quả theo cả hai cách được so sánh ở mục 2.2.3).</w:t>
      </w:r>
    </w:p>
    <w:p>
      <w:pPr>
        <w:pStyle w:val="Heading3"/>
      </w:pPr>
      <w:bookmarkStart w:id="935" w:name="_Toc1035"/>
      <w:r>
        <w:t>Kết quả tính toán</w:t>
      </w:r>
      <w:bookmarkEnd w:id="935"/>
    </w:p>
    <w:p>
      <w:pPr>
        <w:pStyle w:val="Chuthichbang"/>
        <w:keepNext/>
      </w:pPr>
      <w:bookmarkStart w:id="1082" w:name="_Toc3006"/>
      <w:r>
        <w:t xml:space="preserve">Bảng 2.2 </w:t>
      </w:r>
      <w:r>
        <w:t>Kết quả điều tiết toàn chuỗi 44 năm hồ Cà Giây (MNDBT +74,70 m; MNC +67,50 m)</w:t>
      </w:r>
      <w:bookmarkEnd w:id="1082"/>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pStyle w:val="Content"/>
        <w:spacing w:before="60"/>
      </w:pPr>
      <w:r>
        <w:rPr>
          <w:sz w:val="22"/>
        </w:rPr>
        <w:t xml:space="preserve">Hồ có hai mục tiêu cấp nước với mức bảo đảm yêu cầu khác nhau (tưới 85%, sinh hoạt 90%). Theo TCVN 10778:2024 mục 8.2.2.2 [15], khi tính chung có thể dùng mức bảo đảm bình quân theo trọng số lượng nước của từng mục tiêu: với TH1A (tưới 103,42 và sinh hoạt 3,22 triệu m</w:t>
      </w:r>
      <w:r>
        <w:rPr>
          <w:sz w:val="22"/>
          <w:vertAlign w:val="superscript"/>
        </w:rPr>
        <w:t xml:space="preserve">3</w:t>
      </w:r>
      <w:r>
        <w:rPr>
          <w:sz w:val="22"/>
        </w:rPr>
        <w:t xml:space="preserve">/năm) mức bảo đảm chung cần đạt là 85,15%, tức ít nhất 39 năm đủ nước – TH1A đạt 39/44 năm (86,7%). Kết quả này không tự chứng minh mức 90% cho sinh hoạt, nên đồ án kiểm tra riêng theo quy tắc ưu tiên của QTVH: khi thiếu nước chỉ cắt giảm cấp nước tưới, giữ nguyên cấp nước sinh hoạt. Với quy tắc này sinh hoạt được cấp đủ trong cả 44 năm (P = 44/45 = 97,8% ≥ 90%); tháng thiếu nước nặng nhất vẫn cấp được 5,0 triệu m</w:t>
      </w:r>
      <w:r>
        <w:rPr>
          <w:sz w:val="22"/>
          <w:vertAlign w:val="superscript"/>
        </w:rPr>
        <w:t xml:space="preserve">3</w:t>
      </w:r>
      <w:r>
        <w:rPr>
          <w:sz w:val="22"/>
        </w:rPr>
        <w:t xml:space="preserve">, lớn hơn nhiều nhu cầu sinh hoạt một tháng (≈ 0,27 triệu m</w:t>
      </w:r>
      <w:r>
        <w:rPr>
          <w:sz w:val="22"/>
          <w:vertAlign w:val="superscript"/>
        </w:rPr>
        <w:t xml:space="preserve">3</w:t>
      </w:r>
      <w:r>
        <w:rPr>
          <w:sz w:val="22"/>
        </w:rPr>
        <w:t xml:space="preserve">); mức cắt giảm cấp nước tưới lớn nhất trong một tháng khoảng 30% (chương trình kt</w:t>
      </w:r>
      <w:r>
        <w:rPr>
          <w:sz w:val="22"/>
        </w:rPr>
        <w:t xml:space="preserve">_</w:t>
      </w:r>
      <w:r>
        <w:rPr>
          <w:sz w:val="22"/>
        </w:rPr>
        <w:t xml:space="preserve">cap</w:t>
      </w:r>
      <w:r>
        <w:rPr>
          <w:sz w:val="22"/>
        </w:rPr>
        <w:t xml:space="preserve">_</w:t>
      </w:r>
      <w:r>
        <w:rPr>
          <w:sz w:val="22"/>
        </w:rPr>
        <w:t xml:space="preserve">nuoc</w:t>
      </w:r>
      <w:r>
        <w:rPr>
          <w:sz w:val="22"/>
        </w:rPr>
        <w:t xml:space="preserve">_</w:t>
      </w:r>
      <w:r>
        <w:rPr>
          <w:sz w:val="22"/>
        </w:rPr>
        <w:t xml:space="preserve">bo</w:t>
      </w:r>
      <w:r>
        <w:rPr>
          <w:sz w:val="22"/>
        </w:rPr>
        <w:t xml:space="preserve">_</w:t>
      </w:r>
      <w:r>
        <w:rPr>
          <w:sz w:val="22"/>
        </w:rPr>
        <w:t xml:space="preserve">sung.py). Quy tắc ưu tiên này cần được ghi rõ trong quy trình vận hành.</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42" w:name="_Toc2002"/>
      <w:r>
        <w:t xml:space="preserve">Hình 2.1 </w:t>
      </w:r>
      <w:r>
        <w:t>Quá trình mực nước hồ cuối tháng khi điều tiết toàn chuỗi 44 năm (TH1 và TH1A)</w:t>
      </w:r>
      <w:bookmarkEnd w:id="1042"/>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w:t>
      </w:r>
      <w:r>
        <w:t xml:space="preserve">mức bảo đảm đạt P = 86,7% ≥ 85% (39/44 năm đủ nước – vừa đạt điều kiện m ≥ 39 năm của công thức (9) TCVN 10778:2024), mực nước dâng bình thường</w:t>
      </w:r>
      <w:r>
        <w:t xml:space="preserve">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w:t>
      </w:r>
      <w:r>
        <w:t xml:space="preserve">TH2 đạt 84,1% – kết luận không đổi. Kiểm tra theo công thức (6) của TCVN 10778:2024 có kể dòng chảy tối thiểu Q</w:t>
      </w:r>
      <w:r>
        <w:rPr>
          <w:vertAlign w:val="subscript"/>
        </w:rPr>
        <w:t xml:space="preserve">tt</w:t>
      </w:r>
      <w:r>
        <w:t xml:space="preserve"> = 0,027 m</w:t>
      </w:r>
      <w:r>
        <w:rPr>
          <w:vertAlign w:val="superscript"/>
        </w:rPr>
        <w:t xml:space="preserve">3</w:t>
      </w:r>
      <w:r>
        <w:t xml:space="preserve">/s (0,85 triệu m</w:t>
      </w:r>
      <w:r>
        <w:rPr>
          <w:vertAlign w:val="superscript"/>
        </w:rPr>
        <w:t xml:space="preserve">3</w:t>
      </w:r>
      <w:r>
        <w:t xml:space="preserve">/năm [1], chưa có trong tổng nhu cầu của QTVH): số năm đủ nước và mức bảo đảm của cả ba phương án không đổi (40,0%; 86,7%; 82,2%), tổng lượng nước thiếu tăng lên 159,7; 8,9 và 14,6 triệu m</w:t>
      </w:r>
      <w:r>
        <w:rPr>
          <w:vertAlign w:val="superscript"/>
        </w:rPr>
        <w:t xml:space="preserve">3</w:t>
      </w:r>
      <w:r>
        <w:t xml:space="preserve">; mực nước dâng bình thường cần thiết để TH1A đạt 85% tăng từ +74,62 m lên +74,68 m – vẫn thấp hơn MNDBT +74,70 m (chương trình kt</w:t>
      </w:r>
      <w:r>
        <w:t xml:space="preserve">_</w:t>
      </w:r>
      <w:r>
        <w:t xml:space="preserve">dong</w:t>
      </w:r>
      <w:r>
        <w:t xml:space="preserve">_</w:t>
      </w:r>
      <w:r>
        <w:t xml:space="preserve">chay</w:t>
      </w:r>
      <w:r>
        <w:t xml:space="preserve">_</w:t>
      </w:r>
      <w:r>
        <w:t xml:space="preserve">toi</w:t>
      </w:r>
      <w:r>
        <w:t xml:space="preserve">_</w:t>
      </w:r>
      <w:r>
        <w:t xml:space="preserve">thieu.py).</w:t>
      </w:r>
      <w:r>
        <w:t xml:space="preserve">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 xml:space="preserve">Điều tiết lũ dựa trên phương trình cân bằng nước </w:t>
      </w:r>
      <w:r>
        <w:t xml:space="preserve">viết cho thời đoạn Δt [14], [15] (TCVN 10778:2024 mục 10.1.2; bỏ qua tổn thất bốc hơi, thấm và lưu lượng lấy nước):</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 xml:space="preserve">Phương trình (2-2) kết hợp với quan hệ q = q(Z) của hai tràn và V = V(Z) của lòng hồ được giải lặp (chia đôi khoảng) cho từng thời đoạn; Δt = 1 giờ được chia thành 10 bước con, lưu lượng đến nội suy tuyến tính. </w:t>
      </w:r>
      <w:r>
        <w:t xml:space="preserve">Sai số mực nước khi lặp nhỏ hơn nhiều giới hạn 5 cm của phương pháp tính lặp trực tiếp (TCVN 10778:2024 mục 10.2); sai số cân bằng nước toàn trận lũ nhỏ hơn 0,02 triệu m</w:t>
      </w:r>
      <w:r>
        <w:rPr>
          <w:vertAlign w:val="superscript"/>
        </w:rPr>
        <w:t xml:space="preserve">3</w:t>
      </w:r>
      <w:r>
        <w:t xml:space="preserve">.</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w:t>
      </w:r>
      <w:r>
        <w:t xml:space="preserve">– theo CHÚ THÍCH điều 2.6.3.10 của QCVN 04-05:2022 [6], lũ thiết kế khi một cửa xả bị kẹt được xếp vào tổ hợp đặc biệt; khi tính với lũ kiểm tra, quy chuẩn không xét khả năng cửa xả bị kẹt (khoản b) và xếp lũ vượt kiểm tra vào trường hợp xét thêm (khoản d, điều 2.6.3.5). Các trường hợp lũ kiểm tra hoặc lũ vượt kiểm tra kèm kẹt van vì vậy được giữ làm thông tin đánh giá rủi ro và yêu cầu quản lý vận hành (phân loại ở Bảng 4.2).</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83" w:name="_Toc3007"/>
      <w:r>
        <w:t xml:space="preserve">Bảng 2.3 </w:t>
      </w:r>
      <w:r>
        <w:t>Kết quả điều tiết lũ với tràn hiện trạng (tràn chính 9 × 2,4 m; tràn sự cố 5 m)</w:t>
      </w:r>
      <w:bookmarkEnd w:id="1083"/>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43" w:name="_Toc2003"/>
      <w:r>
        <w:t xml:space="preserve">Hình 2.2 </w:t>
      </w:r>
      <w:r>
        <w:t>Quá trình lũ đến, lưu lượng xả và mực nước hồ – lũ BCNCKT P = 1% và P = 0,2%</w:t>
      </w:r>
      <w:bookmarkEnd w:id="1043"/>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44" w:name="_Toc2004"/>
      <w:r>
        <w:t xml:space="preserve">Hình 2.3 </w:t>
      </w:r>
      <w:r>
        <w:t>Quá trình lũ đến, lưu lượng xả và mực nước hồ – lũ QTVH P = 1% và P = 0,2%</w:t>
      </w:r>
      <w:bookmarkEnd w:id="1044"/>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r>
        <w:t xml:space="preserve"> Hệ số ε·m ≈ 0,40 (tràn chính) và 0,37 (tràn sự cố) mà QTVH dùng là tích của hệ số co hẹp và hệ số lưu lượng (ứng với m ≈ 0,45 khi ε ≈ 0,85 ÷ 0,9 ở cột nước lũ), không phải m = 0,40. Tuy vậy m chưa được kiểm định bằng thí nghiệm mô hình hoặc đo lũ nên đồ án kiểm tra cả phía bất lợi: nếu m của tràn chính chỉ bằng 0,40 thì MNLKT = +78,62 m và điều kiện MNLKT + 0,3 m đòi hỏi đỉnh đập +78,92 m; đỉnh đập +78,85 m còn thỏa khi m ≥ 0,441 (Bảng PL7). Vì vậy cần nạo vét kênh dẫn để giữ điều kiện chảy tới ngưỡng như giả thiết và xác định m bằng đo đạc quan hệ Q ~ Z khi có lũ lớn (kiến nghị).</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 xml:space="preserve">Trong đó: V – vận tốc gió tính toán ở độ cao 10 m trên mặt nước, V = V</w:t>
      </w:r>
      <w:r>
        <w:rPr>
          <w:vertAlign w:val="subscript"/>
        </w:rPr>
        <w:t xml:space="preserve">w</w:t>
      </w:r>
      <w:r>
        <w:t xml:space="preserve"> = k</w:t>
      </w:r>
      <w:r>
        <w:rPr>
          <w:vertAlign w:val="subscript"/>
        </w:rPr>
        <w:t xml:space="preserve">fl</w:t>
      </w:r>
      <w:r>
        <w:t xml:space="preserve">·k</w:t>
      </w:r>
      <w:r>
        <w:rPr>
          <w:vertAlign w:val="subscript"/>
        </w:rPr>
        <w:t xml:space="preserve">l</w:t>
      </w:r>
      <w:r>
        <w:t xml:space="preserve">·V</w:t>
      </w:r>
      <w:r>
        <w:rPr>
          <w:vertAlign w:val="subscript"/>
        </w:rPr>
        <w:t xml:space="preserve">l</w:t>
      </w:r>
      <w:r>
        <w:t xml:space="preserve"> (TCVN 8421:2010, Phụ lục A, A.3.3), với V</w:t>
      </w:r>
      <w:r>
        <w:rPr>
          <w:vertAlign w:val="subscript"/>
        </w:rPr>
        <w:t xml:space="preserve">l</w:t>
      </w:r>
      <w:r>
        <w:t xml:space="preserve"> – vận tốc gió quan trắc ở trạm Phan Thiết (Bảng 1.4), k</w:t>
      </w:r>
      <w:r>
        <w:rPr>
          <w:vertAlign w:val="subscript"/>
        </w:rPr>
        <w:t xml:space="preserve">l</w:t>
      </w:r>
      <w:r>
        <w:t xml:space="preserve"> = 1,10 ÷ 1,09 – hệ số quy đổi về mặt nước cho địa hình dạng A (vùng ven biển trống trải, Bảng A3), k</w:t>
      </w:r>
      <w:r>
        <w:rPr>
          <w:vertAlign w:val="subscript"/>
        </w:rPr>
        <w:t xml:space="preserve">fl</w:t>
      </w:r>
      <w:r>
        <w:t xml:space="preserve"> – hệ số quy đổi số liệu phong tiêu, lấy bằng 1 (thiên an toàn vì chưa rõ dụng cụ đo);</w:t>
      </w:r>
      <w:r>
        <w:t xml:space="preserve">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giảm sóng leo theo góc giữa front sóng và pháp tuyến mái, lấy theo Bảng 9 của tiêu chuẩn (0° – 1,00; 20° – 0,96; 40° – 0,87; 60° – 0,76); gió hướng Bắc lệch pháp tuyến mái 6,2° nên lấy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84" w:name="_Toc3008"/>
      <w:r>
        <w:t xml:space="preserve">Bảng 2.4 </w:t>
      </w:r>
      <w:r>
        <w:t>Kết quả tính cao trình đỉnh đập theo ba trường hợp (lũ BCNCKT)</w:t>
      </w:r>
      <w:bookmarkEnd w:id="1084"/>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 xml:space="preserve">Vận tốc gió V</w:t>
            </w:r>
            <w:r>
              <w:rPr>
                <w:sz w:val="21"/>
                <w:vertAlign w:val="subscript"/>
              </w:rPr>
              <w:t xml:space="preserve">l</w:t>
            </w:r>
            <w:r>
              <w:rPr>
                <w:sz w:val="21"/>
              </w:rPr>
              <w:t xml:space="preserve"> / V</w:t>
            </w:r>
            <w:r>
              <w:rPr>
                <w:sz w:val="21"/>
                <w:vertAlign w:val="subscript"/>
              </w:rPr>
              <w:t xml:space="preserve">w</w:t>
            </w:r>
            <w:r>
              <w:rPr>
                <w:sz w:val="21"/>
              </w:rPr>
              <w:t xml:space="preserve"> (m/s) – hướng Bắc</w:t>
            </w:r>
          </w:p>
        </w:tc>
        <w:tc>
          <w:tcPr>
            <w:tcW w:type="dxa" w:w="2041"/>
          </w:tcPr>
          <w:p>
            <w:pPr>
              <w:spacing w:before="20" w:after="20" w:line="240" w:lineRule="auto"/>
              <w:jc w:val="center"/>
            </w:pPr>
            <w:r>
              <w:rPr>
                <w:sz w:val="21"/>
              </w:rPr>
              <w:t xml:space="preserve">13,8 / 15,18 (P = 4%)</w:t>
            </w:r>
          </w:p>
        </w:tc>
        <w:tc>
          <w:tcPr>
            <w:tcW w:type="dxa" w:w="2041"/>
          </w:tcPr>
          <w:p>
            <w:pPr>
              <w:spacing w:before="20" w:after="20" w:line="240" w:lineRule="auto"/>
              <w:jc w:val="center"/>
            </w:pPr>
            <w:r>
              <w:rPr>
                <w:sz w:val="21"/>
              </w:rPr>
              <w:t xml:space="preserve">7,6 / 8,36 (P = 50%)</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 xml:space="preserve">gD/V</w:t>
            </w:r>
            <w:r>
              <w:rPr>
                <w:sz w:val="21"/>
                <w:vertAlign w:val="subscript"/>
              </w:rPr>
              <w:t xml:space="preserve">w</w:t>
            </w:r>
            <w:r>
              <w:rPr>
                <w:sz w:val="21"/>
                <w:vertAlign w:val="superscript"/>
              </w:rPr>
              <w:t xml:space="preserve">2</w:t>
            </w:r>
          </w:p>
        </w:tc>
        <w:tc>
          <w:tcPr>
            <w:tcW w:type="dxa" w:w="2041"/>
          </w:tcPr>
          <w:p>
            <w:pPr>
              <w:spacing w:before="20" w:after="20" w:line="240" w:lineRule="auto"/>
              <w:jc w:val="center"/>
            </w:pPr>
            <w:r>
              <w:rPr>
                <w:sz w:val="21"/>
              </w:rPr>
              <w:t xml:space="preserve">126,4</w:t>
            </w:r>
          </w:p>
        </w:tc>
        <w:tc>
          <w:tcPr>
            <w:tcW w:type="dxa" w:w="2041"/>
          </w:tcPr>
          <w:p>
            <w:pPr>
              <w:spacing w:before="20" w:after="20" w:line="240" w:lineRule="auto"/>
              <w:jc w:val="center"/>
            </w:pPr>
            <w:r>
              <w:rPr>
                <w:sz w:val="21"/>
              </w:rPr>
              <w:t xml:space="preserve">424,6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 xml:space="preserve">0,460</w:t>
            </w:r>
          </w:p>
        </w:tc>
        <w:tc>
          <w:tcPr>
            <w:tcW w:type="dxa" w:w="2041"/>
          </w:tcPr>
          <w:p>
            <w:pPr>
              <w:spacing w:before="20" w:after="20" w:line="240" w:lineRule="auto"/>
              <w:jc w:val="center"/>
            </w:pPr>
            <w:r>
              <w:rPr>
                <w:sz w:val="21"/>
              </w:rPr>
              <w:t xml:space="preserve">0,237</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 xml:space="preserve">2,53 / 9,99</w:t>
            </w:r>
          </w:p>
        </w:tc>
        <w:tc>
          <w:tcPr>
            <w:tcW w:type="dxa" w:w="2041"/>
          </w:tcPr>
          <w:p>
            <w:pPr>
              <w:spacing w:before="20" w:after="20" w:line="240" w:lineRule="auto"/>
              <w:jc w:val="center"/>
            </w:pPr>
            <w:r>
              <w:rPr>
                <w:sz w:val="21"/>
              </w:rPr>
              <w:t xml:space="preserve">1,94 / 5,88</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 xml:space="preserve">2,09 ; 0,962</w:t>
            </w:r>
          </w:p>
        </w:tc>
        <w:tc>
          <w:tcPr>
            <w:tcW w:type="dxa" w:w="2041"/>
          </w:tcPr>
          <w:p>
            <w:pPr>
              <w:spacing w:before="20" w:after="20" w:line="240" w:lineRule="auto"/>
              <w:jc w:val="center"/>
            </w:pPr>
            <w:r>
              <w:rPr>
                <w:sz w:val="21"/>
              </w:rPr>
              <w:t xml:space="preserve">2,13 ; 0,504</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 xml:space="preserve">0,90 ; 0,80 ; 1,31 ; 1,50</w:t>
            </w:r>
          </w:p>
        </w:tc>
        <w:tc>
          <w:tcPr>
            <w:tcW w:type="dxa" w:w="2041"/>
          </w:tcPr>
          <w:p>
            <w:pPr>
              <w:spacing w:before="20" w:after="20" w:line="240" w:lineRule="auto"/>
              <w:jc w:val="center"/>
            </w:pPr>
            <w:r>
              <w:rPr>
                <w:sz w:val="21"/>
              </w:rPr>
              <w:t xml:space="preserve">0,83 ; 0,73 ; 1,00 ; 1,56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 xml:space="preserve">1,347</w:t>
            </w:r>
          </w:p>
        </w:tc>
        <w:tc>
          <w:tcPr>
            <w:tcW w:type="dxa" w:w="2041"/>
          </w:tcPr>
          <w:p>
            <w:pPr>
              <w:spacing w:before="20" w:after="20" w:line="240" w:lineRule="auto"/>
              <w:jc w:val="center"/>
            </w:pPr>
            <w:r>
              <w:rPr>
                <w:sz w:val="21"/>
              </w:rPr>
              <w:t xml:space="preserve">0,481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 xml:space="preserve">0,007</w:t>
            </w:r>
          </w:p>
        </w:tc>
        <w:tc>
          <w:tcPr>
            <w:tcW w:type="dxa" w:w="2041"/>
          </w:tcPr>
          <w:p>
            <w:pPr>
              <w:spacing w:before="20" w:after="20" w:line="240" w:lineRule="auto"/>
              <w:jc w:val="center"/>
            </w:pPr>
            <w:r>
              <w:rPr>
                <w:sz w:val="21"/>
              </w:rPr>
              <w:t xml:space="preserve">0,001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 xml:space="preserve">+76,75</w:t>
            </w:r>
          </w:p>
        </w:tc>
        <w:tc>
          <w:tcPr>
            <w:tcW w:type="dxa" w:w="2041"/>
          </w:tcPr>
          <w:p>
            <w:pPr>
              <w:spacing w:before="20" w:after="20" w:line="240" w:lineRule="auto"/>
              <w:jc w:val="center"/>
            </w:pPr>
            <w:r>
              <w:rPr>
                <w:b/>
                <w:sz w:val="21"/>
              </w:rPr>
              <w:t xml:space="preserve">+78,61</w:t>
            </w:r>
          </w:p>
        </w:tc>
        <w:tc>
          <w:tcPr>
            <w:tcW w:type="dxa" w:w="1587"/>
          </w:tcPr>
          <w:p>
            <w:pPr>
              <w:spacing w:before="20" w:after="20" w:line="240" w:lineRule="auto"/>
              <w:jc w:val="center"/>
            </w:pPr>
            <w:r>
              <w:rPr>
                <w:b/>
                <w:sz w:val="21"/>
              </w:rPr>
              <w:t xml:space="preserve">+78,74</w:t>
            </w:r>
          </w:p>
        </w:tc>
      </w:tr>
    </w:tbl>
    <w:p>
      <w:pPr>
        <w:spacing w:after="40"/>
      </w:pPr>
    </w:p>
    <w:p>
      <w:pPr>
        <w:pStyle w:val="Chuthichbang"/>
        <w:keepNext/>
      </w:pPr>
      <w:bookmarkStart w:id="1085" w:name="_Toc3009"/>
      <w:r>
        <w:t xml:space="preserve">Bảng 2.5 </w:t>
      </w:r>
      <w:r>
        <w:t>Tổng hợp cao trình đỉnh đập yêu cầu (m)</w:t>
      </w:r>
      <w:bookmarkEnd w:id="1085"/>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78,41</w:t>
            </w:r>
          </w:p>
        </w:tc>
        <w:tc>
          <w:tcPr>
            <w:tcW w:type="dxa" w:w="1020"/>
          </w:tcPr>
          <w:p>
            <w:pPr>
              <w:spacing w:before="20" w:after="20" w:line="240" w:lineRule="auto"/>
              <w:jc w:val="center"/>
            </w:pPr>
            <w:r>
              <w:rPr>
                <w:sz w:val="21"/>
              </w:rPr>
              <w:t xml:space="preserve">78,45</w:t>
            </w:r>
          </w:p>
        </w:tc>
        <w:tc>
          <w:tcPr>
            <w:tcW w:type="dxa" w:w="1134"/>
          </w:tcPr>
          <w:p>
            <w:pPr>
              <w:spacing w:before="20" w:after="20" w:line="240" w:lineRule="auto"/>
              <w:jc w:val="center"/>
            </w:pPr>
            <w:r>
              <w:rPr>
                <w:sz w:val="21"/>
              </w:rPr>
              <w:t xml:space="preserve">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78,61</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77,31</w:t>
            </w:r>
          </w:p>
        </w:tc>
        <w:tc>
          <w:tcPr>
            <w:tcW w:type="dxa" w:w="1020"/>
          </w:tcPr>
          <w:p>
            <w:pPr>
              <w:spacing w:before="20" w:after="20" w:line="240" w:lineRule="auto"/>
              <w:jc w:val="center"/>
            </w:pPr>
            <w:r>
              <w:rPr>
                <w:sz w:val="21"/>
              </w:rPr>
              <w:t xml:space="preserve">79,07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79,07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78,48</w:t>
            </w:r>
          </w:p>
        </w:tc>
        <w:tc>
          <w:tcPr>
            <w:tcW w:type="dxa" w:w="1020"/>
          </w:tcPr>
          <w:p>
            <w:pPr>
              <w:spacing w:before="20" w:after="20" w:line="240" w:lineRule="auto"/>
              <w:jc w:val="center"/>
            </w:pPr>
            <w:r>
              <w:rPr>
                <w:sz w:val="21"/>
              </w:rPr>
              <w:t xml:space="preserve">78,64</w:t>
            </w:r>
          </w:p>
        </w:tc>
        <w:tc>
          <w:tcPr>
            <w:tcW w:type="dxa" w:w="1134"/>
          </w:tcPr>
          <w:p>
            <w:pPr>
              <w:spacing w:before="20" w:after="20" w:line="240" w:lineRule="auto"/>
              <w:jc w:val="center"/>
            </w:pPr>
            <w:r>
              <w:rPr>
                <w:sz w:val="21"/>
              </w:rPr>
              <w:t xml:space="preserve">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w:t>
      </w:r>
      <w:r>
        <w:t xml:space="preserve">hướng Đông Bắc (góc tới 38,8°, k</w:t>
      </w:r>
      <w:r>
        <w:rPr>
          <w:vertAlign w:val="subscript"/>
        </w:rPr>
        <w:t xml:space="preserve">α</w:t>
      </w:r>
      <w:r>
        <w:t xml:space="preserve"> = 0,88; V</w:t>
      </w:r>
      <w:r>
        <w:rPr>
          <w:vertAlign w:val="subscript"/>
        </w:rPr>
        <w:t xml:space="preserve">4%</w:t>
      </w:r>
      <w:r>
        <w:t xml:space="preserve"> = 18,6 m/s, V</w:t>
      </w:r>
      <w:r>
        <w:rPr>
          <w:vertAlign w:val="subscript"/>
        </w:rPr>
        <w:t xml:space="preserve">50%</w:t>
      </w:r>
      <w:r>
        <w:t xml:space="preserve"> = 11,9 m/s, tương ứng V</w:t>
      </w:r>
      <w:r>
        <w:rPr>
          <w:vertAlign w:val="subscript"/>
        </w:rPr>
        <w:t xml:space="preserve">w</w:t>
      </w:r>
      <w:r>
        <w:t xml:space="preserve"> = 20,3 và 13,1 m/s) cho Z</w:t>
      </w:r>
      <w:r>
        <w:rPr>
          <w:vertAlign w:val="subscript"/>
        </w:rPr>
        <w:t xml:space="preserve">1</w:t>
      </w:r>
      <w:r>
        <w:t xml:space="preserve"> = +77,31 m, Z</w:t>
      </w:r>
      <w:r>
        <w:rPr>
          <w:vertAlign w:val="subscript"/>
        </w:rPr>
        <w:t xml:space="preserve">2</w:t>
      </w:r>
      <w:r>
        <w:t xml:space="preserve"> = +79,07 m; hướng Tây Bắc (51,2°, k</w:t>
      </w:r>
      <w:r>
        <w:rPr>
          <w:vertAlign w:val="subscript"/>
        </w:rPr>
        <w:t xml:space="preserve">α</w:t>
      </w:r>
      <w:r>
        <w:t xml:space="preserve"> = 0,81) cho Z</w:t>
      </w:r>
      <w:r>
        <w:rPr>
          <w:vertAlign w:val="subscript"/>
        </w:rPr>
        <w:t xml:space="preserve">1</w:t>
      </w:r>
      <w:r>
        <w:t xml:space="preserve"> = +76,74 m, Z</w:t>
      </w:r>
      <w:r>
        <w:rPr>
          <w:vertAlign w:val="subscript"/>
        </w:rPr>
        <w:t xml:space="preserve">2</w:t>
      </w:r>
      <w:r>
        <w:t xml:space="preserve"> = +78,66 m;</w:t>
      </w:r>
      <w:r>
        <w:t xml:space="preserve"> các hướng Đông, Tây gần song song tuyến đập (góc tới 84 ÷ 96°), các hướng Nam thổi từ phía hạ lưu nên không gây sóng leo lên mái thượng lưu. </w:t>
      </w:r>
      <w:r>
        <w:t xml:space="preserve">Như vậy trị số lớn nhất là Z</w:t>
      </w:r>
      <w:r>
        <w:rPr>
          <w:vertAlign w:val="subscript"/>
        </w:rPr>
        <w:t xml:space="preserve">2</w:t>
      </w:r>
      <w:r>
        <w:t xml:space="preserve"> = +79,07 m (gió Đông Bắc).</w:t>
      </w:r>
      <w:r>
        <w:t xml:space="preserve"> Theo TCVN 8216:2018 mục 10.1.5, đập có tường chắn sóng thẳng đứng liên kết với bộ phận chống thấm thì độ vượt cao được tính đến đỉnh tường: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+79,07 m &lt; +79,40 m – tường chắn sóng hiện trạng đạt yêu cầu (dự trữ 0,33 m);</w:t>
      </w:r>
      <w:r>
        <w:t xml:space="preserve">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45" w:name="_Toc2005"/>
      <w:r>
        <w:t xml:space="preserve">Hình 2.4 </w:t>
      </w:r>
      <w:r>
        <w:t>Sơ đồ vật liệu và lưới phần tử hữu hạn mặt cắt lòng sông</w:t>
      </w:r>
      <w:bookmarkEnd w:id="1045"/>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86" w:name="_Toc3010"/>
      <w:r>
        <w:t xml:space="preserve">Bảng 2.6 </w:t>
      </w:r>
      <w:r>
        <w:t>Kết quả tính thấm mặt cắt lòng sông – hiện trạng</w:t>
      </w:r>
      <w:bookmarkEnd w:id="1086"/>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6" w:name="_Toc2006"/>
      <w:r>
        <w:t xml:space="preserve">Hình 2.5 </w:t>
      </w:r>
      <w:r>
        <w:t>Lưới dòng thấm và đường bão hòa hiện trạng – mực nước hồ MNLTK</w:t>
      </w:r>
      <w:bookmarkEnd w:id="1046"/>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w:t>
      </w:r>
      <w:r>
        <w:t xml:space="preserve">gradien tại vùng tiếp xúc với ống khói (trung bình 0,80 ÷ 0,88, phân vị 95% ≤ 1,19; giá trị lớn nhất 1,19 tại chân ống khói, x ≈ 23,8 m, z ≈ +54,4 m) nhỏ hơn giá trị cho phép 2,0 lấy theo hồ sơ thiết kế tầng lọc [3];</w:t>
      </w:r>
      <w:r>
        <w:t xml:space="preserve"> </w:t>
      </w:r>
      <w:r>
        <w:t xml:space="preserve">gradien cửa ra rất nhỏ (trung bình ≈ 0,02, lớn nhất 0,080 tại chân lăng trụ, ≪ 0,85 – TCVN 8216:2018 Bảng 6). Giá trị lớn nhất được lấy trên toàn bộ phần tử của vùng kiểm tra (không loại điểm kỳ dị) để bổ sung cho giá trị trung bình và phân vị 95%. Khi xét bất đẳng hướng thấm k</w:t>
      </w:r>
      <w:r>
        <w:rPr>
          <w:vertAlign w:val="subscript"/>
        </w:rPr>
        <w:t xml:space="preserve">h</w:t>
      </w:r>
      <w:r>
        <w:t xml:space="preserve">/k</w:t>
      </w:r>
      <w:r>
        <w:rPr>
          <w:vertAlign w:val="subscript"/>
        </w:rPr>
        <w:t xml:space="preserve">v</w:t>
      </w:r>
      <w:r>
        <w:t xml:space="preserve"> = 5 (TCVN 8216:2018 mục 11.2.2) lưu lượng thấm tăng 46 ÷ 61%, đường bão hòa tại tim dâng 0,6 ÷ 2,5 m nhưng gradien vẫn nhỏ hơn cho phép (Bảng PL10).</w:t>
      </w:r>
      <w:r>
        <w:t xml:space="preserve">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w:t>
      </w:r>
      <w:r>
        <w:t xml:space="preserve">và bằng cách tìm lại trên miền mở rộng (đáy cung tới cao trình +36 m), lưới lồng nhau chứa toàn bộ tâm và bán kính cũ cộng với tối ưu hóa Nelder – Mead từ 10 điểm xuất phát (mục 5.3, Phụ lục 6, Bảng PL11).</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87" w:name="_Toc3011"/>
      <w:r>
        <w:t xml:space="preserve">Bảng 2.7 </w:t>
      </w:r>
      <w:r>
        <w:t>Kết quả kiểm tra ổn định mái đập hiện trạng (Bishop, mặt cắt lòng sông)</w:t>
      </w:r>
      <w:bookmarkEnd w:id="1087"/>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7" w:name="_Toc2007"/>
      <w:r>
        <w:t xml:space="preserve">Hình 2.6 </w:t>
      </w:r>
      <w:r>
        <w:t>Cung trượt nguy hiểm nhất mái hạ lưu hiện trạng – TH4 (thoát nước bị tắc)</w:t>
      </w:r>
      <w:bookmarkEnd w:id="1047"/>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8" w:name="_Toc3012"/>
      <w:r>
        <w:t xml:space="preserve">Bảng 2.8 </w:t>
      </w:r>
      <w:r>
        <w:t xml:space="preserve">Tổng hợp kết quả đánh giá an toàn công trình hiện trạng</w:t>
      </w:r>
      <w:bookmarkEnd w:id="1088"/>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Cấp nước sinh hoạt, TH1A (ưu tiên, cắt giảm tưới trước)</w:t>
            </w:r>
          </w:p>
        </w:tc>
        <w:tc>
          <w:tcPr>
            <w:tcW w:type="dxa" w:w="2268"/>
          </w:tcPr>
          <w:p>
            <w:pPr>
              <w:spacing w:before="20" w:after="20" w:line="240" w:lineRule="auto"/>
              <w:jc w:val="center"/>
            </w:pPr>
            <w:r>
              <w:rPr>
                <w:sz w:val="20"/>
              </w:rPr>
              <w:t xml:space="preserve">P = 97,8%</w:t>
            </w:r>
          </w:p>
        </w:tc>
        <w:tc>
          <w:tcPr>
            <w:tcW w:type="dxa" w:w="1928"/>
          </w:tcPr>
          <w:p>
            <w:pPr>
              <w:spacing w:before="20" w:after="20" w:line="240" w:lineRule="auto"/>
              <w:jc w:val="center"/>
            </w:pPr>
            <w:r>
              <w:rPr>
                <w:sz w:val="20"/>
              </w:rPr>
              <w:t xml:space="preserve">≥ 90%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MNLTK hiện nay so với MNLTK thiết kế ban đầu (TK 1996)</w:t>
            </w:r>
          </w:p>
        </w:tc>
        <w:tc>
          <w:tcPr>
            <w:tcW w:type="dxa" w:w="2268"/>
          </w:tcPr>
          <w:p>
            <w:pPr>
              <w:spacing w:before="20" w:after="20" w:line="240" w:lineRule="auto"/>
              <w:jc w:val="center"/>
            </w:pPr>
            <w:r>
              <w:rPr>
                <w:sz w:val="20"/>
              </w:rPr>
              <w:t xml:space="preserve">+77,63 m</w:t>
            </w:r>
          </w:p>
        </w:tc>
        <w:tc>
          <w:tcPr>
            <w:tcW w:type="dxa" w:w="1928"/>
          </w:tcPr>
          <w:p>
            <w:pPr>
              <w:spacing w:before="20" w:after="20" w:line="240" w:lineRule="auto"/>
              <w:jc w:val="center"/>
            </w:pPr>
            <w:r>
              <w:rPr>
                <w:sz w:val="20"/>
              </w:rPr>
              <w:t xml:space="preserve">+77,24 m</w:t>
            </w:r>
          </w:p>
        </w:tc>
        <w:tc>
          <w:tcPr>
            <w:tcW w:type="dxa" w:w="1134"/>
          </w:tcPr>
          <w:p>
            <w:pPr>
              <w:spacing w:before="20" w:after="20" w:line="240" w:lineRule="auto"/>
              <w:jc w:val="center"/>
            </w:pPr>
            <w:r>
              <w:rPr>
                <w:sz w:val="20"/>
              </w:rPr>
              <w:t xml:space="preserve">Cao hơn 0,39 m (mục 4.6)</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+79,07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w:t>
      </w:r>
      <w:r>
        <w:t xml:space="preserve">bằng bê tông M250 (cấp độ bền B20) dày 20 cm</w:t>
      </w:r>
      <w:r>
        <w:t xml:space="preserve"> lót nilon, đỉnh mặt đập sau gia cố +78,75 m. Phương án này dựa trên MNLKT = +78,25 m của BCNCKT. </w:t>
      </w:r>
      <w:r>
        <w:t xml:space="preserve">Theo kết quả tính lại ở Chương 2: tường chắn sóng hiện trạng (+79,40 m) đủ chắn sóng với mọi hướng gió </w:t>
      </w:r>
      <w:r>
        <w:t xml:space="preserve">(Z</w:t>
      </w:r>
      <w:r>
        <w:rPr>
          <w:vertAlign w:val="subscript"/>
        </w:rPr>
        <w:t xml:space="preserve">max</w:t>
      </w:r>
      <w:r>
        <w:t xml:space="preserve"> = +79,07 m, gió Đông Bắc)</w:t>
      </w:r>
      <w:r>
        <w:t xml:space="preserve">;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w:t>
      </w:r>
      <w:r>
        <w:t xml:space="preserve">nên +78,85 m được quy định là cao trình thiết kế (sau lún) tại mép thượng lưu, khi thi công cộng thêm dự phòng lún 0,13 m (≥ 0,5%H theo TCVN 8216:2018 điều 11.4.4 – mục 5.1.1);</w:t>
      </w:r>
      <w:r>
        <w:t xml:space="preserve"> </w:t>
      </w:r>
      <w:r>
        <w:t xml:space="preserve">khối lượng đất đắp tăng khoảng 986 × 5 × 0,1 ≈ 490 m</w:t>
      </w:r>
      <w:r>
        <w:rPr>
          <w:vertAlign w:val="superscript"/>
        </w:rPr>
        <w:t xml:space="preserve">3</w:t>
      </w:r>
      <w:r>
        <w:t xml:space="preserve"> so với TKCS (chưa kể dự phòng lún), chi phí tăng không đáng kể;</w:t>
      </w:r>
      <w:r>
        <w:t xml:space="preserve">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 lớp đất đắp bù đầm chặt K ≥ 0,97; lớp cấp phối đá dăm đệm dày 5 cm; lớp nilon tái sinh; bê tông B20 (M250) đá 1×2 dày 20 cm. Bộ phận chống thấm ở đỉnh đập là khối đất đắp bù (sét pha, k ≈ 3·10</w:t>
      </w:r>
      <w:r>
        <w:rPr>
          <w:vertAlign w:val="superscript"/>
        </w:rPr>
        <w:t xml:space="preserve">-6</w:t>
      </w:r>
      <w:r>
        <w:t xml:space="preserve"> cm/s) liền với khối chống thấm thân đập (lớp ĐĐ-I) và đầm sát lưng tường chắn sóng; đỉnh khối đất +78,60 m (sau lún) cao hơn MNLTK 0,97 m (≥ 0,40 m theo TCVN 8216:2018 Bảng 5) và cao hơn MNDBT có kể sóng leo, nước dềnh (+76,61 m). Khe giữa tường và tấm bê tông được chèn ma tít, các khe giữa những đoạn tường được kiểm tra và trám lại – đây là điều kiện "tường chắn sóng liên kết với bộ phận chống thấm" để áp dụng điều 10.1.5. Tấm bê tông là lớp bảo vệ đỉnh đập, không tính là bộ phận chống thấm. Nước hồ chỉ tràn qua đỉnh đập khi vượt cao trình mép thượng lưu – điểm cao nhất trên đường chảy (mặt đập dốc 2% về hạ lưu), nên +78,85 m tại mép thượng lưu là cao trình khống chế; mép hạ lưu tấm (+78,76 m) thấp hơn 0,09 m do dốc ngang.</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w:t>
      </w:r>
      <w:r>
        <w:t xml:space="preserve">gờ chắn bánh xe BT B20 (M250)</w:t>
      </w:r>
      <w:r>
        <w:t xml:space="preserve">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760000" cy="3082817"/>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760000" cy="3082817"/>
                    </a:xfrm>
                    <a:prstGeom prst="rect"/>
                  </pic:spPr>
                </pic:pic>
              </a:graphicData>
            </a:graphic>
          </wp:inline>
        </w:drawing>
      </w:r>
    </w:p>
    <w:p>
      <w:pPr>
        <w:pStyle w:val="Chuthichhinh"/>
      </w:pPr>
      <w:bookmarkStart w:id="1048" w:name="_Toc2008"/>
      <w:r>
        <w:t xml:space="preserve">Hình 3.1 </w:t>
      </w:r>
      <w:r>
        <w:t xml:space="preserve">Cấu tạo đỉnh đập sau sửa chữa, bộ phận chống thấm và cao trình khống chế (lập trên cơ sở TKCS [2]; tỷ lệ đứng phóng to 4 lần)</w:t>
      </w:r>
      <w:bookmarkEnd w:id="1048"/>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9" w:name="_Toc3013"/>
      <w:r>
        <w:t xml:space="preserve">Bảng 3.1 </w:t>
      </w:r>
      <w:r>
        <w:t>So sánh phương án bảo vệ mái hạ lưu</w:t>
      </w:r>
      <w:bookmarkEnd w:id="1089"/>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 xml:space="preserve">Hệ rãnh </w:t>
            </w:r>
            <w:r>
              <w:rPr>
                <w:sz w:val="21"/>
              </w:rPr>
              <w:t xml:space="preserve">BT B15 (M200)</w:t>
            </w:r>
            <w:r>
              <w:rPr>
                <w:sz w:val="21"/>
              </w:rPr>
              <w:t xml:space="preserve">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 xml:space="preserve">Cắt ngắn đường chảy tràn trên mái </w:t>
            </w:r>
            <w:r>
              <w:rPr>
                <w:sz w:val="21"/>
              </w:rPr>
              <w:t xml:space="preserve">xuống ≤ 5,7 m (đường chéo ô 4 × 4 m),</w:t>
            </w:r>
            <w:r>
              <w:rPr>
                <w:sz w:val="21"/>
              </w:rPr>
              <w:t xml:space="preserve">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9" w:name="_Toc2009"/>
      <w:r>
        <w:t xml:space="preserve">Hình 3.2 </w:t>
      </w:r>
      <w:r>
        <w:t xml:space="preserve">Mặt bằng bố trí hệ thống rãnh thoát nước mái hạ lưu </w:t>
      </w:r>
      <w:r>
        <w:t xml:space="preserve">(nguồn: TKCS [2]; ô 4 × 4 m đặt xoay 45°, đường chảy dài nhất theo đường chéo ≈ 5,66 m)</w:t>
      </w:r>
      <w:bookmarkEnd w:id="1049"/>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 xml:space="preserve">Đường quản lý: nâng cấp, bê tông hóa toàn tuyến dài 3.350 m, nền rộng 5,0 m, </w:t>
      </w:r>
      <w:r>
        <w:t xml:space="preserve">mặt đường BT B20 (M250)</w:t>
      </w:r>
      <w:r>
        <w:t xml:space="preserve">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90" w:name="_Toc3014"/>
      <w:r>
        <w:t xml:space="preserve">Bảng 3.2 </w:t>
      </w:r>
      <w:r>
        <w:t>Tổng hợp giải pháp sửa chữa, nâng cấp được lựa chọn</w:t>
      </w:r>
      <w:bookmarkEnd w:id="1090"/>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 xml:space="preserve">Đắp bù, gia cố mặt đập </w:t>
            </w:r>
            <w:r>
              <w:rPr>
                <w:sz w:val="21"/>
              </w:rPr>
              <w:t xml:space="preserve">BT B20 (M250)</w:t>
            </w:r>
            <w:r>
              <w:rPr>
                <w:sz w:val="21"/>
              </w:rPr>
              <w:t xml:space="preserve">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 xml:space="preserve">Bê tông hóa 3,35 km, mặt </w:t>
            </w:r>
            <w:r>
              <w:rPr>
                <w:sz w:val="21"/>
              </w:rPr>
              <w:t xml:space="preserve">BT B20 (M250)</w:t>
            </w:r>
            <w:r>
              <w:rPr>
                <w:sz w:val="21"/>
              </w:rPr>
              <w:t xml:space="preserve">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91" w:name="_Toc3015"/>
      <w:r>
        <w:t xml:space="preserve">Bảng 4.1 </w:t>
      </w:r>
      <w:r>
        <w:t>Các trị số thiết kế của công trình tháo lũ (lũ BCNCKT)</w:t>
      </w:r>
      <w:bookmarkEnd w:id="1091"/>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theo điều 2.6.3.10 và 2.6.3.5 của QCVN 04-05:2022 [6]: lũ thiết kế với các cửa xả mở hoàn toàn là tổ hợp cơ bản; lũ kiểm tra (mọi công trình xả kể cả công trình xả dự phòng mở hoàn toàn, không xét kẹt van) và lũ thiết kế khi một cửa xả bị kẹt là tổ hợp đặc biệt; lũ vượt kiểm tra (P = 0,1% với công trình cấp II, Bảng 4 của quy chuẩn) chỉ bắt buộc xét với hồ từ cấp I trở lên, hồ cấp II xét khi có luận cứ và được cấp có thẩm quyền chấp thuận.</w:t>
      </w:r>
      <w:r>
        <w:t xml:space="preserve">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92" w:name="_Toc3016"/>
      <w:r>
        <w:t xml:space="preserve">Bảng 4.2 </w:t>
      </w:r>
      <w:r>
        <w:t xml:space="preserve">Phân loại các tình huống lũ và yêu cầu đối với đỉnh đập, tường chắn sóng</w:t>
      </w:r>
      <w:bookmarkEnd w:id="1092"/>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 thiết kế (QCVN 04-05:2022, điều 2.6.3.10a)</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+79,07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 kiểm tra (điều 2.6.3.10b)</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Tổ hợp đặc biệt (CHÚ THÍCH điều 2.6.3.10)</w:t>
            </w:r>
          </w:p>
        </w:tc>
        <w:tc>
          <w:tcPr>
            <w:tcW w:type="dxa" w:w="1814"/>
          </w:tcPr>
          <w:p>
            <w:pPr>
              <w:spacing w:before="20" w:after="20" w:line="240" w:lineRule="auto"/>
              <w:jc w:val="left"/>
            </w:pPr>
            <w:r>
              <w:rPr>
                <w:sz w:val="19"/>
              </w:rPr>
              <w:t xml:space="preserve">Đỉnh đập ≥ Z</w:t>
            </w:r>
            <w:r>
              <w:rPr>
                <w:sz w:val="19"/>
                <w:vertAlign w:val="subscript"/>
              </w:rPr>
              <w:t xml:space="preserve">max</w:t>
            </w:r>
            <w:r>
              <w:rPr>
                <w:sz w:val="19"/>
              </w:rPr>
              <w:t xml:space="preserve"> + 0,3 m: đạt (dư 0,34 m)</w:t>
            </w:r>
          </w:p>
        </w:tc>
      </w:tr>
      <w:tr>
        <w:trPr>
          <w:cantSplit w:val="true"/>
        </w:trPr>
        <w:tc>
          <w:tcPr>
            <w:tcW w:type="dxa" w:w="2268"/>
          </w:tcPr>
          <w:p>
            <w:pPr>
              <w:spacing w:before="20" w:after="20" w:line="240" w:lineRule="auto"/>
              <w:jc w:val="left"/>
            </w:pPr>
            <w:r>
              <w:rPr>
                <w:sz w:val="19"/>
              </w:rPr>
              <w:t xml:space="preserve">Lũ vượt kiểm tra P = 0,1% (QTVH), vận hành đúng QTVH</w:t>
            </w:r>
          </w:p>
        </w:tc>
        <w:tc>
          <w:tcPr>
            <w:tcW w:type="dxa" w:w="907"/>
          </w:tcPr>
          <w:p>
            <w:pPr>
              <w:spacing w:before="20" w:after="20" w:line="240" w:lineRule="auto"/>
              <w:jc w:val="center"/>
            </w:pPr>
            <w:r>
              <w:rPr>
                <w:sz w:val="19"/>
              </w:rPr>
              <w:t xml:space="preserve">+78,83</w:t>
            </w:r>
          </w:p>
        </w:tc>
        <w:tc>
          <w:tcPr>
            <w:tcW w:type="dxa" w:w="1247"/>
          </w:tcPr>
          <w:p>
            <w:pPr>
              <w:spacing w:before="20" w:after="20" w:line="240" w:lineRule="auto"/>
              <w:jc w:val="center"/>
            </w:pPr>
            <w:r>
              <w:rPr>
                <w:sz w:val="19"/>
              </w:rPr>
              <w:t xml:space="preserve">thấp hơn 0,02 m</w:t>
            </w:r>
          </w:p>
        </w:tc>
        <w:tc>
          <w:tcPr>
            <w:tcW w:type="dxa" w:w="1247"/>
          </w:tcPr>
          <w:p>
            <w:pPr>
              <w:spacing w:before="20" w:after="20" w:line="240" w:lineRule="auto"/>
              <w:jc w:val="center"/>
            </w:pPr>
            <w:r>
              <w:rPr>
                <w:sz w:val="19"/>
              </w:rPr>
              <w:t xml:space="preserve">thấp hơn 0,57 m</w:t>
            </w:r>
          </w:p>
        </w:tc>
        <w:tc>
          <w:tcPr>
            <w:tcW w:type="dxa" w:w="1588"/>
          </w:tcPr>
          <w:p>
            <w:pPr>
              <w:spacing w:before="20" w:after="20" w:line="240" w:lineRule="auto"/>
              <w:jc w:val="left"/>
            </w:pPr>
            <w:r>
              <w:rPr>
                <w:sz w:val="19"/>
              </w:rPr>
              <w:t xml:space="preserve">Xét thêm (Bảng 4; điều 2.6.3.5, 2.6.3.10d) – không bắt buộc với hồ cấp II</w:t>
            </w:r>
          </w:p>
        </w:tc>
        <w:tc>
          <w:tcPr>
            <w:tcW w:type="dxa" w:w="1814"/>
          </w:tcPr>
          <w:p>
            <w:pPr>
              <w:spacing w:before="20" w:after="20" w:line="240" w:lineRule="auto"/>
              <w:jc w:val="left"/>
            </w:pPr>
            <w:r>
              <w:rPr>
                <w:sz w:val="19"/>
              </w:rPr>
              <w:t xml:space="preserve">Không tràn đỉnh nhưng gần như hết dự trữ – xem mục 4.6</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Ngoài các trường hợp bắt buộc (điều 2.6.3.10b không xét kẹt van khi tính lũ kiểm tra)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Lũ vượt kiểm tra kèm sự cố thiết bị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93" w:name="_Toc3017"/>
      <w:r>
        <w:t xml:space="preserve">Bảng 4.3 </w:t>
      </w:r>
      <w:r>
        <w:t>Khả năng tháo của tràn chính theo cột nước (m = 0,45; n = 9; b = 2,4 m)</w:t>
      </w:r>
      <w:bookmarkEnd w:id="1093"/>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94" w:name="_Toc3018"/>
      <w:r>
        <w:t xml:space="preserve">Bảng 4.4 </w:t>
      </w:r>
      <w:r>
        <w:t>Kết quả tính đường mặt nước trên dốc tràn chính</w:t>
      </w:r>
      <w:bookmarkEnd w:id="1094"/>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50" w:name="_Toc2010"/>
      <w:r>
        <w:t xml:space="preserve">Hình 4.1 </w:t>
      </w:r>
      <w:r>
        <w:t>Đường mặt nước trên dốc tràn chính và chiều cao tường bên hiện trạng</w:t>
      </w:r>
      <w:bookmarkEnd w:id="1050"/>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xml:space="preserve">.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w:t>
      </w:r>
      <w:r>
        <w:t xml:space="preserve">Phụ lục tính toán của BCNCKT [26] cho độ vượt cao tường bên nhỏ hơn (0,16 m tại mặt cắt thứ ba với lũ kiểm tra) vì tính với lưu lượng tràn chính 311 m</w:t>
      </w:r>
      <w:r>
        <w:rPr>
          <w:vertAlign w:val="superscript"/>
        </w:rPr>
        <w:t xml:space="preserve">3</w:t>
      </w:r>
      <w:r>
        <w:t xml:space="preserve">/s ứng với bề rộng tràn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xml:space="preserve">: đục bỏ lớp bê tông bề mặt bị mài mòn (dày 2 ÷ 3 cm) đến lớp bê tông chắc, làm sạch bằng phun nước áp lực, quét lớp kết dính và </w:t>
      </w:r>
      <w:r>
        <w:t xml:space="preserve">trát vữa xi măng – polime cường độ ≥ 40 MPa, mác chống thấm ≥ W8 (TCVN 4116:2023 mục 5.1.9: vùng có yêu cầu chống mài mòn, xâm thực dùng vật liệu tối thiểu B25, W8),</w:t>
      </w:r>
      <w:r>
        <w:t xml:space="preserve">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 xml:space="preserve">Điều kiện ổn định trượt phẳng </w:t>
      </w:r>
      <w:r>
        <w:t xml:space="preserve">theo QCVN 04-05:2022 [6] (điều 2.5.3, công thức (1): γ</w:t>
      </w:r>
      <w:r>
        <w:rPr>
          <w:vertAlign w:val="subscript"/>
        </w:rPr>
        <w:t xml:space="preserve">lc</w:t>
      </w:r>
      <w:r>
        <w:t xml:space="preserve">·F ≤ γ</w:t>
      </w:r>
      <w:r>
        <w:rPr>
          <w:vertAlign w:val="subscript"/>
        </w:rPr>
        <w:t xml:space="preserve">c</w:t>
      </w:r>
      <w:r>
        <w:t xml:space="preserve">·R/γ</w:t>
      </w:r>
      <w:r>
        <w:rPr>
          <w:vertAlign w:val="subscript"/>
        </w:rPr>
        <w:t xml:space="preserve">n</w:t>
      </w:r>
      <w:r>
        <w:t xml:space="preserve">)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γ</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lc</m:t>
                </m:r>
              </m:sub>
            </m:sSub>
          </m:num>
          <m:den>
            <m:sSub>
              <m:e>
                <m:r>
                  <m:rPr/>
                  <w:rPr>
                    <w:rFonts w:ascii="Cambria Math" w:hAnsi="Cambria Math"/>
                  </w:rPr>
                  <m:t xml:space="preserve">γ</m:t>
                </m:r>
              </m:e>
              <m:sub>
                <m:r>
                  <m:rPr/>
                  <w:rPr>
                    <w:rFonts w:ascii="Cambria Math" w:hAnsi="Cambria Math"/>
                  </w:rPr>
                  <m:t xml:space="preserve">c</m:t>
                </m:r>
              </m:sub>
            </m:sSub>
          </m:den>
        </m:f>
      </m:oMath>
      <w:r>
        <w:tab/>
        <w:t>(4-5)</w:t>
      </w:r>
    </w:p>
    <w:p>
      <w:pPr>
        <w:pStyle w:val="Content"/>
        <w:spacing w:before="80"/>
        <w:ind w:left="0"/>
      </w:pPr>
      <w:r>
        <w:t xml:space="preserve">Trong đó: ΣV, ΣH – tổng lực đứng (đã trừ đẩy ngược) và tổng lực ngang (kN/m); B = 5,05 m – chiều rộng đáy; f = 0,60 – hệ số ma sát bê tông với đá phong hóa vừa; c – lực dính đơn vị trên mặt tiếp xúc; </w:t>
      </w:r>
      <w:r>
        <w:t xml:space="preserve">γ</w:t>
      </w:r>
      <w:r>
        <w:rPr>
          <w:vertAlign w:val="subscript"/>
        </w:rPr>
        <w:t xml:space="preserve">n</w:t>
      </w:r>
      <w:r>
        <w:t xml:space="preserve"> = 1,15 – hệ số bảo đảm của công trình bê tông cấp II (Bảng B.1); γ</w:t>
      </w:r>
      <w:r>
        <w:rPr>
          <w:vertAlign w:val="subscript"/>
        </w:rPr>
        <w:t xml:space="preserve">lc</w:t>
      </w:r>
      <w:r>
        <w:t xml:space="preserve"> = 1,00 (tổ hợp cơ bản) hoặc 0,90 (đặc biệt); γ</w:t>
      </w:r>
      <w:r>
        <w:rPr>
          <w:vertAlign w:val="subscript"/>
        </w:rPr>
        <w:t xml:space="preserve">c</w:t>
      </w:r>
      <w:r>
        <w:t xml:space="preserve"> = 0,95 – hệ số điều kiện làm việc khi mặt trượt đi qua mặt tiếp xúc bê tông – đá (Bảng B.2; lớp II có cường độ kháng nén bão hòa 10,7 ÷ 29,3 MPa &gt; 5 MPa nên được xếp là nền đá [3]) → [K] = 1,21 (MNDBT, MNLTK) và 1,09 (MNLKT).</w:t>
      </w:r>
    </w:p>
    <w:p>
      <w:pPr>
        <w:pStyle w:val="Heading3"/>
      </w:pPr>
      <w:bookmarkStart w:id="973" w:name="_Toc1073"/>
      <w:r>
        <w:t>Kết quả kiểm tra</w:t>
      </w:r>
      <w:bookmarkEnd w:id="973"/>
    </w:p>
    <w:p>
      <w:pPr>
        <w:pStyle w:val="Chuthichbang"/>
        <w:keepNext/>
      </w:pPr>
      <w:bookmarkStart w:id="1095" w:name="_Toc3019"/>
      <w:r>
        <w:t xml:space="preserve">Bảng 4.5 </w:t>
      </w:r>
      <w:r>
        <w:t>Kết quả kiểm tra ổn định ngưỡng tràn chính (dải rộng 1 m)</w:t>
      </w:r>
      <w:bookmarkEnd w:id="1095"/>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w:t>
      </w:r>
      <w:r>
        <w:t xml:space="preserve">chỉ cần lực dính trên mặt tiếp xúc c ≥ 7,6 kPa (MNLTK) và c ≥ 10,4 kPa (MNLKT) là thỏa mãn</w:t>
      </w:r>
      <w:r>
        <w:t xml:space="preserve">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10,4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w:t>
      </w:r>
      <w:r>
        <w:t xml:space="preserve">R</w:t>
      </w:r>
      <w:r>
        <w:rPr>
          <w:vertAlign w:val="subscript"/>
        </w:rPr>
        <w:t xml:space="preserve">s</w:t>
      </w:r>
      <w:r>
        <w:t xml:space="preserve"> = 350 MPa – cường độ chịu kéo tính toán của thép CB400-V (TCVN 4116:2023, Bảng 11)</w:t>
      </w:r>
      <w:r>
        <w:t xml:space="preserve">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96" w:name="_Toc3020"/>
      <w:r>
        <w:t xml:space="preserve">Bảng 4.6 </w:t>
      </w:r>
      <w:r>
        <w:t xml:space="preserve">Kiểm tra ổn định trượt ngưỡng tràn chính khi có neo (c = 0, dải rộng 1 m)</w:t>
      </w:r>
      <w:bookmarkEnd w:id="1096"/>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38,2</w:t>
            </w:r>
          </w:p>
        </w:tc>
        <w:tc>
          <w:tcPr>
            <w:tcW w:type="dxa" w:w="1247"/>
          </w:tcPr>
          <w:p>
            <w:pPr>
              <w:spacing w:before="20" w:after="20" w:line="240" w:lineRule="auto"/>
              <w:jc w:val="center"/>
            </w:pPr>
            <w:r>
              <w:rPr>
                <w:sz w:val="19"/>
              </w:rPr>
              <w:t xml:space="preserve">47,8</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1,211</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52,4</w:t>
            </w:r>
          </w:p>
        </w:tc>
        <w:tc>
          <w:tcPr>
            <w:tcW w:type="dxa" w:w="1247"/>
          </w:tcPr>
          <w:p>
            <w:pPr>
              <w:spacing w:before="20" w:after="20" w:line="240" w:lineRule="auto"/>
              <w:jc w:val="center"/>
            </w:pPr>
            <w:r>
              <w:rPr>
                <w:sz w:val="19"/>
              </w:rPr>
              <w:t xml:space="preserve">65,5</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1,089</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48 ÷ 65 kN, bằng 28 ÷ 38% N</w:t>
      </w:r>
      <w:r>
        <w:rPr>
          <w:vertAlign w:val="subscript"/>
        </w:rPr>
        <w:t xml:space="preserve">tt</w:t>
      </w:r>
      <w:r>
        <w:t xml:space="preserve">, tương ứng ứng suất trong thép 97 ÷ 133 MPa và cường độ bám dính vữa – đá cần huy động 0,10 ÷ 0,14 MPa</w:t>
      </w:r>
      <w:r>
        <w:t xml:space="preserve">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w:t>
      </w:r>
      <w:r>
        <w:t xml:space="preserve">thí nghiệm kéo nhổ tối thiểu 3 neo đến 100 kN (≈ 1,5 lần lực kéo cần lớn nhất)</w:t>
      </w:r>
      <w:r>
        <w:t xml:space="preserve">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Content"/>
      </w:pPr>
      <w:r>
        <w:t xml:space="preserve">Thí nghiệm kéo nhổ đến 100 kN là thí nghiệm kiểm chứng theo lực yêu cầu (tiêu chí đạt: không tuột, chuyển vị dư sau dỡ tải trong giới hạn của chỉ dẫn kỹ thuật); nó không xác nhận khả năng 171,8 kN dùng để đánh giá dự trữ (K = 2,23 / 1,81), nên trong kiểm tra ổn định thiết kế chỉ dùng lực neo không vượt lực đã thử (lực cần 48 ÷ 65 kN &lt; 100 kN). Kiểm tra các dạng phá hoại khác: (i) phía bê tông – đoạn neo trong khối ngưỡng dài khoảng 1,0 m cho khả năng bám dính thép – vữa 157 kN và vữa – bê tông 119 kN, đều lớn hơn lực thử; (ii) nhổ khối đá – mỗi neo giữ một lăng trụ đá 1,5 × 2,5 × 2,0 m, trọng lượng đẩy nổi 121 kN (bỏ qua sức kháng cắt của đá), hệ số 1,85 với lực kéo cần lớn nhất và 1,21 với lực thử; (iii) bảo vệ chống ăn mòn – tham khảo yêu cầu mục 7.4 của TCVN 4116:2023 (quy định cho công trình neo vào nền cấp đặc biệt, cấp I): thanh neo có định vị tâm để lớp vữa bao không nhỏ hơn 25 mm trên toàn chiều dài, bơm vữa kín lỗ từ đáy lên; đầu thanh cắt thấp hơn mặt ngưỡng 60 mm và trám bằng vữa xi măng – polime mác chống thấm ≥ W8 (lớp bảo vệ ≥ 60 mm ở mặt tiếp xúc trực tiếp với dòng chảy – mục 6.3.3, 5.1.9). Hình học ngưỡng, hệ số ma sát và lực dính hiện là giả thiết, nên neo là phương án gia cường dự kiến, được chốt sau khi có hồ sơ hoàn công, khoan lõi mặt tiếp xúc và thí nghiệm kéo nhổ.</w:t>
      </w:r>
    </w:p>
    <w:p>
      <w:pPr>
        <w:pStyle w:val="Heading2"/>
      </w:pPr>
      <w:bookmarkStart w:id="975" w:name="_Toc1075"/>
      <w:r>
        <w:t xml:space="preserve">Đánh giá khả năng tháo lũ khi lượng mưa, lũ biến đổi và hiệu quả của giải pháp sửa chữa công trình tháo lũ</w:t>
      </w:r>
      <w:bookmarkEnd w:id="975"/>
    </w:p>
    <w:p>
      <w:pPr>
        <w:pStyle w:val="Content"/>
      </w:pPr>
      <w:r>
        <w:t xml:space="preserve">QCVN 04-05:2022 [6] yêu cầu khi xác định các chỉ tiêu dòng chảy phải dự báo khả năng diễn biến của chúng trong tương lai (điều 2.3.2.2) và lưu lượng xả tính toán phải xét sự thay đổi điều kiện hình thành dòng chảy trên lưu vực (điều 2.6.3.3). Mục này đánh giá: (1) biến động lượng mưa lưu vực từ khi công trình đưa vào vận hành (năm 2000); (2) mực nước lớn nhất trong hồ và khả năng tháo của tràn hiện trạng khi lũ đến tăng, so sánh với MNLTK thiết kế ban đầu; (3) hiệu quả của các giải pháp sửa chữa công trình tháo lũ.</w:t>
      </w:r>
    </w:p>
    <w:p>
      <w:pPr>
        <w:pStyle w:val="Heading3"/>
      </w:pPr>
      <w:bookmarkStart w:id="976" w:name="_Toc1076"/>
      <w:r>
        <w:t xml:space="preserve">Biến động lượng mưa lưu vực từ khi công trình vận hành</w:t>
      </w:r>
      <w:bookmarkEnd w:id="976"/>
    </w:p>
    <w:p>
      <w:pPr>
        <w:pStyle w:val="Content"/>
      </w:pPr>
      <w:r>
        <w:t xml:space="preserve">Số liệu: chuỗi lượng mưa tháng, năm của lưu vực 1978 ÷ 2024 (47 năm, QTVH [1] Bảng 2-9 – quy từ các trạm Đại Ninh, Sông Lũy) và lượng mưa 1 ngày lớn nhất năm X</w:t>
      </w:r>
      <w:r>
        <w:rPr>
          <w:vertAlign w:val="subscript"/>
        </w:rPr>
        <w:t xml:space="preserve">1max</w:t>
      </w:r>
      <w:r>
        <w:t xml:space="preserve"> 1978 ÷ 2020 (43 năm, báo cáo KTTV [7] Bảng 3-13), số liệu chi tiết ở Bảng PL12 (Phụ lục 7). Chuỗi được chia thành hai giai đoạn: trước (1978 ÷ 1999) và sau khi công trình vận hành (2000 ÷ 2024). Ngoài so sánh trị bình quân, hệ số biến đổi C</w:t>
      </w:r>
      <w:r>
        <w:rPr>
          <w:vertAlign w:val="subscript"/>
        </w:rPr>
        <w:t xml:space="preserve">v</w:t>
      </w:r>
      <w:r>
        <w:t xml:space="preserve">, đồ án kiểm định xu thế bằng phương pháp phi tham số Mann – Kendall (có hiệu chỉnh số liệu trùng) kèm độ dốc Sen và kiểm định Welch cho sai khác trị bình quân của hai giai đoạn (mức ý nghĩa 5%; chương trình kt</w:t>
      </w:r>
      <w:r>
        <w:t xml:space="preserve">_</w:t>
      </w:r>
      <w:r>
        <w:t xml:space="preserve">mua</w:t>
      </w:r>
      <w:r>
        <w:t xml:space="preserve">_</w:t>
      </w:r>
      <w:r>
        <w:t xml:space="preserve">lu</w:t>
      </w:r>
      <w:r>
        <w:t xml:space="preserve">_</w:t>
      </w:r>
      <w:r>
        <w:t xml:space="preserve">bien</w:t>
      </w:r>
      <w:r>
        <w:t xml:space="preserve">_</w:t>
      </w:r>
      <w:r>
        <w:t xml:space="preserve">doi.py).</w:t>
      </w:r>
    </w:p>
    <w:p>
      <w:pPr>
        <w:pStyle w:val="Chuthichbang"/>
        <w:keepNext/>
      </w:pPr>
      <w:bookmarkStart w:id="1097" w:name="_Toc3021"/>
      <w:r>
        <w:t xml:space="preserve">Bảng 4.7 </w:t>
      </w:r>
      <w:r>
        <w:t xml:space="preserve">Đặc trưng lượng mưa lưu vực hồ Cà Giây trước và sau khi công trình vận hành</w:t>
      </w:r>
      <w:bookmarkEnd w:id="1097"/>
    </w:p>
    <w:tbl>
      <w:tblPr>
        <w:tblStyle w:val="TableGrid"/>
        <w:tblW w:type="auto" w:w="0"/>
        <w:jc w:val="center"/>
        <w:tblLayout w:type="fixed"/>
        <w:tblLook w:firstColumn="1" w:firstRow="1" w:lastColumn="0" w:lastRow="0" w:noHBand="0" w:noVBand="1" w:val="04A0"/>
      </w:tblPr>
      <w:tblGrid>
        <w:gridCol w:w="2300"/>
        <w:gridCol w:w="1450"/>
        <w:gridCol w:w="1450"/>
        <w:gridCol w:w="1000"/>
        <w:gridCol w:w="1850"/>
        <w:gridCol w:w="950"/>
      </w:tblGrid>
      <w:tr>
        <w:trPr>
          <w:tblHeader w:val="true"/>
          <w:cantSplit w:val="true"/>
        </w:trPr>
        <w:tc>
          <w:tcPr>
            <w:tcW w:type="dxa" w:w="2300"/>
            <w:shd w:val="clear" w:color="auto" w:fill="F2F2F2"/>
          </w:tcPr>
          <w:p>
            <w:pPr>
              <w:spacing w:before="20" w:after="20" w:line="240" w:lineRule="auto"/>
              <w:jc w:val="center"/>
            </w:pPr>
            <w:r>
              <w:rPr>
                <w:b/>
                <w:sz w:val="20"/>
              </w:rPr>
              <w:t xml:space="preserve">Đặc trưng</w:t>
            </w:r>
          </w:p>
        </w:tc>
        <w:tc>
          <w:tcPr>
            <w:tcW w:type="dxa" w:w="1450"/>
            <w:shd w:val="clear" w:color="auto" w:fill="F2F2F2"/>
          </w:tcPr>
          <w:p>
            <w:pPr>
              <w:spacing w:before="20" w:after="20" w:line="240" w:lineRule="auto"/>
              <w:jc w:val="center"/>
            </w:pPr>
            <w:r>
              <w:rPr>
                <w:b/>
                <w:sz w:val="20"/>
              </w:rPr>
              <w:t xml:space="preserve">1978 ÷ 1999: TB (mm) ; C</w:t>
            </w:r>
            <w:r>
              <w:rPr>
                <w:b/>
                <w:sz w:val="20"/>
                <w:vertAlign w:val="subscript"/>
              </w:rPr>
              <w:t xml:space="preserve">v</w:t>
            </w:r>
          </w:p>
        </w:tc>
        <w:tc>
          <w:tcPr>
            <w:tcW w:type="dxa" w:w="1450"/>
            <w:shd w:val="clear" w:color="auto" w:fill="F2F2F2"/>
          </w:tcPr>
          <w:p>
            <w:pPr>
              <w:spacing w:before="20" w:after="20" w:line="240" w:lineRule="auto"/>
              <w:jc w:val="center"/>
            </w:pPr>
            <w:r>
              <w:rPr>
                <w:b/>
                <w:sz w:val="20"/>
              </w:rPr>
              <w:t xml:space="preserve">2000 ÷ 2024: TB (mm) ; C</w:t>
            </w:r>
            <w:r>
              <w:rPr>
                <w:b/>
                <w:sz w:val="20"/>
                <w:vertAlign w:val="subscript"/>
              </w:rPr>
              <w:t xml:space="preserve">v</w:t>
            </w:r>
          </w:p>
        </w:tc>
        <w:tc>
          <w:tcPr>
            <w:tcW w:type="dxa" w:w="1000"/>
            <w:shd w:val="clear" w:color="auto" w:fill="F2F2F2"/>
          </w:tcPr>
          <w:p>
            <w:pPr>
              <w:spacing w:before="20" w:after="20" w:line="240" w:lineRule="auto"/>
              <w:jc w:val="center"/>
            </w:pPr>
            <w:r>
              <w:rPr>
                <w:b/>
                <w:sz w:val="20"/>
              </w:rPr>
              <w:t xml:space="preserve">Thay đổi TB</w:t>
            </w:r>
          </w:p>
        </w:tc>
        <w:tc>
          <w:tcPr>
            <w:tcW w:type="dxa" w:w="1850"/>
            <w:shd w:val="clear" w:color="auto" w:fill="F2F2F2"/>
          </w:tcPr>
          <w:p>
            <w:pPr>
              <w:spacing w:before="20" w:after="20" w:line="240" w:lineRule="auto"/>
              <w:jc w:val="center"/>
            </w:pPr>
            <w:r>
              <w:rPr>
                <w:b/>
                <w:sz w:val="20"/>
              </w:rPr>
              <w:t xml:space="preserve">Mann – Kendall: Z ; p ; Sen (mm/năm)</w:t>
            </w:r>
          </w:p>
        </w:tc>
        <w:tc>
          <w:tcPr>
            <w:tcW w:type="dxa" w:w="950"/>
            <w:shd w:val="clear" w:color="auto" w:fill="F2F2F2"/>
          </w:tcPr>
          <w:p>
            <w:pPr>
              <w:spacing w:before="20" w:after="20" w:line="240" w:lineRule="auto"/>
              <w:jc w:val="center"/>
            </w:pPr>
            <w:r>
              <w:rPr>
                <w:b/>
                <w:sz w:val="20"/>
              </w:rPr>
              <w:t xml:space="preserve">Welch: p</w:t>
            </w:r>
          </w:p>
        </w:tc>
      </w:tr>
      <w:tr>
        <w:trPr>
          <w:cantSplit w:val="true"/>
        </w:trPr>
        <w:tc>
          <w:tcPr>
            <w:tcW w:type="dxa" w:w="2300"/>
          </w:tcPr>
          <w:p>
            <w:pPr>
              <w:spacing w:before="20" w:after="20" w:line="240" w:lineRule="auto"/>
              <w:jc w:val="left"/>
            </w:pPr>
            <w:r>
              <w:rPr>
                <w:sz w:val="20"/>
              </w:rPr>
              <w:t xml:space="preserve">Lượng mưa năm</w:t>
            </w:r>
          </w:p>
        </w:tc>
        <w:tc>
          <w:tcPr>
            <w:tcW w:type="dxa" w:w="1450"/>
          </w:tcPr>
          <w:p>
            <w:pPr>
              <w:spacing w:before="20" w:after="20" w:line="240" w:lineRule="auto"/>
              <w:jc w:val="center"/>
            </w:pPr>
            <w:r>
              <w:rPr>
                <w:sz w:val="20"/>
              </w:rPr>
              <w:t xml:space="preserve">1500,7 ; 0,20</w:t>
            </w:r>
          </w:p>
        </w:tc>
        <w:tc>
          <w:tcPr>
            <w:tcW w:type="dxa" w:w="1450"/>
          </w:tcPr>
          <w:p>
            <w:pPr>
              <w:spacing w:before="20" w:after="20" w:line="240" w:lineRule="auto"/>
              <w:jc w:val="center"/>
            </w:pPr>
            <w:r>
              <w:rPr>
                <w:sz w:val="20"/>
              </w:rPr>
              <w:t xml:space="preserve">1499,3 ; 0,26</w:t>
            </w:r>
          </w:p>
        </w:tc>
        <w:tc>
          <w:tcPr>
            <w:tcW w:type="dxa" w:w="1000"/>
          </w:tcPr>
          <w:p>
            <w:pPr>
              <w:spacing w:before="20" w:after="20" w:line="240" w:lineRule="auto"/>
              <w:jc w:val="center"/>
            </w:pPr>
            <w:r>
              <w:rPr>
                <w:sz w:val="20"/>
              </w:rPr>
              <w:t xml:space="preserve">−0,1%</w:t>
            </w:r>
          </w:p>
        </w:tc>
        <w:tc>
          <w:tcPr>
            <w:tcW w:type="dxa" w:w="1850"/>
          </w:tcPr>
          <w:p>
            <w:pPr>
              <w:spacing w:before="20" w:after="20" w:line="240" w:lineRule="auto"/>
              <w:jc w:val="center"/>
            </w:pPr>
            <w:r>
              <w:rPr>
                <w:sz w:val="20"/>
              </w:rPr>
              <w:t xml:space="preserve">−0,09 ; 0,93 ; −0,46</w:t>
            </w:r>
          </w:p>
        </w:tc>
        <w:tc>
          <w:tcPr>
            <w:tcW w:type="dxa" w:w="950"/>
          </w:tcPr>
          <w:p>
            <w:pPr>
              <w:spacing w:before="20" w:after="20" w:line="240" w:lineRule="auto"/>
              <w:jc w:val="center"/>
            </w:pPr>
            <w:r>
              <w:rPr>
                <w:sz w:val="20"/>
              </w:rPr>
              <w:t xml:space="preserve">0,99</w:t>
            </w:r>
          </w:p>
        </w:tc>
      </w:tr>
      <w:tr>
        <w:trPr>
          <w:cantSplit w:val="true"/>
        </w:trPr>
        <w:tc>
          <w:tcPr>
            <w:tcW w:type="dxa" w:w="2300"/>
          </w:tcPr>
          <w:p>
            <w:pPr>
              <w:spacing w:before="20" w:after="20" w:line="240" w:lineRule="auto"/>
              <w:jc w:val="left"/>
            </w:pPr>
            <w:r>
              <w:rPr>
                <w:sz w:val="20"/>
              </w:rPr>
              <w:t xml:space="preserve">Mưa mùa mưa (tháng V ÷ X)</w:t>
            </w:r>
          </w:p>
        </w:tc>
        <w:tc>
          <w:tcPr>
            <w:tcW w:type="dxa" w:w="1450"/>
          </w:tcPr>
          <w:p>
            <w:pPr>
              <w:spacing w:before="20" w:after="20" w:line="240" w:lineRule="auto"/>
              <w:jc w:val="center"/>
            </w:pPr>
            <w:r>
              <w:rPr>
                <w:sz w:val="20"/>
              </w:rPr>
              <w:t xml:space="preserve">1306,4 ; 0,25</w:t>
            </w:r>
          </w:p>
        </w:tc>
        <w:tc>
          <w:tcPr>
            <w:tcW w:type="dxa" w:w="1450"/>
          </w:tcPr>
          <w:p>
            <w:pPr>
              <w:spacing w:before="20" w:after="20" w:line="240" w:lineRule="auto"/>
              <w:jc w:val="center"/>
            </w:pPr>
            <w:r>
              <w:rPr>
                <w:sz w:val="20"/>
              </w:rPr>
              <w:t xml:space="preserve">1278,5 ; 0,25</w:t>
            </w:r>
          </w:p>
        </w:tc>
        <w:tc>
          <w:tcPr>
            <w:tcW w:type="dxa" w:w="1000"/>
          </w:tcPr>
          <w:p>
            <w:pPr>
              <w:spacing w:before="20" w:after="20" w:line="240" w:lineRule="auto"/>
              <w:jc w:val="center"/>
            </w:pPr>
            <w:r>
              <w:rPr>
                <w:sz w:val="20"/>
              </w:rPr>
              <w:t xml:space="preserve">−2,1%</w:t>
            </w:r>
          </w:p>
        </w:tc>
        <w:tc>
          <w:tcPr>
            <w:tcW w:type="dxa" w:w="1850"/>
          </w:tcPr>
          <w:p>
            <w:pPr>
              <w:spacing w:before="20" w:after="20" w:line="240" w:lineRule="auto"/>
              <w:jc w:val="center"/>
            </w:pPr>
            <w:r>
              <w:rPr>
                <w:sz w:val="20"/>
              </w:rPr>
              <w:t xml:space="preserve">−0,66 ; 0,51 ; −2,12</w:t>
            </w:r>
          </w:p>
        </w:tc>
        <w:tc>
          <w:tcPr>
            <w:tcW w:type="dxa" w:w="950"/>
          </w:tcPr>
          <w:p>
            <w:pPr>
              <w:spacing w:before="20" w:after="20" w:line="240" w:lineRule="auto"/>
              <w:jc w:val="center"/>
            </w:pPr>
            <w:r>
              <w:rPr>
                <w:sz w:val="20"/>
              </w:rPr>
              <w:t xml:space="preserve">0,77</w:t>
            </w:r>
          </w:p>
        </w:tc>
      </w:tr>
      <w:tr>
        <w:trPr>
          <w:cantSplit w:val="true"/>
        </w:trPr>
        <w:tc>
          <w:tcPr>
            <w:tcW w:type="dxa" w:w="2300"/>
          </w:tcPr>
          <w:p>
            <w:pPr>
              <w:spacing w:before="20" w:after="20" w:line="240" w:lineRule="auto"/>
              <w:jc w:val="left"/>
            </w:pPr>
            <w:r>
              <w:rPr>
                <w:sz w:val="20"/>
              </w:rPr>
              <w:t xml:space="preserve">Mưa tháng lớn nhất trong năm</w:t>
            </w:r>
          </w:p>
        </w:tc>
        <w:tc>
          <w:tcPr>
            <w:tcW w:type="dxa" w:w="1450"/>
          </w:tcPr>
          <w:p>
            <w:pPr>
              <w:spacing w:before="20" w:after="20" w:line="240" w:lineRule="auto"/>
              <w:jc w:val="center"/>
            </w:pPr>
            <w:r>
              <w:rPr>
                <w:sz w:val="20"/>
              </w:rPr>
              <w:t xml:space="preserve">384,8 ; 0,29</w:t>
            </w:r>
          </w:p>
        </w:tc>
        <w:tc>
          <w:tcPr>
            <w:tcW w:type="dxa" w:w="1450"/>
          </w:tcPr>
          <w:p>
            <w:pPr>
              <w:spacing w:before="20" w:after="20" w:line="240" w:lineRule="auto"/>
              <w:jc w:val="center"/>
            </w:pPr>
            <w:r>
              <w:rPr>
                <w:sz w:val="20"/>
              </w:rPr>
              <w:t xml:space="preserve">337,5 ; 0,28</w:t>
            </w:r>
          </w:p>
        </w:tc>
        <w:tc>
          <w:tcPr>
            <w:tcW w:type="dxa" w:w="1000"/>
          </w:tcPr>
          <w:p>
            <w:pPr>
              <w:spacing w:before="20" w:after="20" w:line="240" w:lineRule="auto"/>
              <w:jc w:val="center"/>
            </w:pPr>
            <w:r>
              <w:rPr>
                <w:sz w:val="20"/>
              </w:rPr>
              <w:t xml:space="preserve">−12,3%</w:t>
            </w:r>
          </w:p>
        </w:tc>
        <w:tc>
          <w:tcPr>
            <w:tcW w:type="dxa" w:w="1850"/>
          </w:tcPr>
          <w:p>
            <w:pPr>
              <w:spacing w:before="20" w:after="20" w:line="240" w:lineRule="auto"/>
              <w:jc w:val="center"/>
            </w:pPr>
            <w:r>
              <w:rPr>
                <w:sz w:val="20"/>
              </w:rPr>
              <w:t xml:space="preserve">−1,89 ; 0,06 ; −2,20</w:t>
            </w:r>
          </w:p>
        </w:tc>
        <w:tc>
          <w:tcPr>
            <w:tcW w:type="dxa" w:w="950"/>
          </w:tcPr>
          <w:p>
            <w:pPr>
              <w:spacing w:before="20" w:after="20" w:line="240" w:lineRule="auto"/>
              <w:jc w:val="center"/>
            </w:pPr>
            <w:r>
              <w:rPr>
                <w:sz w:val="20"/>
              </w:rPr>
              <w:t xml:space="preserve">0,12</w:t>
            </w:r>
          </w:p>
        </w:tc>
      </w:tr>
      <w:tr>
        <w:trPr>
          <w:cantSplit w:val="true"/>
        </w:trPr>
        <w:tc>
          <w:tcPr>
            <w:tcW w:type="dxa" w:w="2300"/>
          </w:tcPr>
          <w:p>
            <w:pPr>
              <w:spacing w:before="20" w:after="20" w:line="240" w:lineRule="auto"/>
              <w:jc w:val="left"/>
            </w:pPr>
            <w:r>
              <w:rPr>
                <w:sz w:val="20"/>
              </w:rPr>
              <w:t xml:space="preserve">Mưa 1 ngày lớn nhất X</w:t>
            </w:r>
            <w:r>
              <w:rPr>
                <w:sz w:val="20"/>
                <w:vertAlign w:val="subscript"/>
              </w:rPr>
              <w:t xml:space="preserve">1max</w:t>
            </w:r>
            <w:r>
              <w:rPr>
                <w:sz w:val="20"/>
              </w:rPr>
              <w:t xml:space="preserve"> (đến 2020)</w:t>
            </w:r>
          </w:p>
        </w:tc>
        <w:tc>
          <w:tcPr>
            <w:tcW w:type="dxa" w:w="1450"/>
          </w:tcPr>
          <w:p>
            <w:pPr>
              <w:spacing w:before="20" w:after="20" w:line="240" w:lineRule="auto"/>
              <w:jc w:val="center"/>
            </w:pPr>
            <w:r>
              <w:rPr>
                <w:sz w:val="20"/>
              </w:rPr>
              <w:t xml:space="preserve">129,0 ; 0,36</w:t>
            </w:r>
          </w:p>
        </w:tc>
        <w:tc>
          <w:tcPr>
            <w:tcW w:type="dxa" w:w="1450"/>
          </w:tcPr>
          <w:p>
            <w:pPr>
              <w:spacing w:before="20" w:after="20" w:line="240" w:lineRule="auto"/>
              <w:jc w:val="center"/>
            </w:pPr>
            <w:r>
              <w:rPr>
                <w:sz w:val="20"/>
              </w:rPr>
              <w:t xml:space="preserve">123,7 ; 0,41</w:t>
            </w:r>
          </w:p>
        </w:tc>
        <w:tc>
          <w:tcPr>
            <w:tcW w:type="dxa" w:w="1000"/>
          </w:tcPr>
          <w:p>
            <w:pPr>
              <w:spacing w:before="20" w:after="20" w:line="240" w:lineRule="auto"/>
              <w:jc w:val="center"/>
            </w:pPr>
            <w:r>
              <w:rPr>
                <w:sz w:val="20"/>
              </w:rPr>
              <w:t xml:space="preserve">−4,1%</w:t>
            </w:r>
          </w:p>
        </w:tc>
        <w:tc>
          <w:tcPr>
            <w:tcW w:type="dxa" w:w="1850"/>
          </w:tcPr>
          <w:p>
            <w:pPr>
              <w:spacing w:before="20" w:after="20" w:line="240" w:lineRule="auto"/>
              <w:jc w:val="center"/>
            </w:pPr>
            <w:r>
              <w:rPr>
                <w:sz w:val="20"/>
              </w:rPr>
              <w:t xml:space="preserve">−0,70 ; 0,48 ; −0,23</w:t>
            </w:r>
          </w:p>
        </w:tc>
        <w:tc>
          <w:tcPr>
            <w:tcW w:type="dxa" w:w="950"/>
          </w:tcPr>
          <w:p>
            <w:pPr>
              <w:spacing w:before="20" w:after="20" w:line="240" w:lineRule="auto"/>
              <w:jc w:val="center"/>
            </w:pPr>
            <w:r>
              <w:rPr>
                <w:sz w:val="20"/>
              </w:rPr>
              <w:t xml:space="preserve">0,72</w:t>
            </w:r>
          </w:p>
        </w:tc>
      </w:tr>
    </w:tbl>
    <w:p>
      <w:pPr>
        <w:spacing w:after="40"/>
      </w:pPr>
    </w:p>
    <w:p>
      <w:pPr>
        <w:keepNext/>
        <w:spacing w:before="120"/>
        <w:jc w:val="center"/>
      </w:pPr>
      <w:r>
        <w:drawing>
          <wp:inline xmlns:a="http://schemas.openxmlformats.org/drawingml/2006/main" xmlns:pic="http://schemas.openxmlformats.org/drawingml/2006/picture">
            <wp:extent cx="5580000" cy="4779391"/>
            <wp:docPr id="36" name="Picture 36"/>
            <wp:cNvGraphicFramePr>
              <a:graphicFrameLocks noChangeAspect="1"/>
            </wp:cNvGraphicFramePr>
            <a:graphic>
              <a:graphicData uri="http://schemas.openxmlformats.org/drawingml/2006/picture">
                <pic:pic>
                  <pic:nvPicPr>
                    <pic:cNvPr id="0" name="hinh_4_2_mua.jpg"/>
                    <pic:cNvPicPr/>
                  </pic:nvPicPr>
                  <pic:blipFill>
                    <a:blip r:embed="rId52"/>
                    <a:stretch>
                      <a:fillRect/>
                    </a:stretch>
                  </pic:blipFill>
                  <pic:spPr>
                    <a:xfrm>
                      <a:off x="0" y="0"/>
                      <a:ext cx="5580000" cy="4779391"/>
                    </a:xfrm>
                    <a:prstGeom prst="rect"/>
                  </pic:spPr>
                </pic:pic>
              </a:graphicData>
            </a:graphic>
          </wp:inline>
        </w:drawing>
      </w:r>
    </w:p>
    <w:p>
      <w:pPr>
        <w:pStyle w:val="Chuthichhinh"/>
      </w:pPr>
      <w:bookmarkStart w:id="1051" w:name="_Toc2011"/>
      <w:r>
        <w:t xml:space="preserve">Hình 4.2 Lượng mưa năm và lượng mưa 1 ngày lớn nhất năm của lưu vực trước và sau khi công trình vận hành</w:t>
      </w:r>
      <w:bookmarkEnd w:id="1051"/>
    </w:p>
    <w:p>
      <w:pPr>
        <w:pStyle w:val="Content"/>
      </w:pPr>
      <w:r>
        <w:t xml:space="preserve">Kết quả (Bảng 4.7, Hình 4.2): lượng mưa năm bình quân hai giai đoạn gần như không đổi (1500,7 và 1499,3 mm, −0,1%); lượng mưa mùa mưa giảm 2,1%, mưa tháng lớn nhất giảm 12,3% và X</w:t>
      </w:r>
      <w:r>
        <w:rPr>
          <w:vertAlign w:val="subscript"/>
        </w:rPr>
        <w:t xml:space="preserve">1max</w:t>
      </w:r>
      <w:r>
        <w:t xml:space="preserve"> bình quân giảm 4,1%. Không có chuỗi nào có xu thế hoặc sai khác trị bình quân có ý nghĩa thống kê ở mức 5% (p = 0,06 ÷ 0,93). Tuy vậy mức dao động tăng lên: C</w:t>
      </w:r>
      <w:r>
        <w:rPr>
          <w:vertAlign w:val="subscript"/>
        </w:rPr>
        <w:t xml:space="preserve">v</w:t>
      </w:r>
      <w:r>
        <w:t xml:space="preserve"> của lượng mưa năm tăng từ 0,20 lên 0,26, của X</w:t>
      </w:r>
      <w:r>
        <w:rPr>
          <w:vertAlign w:val="subscript"/>
        </w:rPr>
        <w:t xml:space="preserve">1max</w:t>
      </w:r>
      <w:r>
        <w:t xml:space="preserve"> từ 0,36 lên 0,41; số năm có X</w:t>
      </w:r>
      <w:r>
        <w:rPr>
          <w:vertAlign w:val="subscript"/>
        </w:rPr>
        <w:t xml:space="preserve">1max</w:t>
      </w:r>
      <w:r>
        <w:t xml:space="preserve"> &gt; 200 mm tăng từ 1 lên 2 và trận mưa 1 ngày lớn nhất của cả chuỗi (280,4 mm, năm 2003) xảy ra sau khi công trình vận hành, trong khi số năm có X</w:t>
      </w:r>
      <w:r>
        <w:rPr>
          <w:vertAlign w:val="subscript"/>
        </w:rPr>
        <w:t xml:space="preserve">1max</w:t>
      </w:r>
      <w:r>
        <w:t xml:space="preserve"> &gt; 150 mm giảm từ 6 xuống 3. Như vậy số liệu đo chưa cho thấy lượng mưa tăng; thay đổi chủ yếu là mưa cực trị phân tán hơn. Các nghiên cứu dự tính cho vùng Nam Trung Bộ – Tây Nguyên theo 11 mô hình khí hậu toàn cầu cho thấy lượng mưa lớn nhất 1 ÷ 7 ngày có xu hướng tăng theo kịch bản RCP4.5 và RCP8.5, nhưng mức tăng phân tán rất rộng giữa các mô hình (từ trên 0% đến 70 ÷ 80%) </w:t>
      </w:r>
      <w:r>
        <w:t xml:space="preserve">[31]</w:t>
      </w:r>
      <w:r>
        <w:t xml:space="preserve">.</w:t>
      </w:r>
    </w:p>
    <w:p>
      <w:pPr>
        <w:pStyle w:val="Content"/>
      </w:pPr>
      <w:r>
        <w:t xml:space="preserve">Bản thân các lần cập nhật thủy văn của công trình đã làm lũ thiết kế tăng: lưu lượng đỉnh lũ P = 1% từ 847 m</w:t>
      </w:r>
      <w:r>
        <w:rPr>
          <w:vertAlign w:val="superscript"/>
        </w:rPr>
        <w:t xml:space="preserve">3</w:t>
      </w:r>
      <w:r>
        <w:t xml:space="preserve">/s (thiết kế năm 1996) lên 914 m</w:t>
      </w:r>
      <w:r>
        <w:rPr>
          <w:vertAlign w:val="superscript"/>
        </w:rPr>
        <w:t xml:space="preserve">3</w:t>
      </w:r>
      <w:r>
        <w:t xml:space="preserve">/s (QTVH 2005, BCNCKT 2022) và 921 m</w:t>
      </w:r>
      <w:r>
        <w:rPr>
          <w:vertAlign w:val="superscript"/>
        </w:rPr>
        <w:t xml:space="preserve">3</w:t>
      </w:r>
      <w:r>
        <w:t xml:space="preserve">/s (QTVH 2026), tức tăng 7,9 ÷ 8,7%; lũ P = 0,2% là 1.239 m</w:t>
      </w:r>
      <w:r>
        <w:rPr>
          <w:vertAlign w:val="superscript"/>
        </w:rPr>
        <w:t xml:space="preserve">3</w:t>
      </w:r>
      <w:r>
        <w:t xml:space="preserve">/s và QTVH 2026 bổ sung lũ P = 0,1% là 1.398 m</w:t>
      </w:r>
      <w:r>
        <w:rPr>
          <w:vertAlign w:val="superscript"/>
        </w:rPr>
        <w:t xml:space="preserve">3</w:t>
      </w:r>
      <w:r>
        <w:t xml:space="preserve">/s [1], [7].</w:t>
      </w:r>
    </w:p>
    <w:p>
      <w:pPr>
        <w:pStyle w:val="Heading3"/>
      </w:pPr>
      <w:bookmarkStart w:id="977" w:name="_Toc1077"/>
      <w:r>
        <w:t xml:space="preserve">Mực nước lũ khi lũ đến gia tăng – so sánh với MNLTK thiết kế ban đầu</w:t>
      </w:r>
      <w:bookmarkEnd w:id="977"/>
    </w:p>
    <w:p>
      <w:pPr>
        <w:pStyle w:val="Content"/>
      </w:pPr>
      <w:r>
        <w:t xml:space="preserve">So với MNLTK thiết kế ban đầu +77,24 m (TK 1996, Q</w:t>
      </w:r>
      <w:r>
        <w:rPr>
          <w:vertAlign w:val="subscript"/>
        </w:rPr>
        <w:t xml:space="preserve">1%</w:t>
      </w:r>
      <w:r>
        <w:t xml:space="preserve"> = 847 m</w:t>
      </w:r>
      <w:r>
        <w:rPr>
          <w:vertAlign w:val="superscript"/>
        </w:rPr>
        <w:t xml:space="preserve">3</w:t>
      </w:r>
      <w:r>
        <w:t xml:space="preserve">/s, tràn chính rộng 25 m [7]), MNLTK tính với hiện trạng là +77,63 m, cao hơn 0,39 m. Tách riêng từng nguyên nhân bằng cùng chương trình điều tiết: với tràn chính rộng 25 m, lũ 847 m</w:t>
      </w:r>
      <w:r>
        <w:rPr>
          <w:vertAlign w:val="superscript"/>
        </w:rPr>
        <w:t xml:space="preserve">3</w:t>
      </w:r>
      <w:r>
        <w:t xml:space="preserve">/s cho +77,31 m (sát giá trị thiết kế cũ, sai khác 0,07 m do đường đặc tính lòng hồ đo lại năm 2022); thay bằng lũ cập nhật 914 m</w:t>
      </w:r>
      <w:r>
        <w:rPr>
          <w:vertAlign w:val="superscript"/>
        </w:rPr>
        <w:t xml:space="preserve">3</w:t>
      </w:r>
      <w:r>
        <w:t xml:space="preserve">/s cho +77,51 m (+0,20 m); thay tiếp bằng bề rộng tràn hiện trạng 9 × 2,4 = 21,6 m cho +77,63 m (+0,12 m). Để mực nước lũ thiết kế không vượt +77,24 m với tràn hiện trạng, lũ thiết kế phải nhỏ hơn hiện nay khoảng 14%. Như vậy MNLTK đã vượt MNLTK cũ ngay với bộ số liệu lũ hiện hành, do lũ thiết kế được cập nhật lớn hơn và tràn chính thực tế hẹp hơn thiết kế ban đầu.</w:t>
      </w:r>
    </w:p>
    <w:p>
      <w:pPr>
        <w:pStyle w:val="Content"/>
      </w:pPr>
      <w:r>
        <w:t xml:space="preserve">Do hồ không có số liệu đo lưu lượng lũ đến (lũ thiết kế được tính từ mưa), đồ án giả thiết lũ đến tăng k = 10, 20 và 30% so với lũ thiết kế hiện hành – nhân toàn bộ tung độ đường quá trình (đỉnh và tổng lượng cùng tăng). Dải giả thiết bao được mức tăng do cập nhật thủy văn (≈ 8 ÷ 9%) và phần dưới của dải dự tính biến đổi khí hậu </w:t>
      </w:r>
      <w:r>
        <w:t xml:space="preserve">[31]</w:t>
      </w:r>
      <w:r>
        <w:t xml:space="preserve">. Điều tiết với tràn hiện trạng, quy tắc vận hành như mục 2.3, đầu trận lũ ở MNDBT; kết quả trong Bảng 4.8 và Hình 4.3.</w:t>
      </w:r>
    </w:p>
    <w:p>
      <w:pPr>
        <w:pStyle w:val="Chuthichbang"/>
        <w:keepNext/>
      </w:pPr>
      <w:bookmarkStart w:id="1098" w:name="_Toc3022"/>
      <w:r>
        <w:t xml:space="preserve">Bảng 4.8 </w:t>
      </w:r>
      <w:r>
        <w:t xml:space="preserve">Mực nước lớn nhất trong hồ Z</w:t>
      </w:r>
      <w:r>
        <w:rPr>
          <w:vertAlign w:val="subscript"/>
        </w:rPr>
        <w:t xml:space="preserve">max</w:t>
      </w:r>
      <w:r>
        <w:t xml:space="preserve"> (m) và lưu lượng xả lớn nhất (m</w:t>
      </w:r>
      <w:r>
        <w:rPr>
          <w:vertAlign w:val="superscript"/>
        </w:rPr>
        <w:t xml:space="preserve">3</w:t>
      </w:r>
      <w:r>
        <w:t xml:space="preserve">/s) khi lũ đến tăng k (tràn hiện trạng, đầu trận lũ ở MNDBT)</w:t>
      </w:r>
      <w:bookmarkEnd w:id="1098"/>
    </w:p>
    <w:tbl>
      <w:tblPr>
        <w:tblStyle w:val="TableGrid"/>
        <w:tblW w:type="auto" w:w="0"/>
        <w:jc w:val="center"/>
        <w:tblLayout w:type="fixed"/>
        <w:tblLook w:firstColumn="1" w:firstRow="1" w:lastColumn="0" w:lastRow="0" w:noHBand="0" w:noVBand="1" w:val="04A0"/>
      </w:tblPr>
      <w:tblGrid>
        <w:gridCol w:w="2600"/>
        <w:gridCol w:w="1600"/>
        <w:gridCol w:w="1600"/>
        <w:gridCol w:w="1600"/>
        <w:gridCol w:w="1600"/>
      </w:tblGrid>
      <w:tr>
        <w:trPr>
          <w:tblHeader w:val="true"/>
          <w:cantSplit w:val="true"/>
        </w:trPr>
        <w:tc>
          <w:tcPr>
            <w:tcW w:type="dxa" w:w="2600"/>
            <w:shd w:val="clear" w:color="auto" w:fill="F2F2F2"/>
          </w:tcPr>
          <w:p>
            <w:pPr>
              <w:spacing w:before="20" w:after="20" w:line="240" w:lineRule="auto"/>
              <w:jc w:val="center"/>
            </w:pPr>
            <w:r>
              <w:rPr>
                <w:b/>
                <w:sz w:val="20"/>
              </w:rPr>
              <w:t xml:space="preserve">Đường quá trình lũ</w:t>
            </w:r>
          </w:p>
        </w:tc>
        <w:tc>
          <w:tcPr>
            <w:tcW w:type="dxa" w:w="1600"/>
            <w:shd w:val="clear" w:color="auto" w:fill="F2F2F2"/>
          </w:tcPr>
          <w:p>
            <w:pPr>
              <w:spacing w:before="20" w:after="20" w:line="240" w:lineRule="auto"/>
              <w:jc w:val="center"/>
            </w:pPr>
            <w:r>
              <w:rPr>
                <w:b/>
                <w:sz w:val="20"/>
              </w:rPr>
              <w:t xml:space="preserve">k = 0</w:t>
            </w:r>
          </w:p>
        </w:tc>
        <w:tc>
          <w:tcPr>
            <w:tcW w:type="dxa" w:w="1600"/>
            <w:shd w:val="clear" w:color="auto" w:fill="F2F2F2"/>
          </w:tcPr>
          <w:p>
            <w:pPr>
              <w:spacing w:before="20" w:after="20" w:line="240" w:lineRule="auto"/>
              <w:jc w:val="center"/>
            </w:pPr>
            <w:r>
              <w:rPr>
                <w:b/>
                <w:sz w:val="20"/>
              </w:rPr>
              <w:t xml:space="preserve">k = 10%</w:t>
            </w:r>
          </w:p>
        </w:tc>
        <w:tc>
          <w:tcPr>
            <w:tcW w:type="dxa" w:w="1600"/>
            <w:shd w:val="clear" w:color="auto" w:fill="F2F2F2"/>
          </w:tcPr>
          <w:p>
            <w:pPr>
              <w:spacing w:before="20" w:after="20" w:line="240" w:lineRule="auto"/>
              <w:jc w:val="center"/>
            </w:pPr>
            <w:r>
              <w:rPr>
                <w:b/>
                <w:sz w:val="20"/>
              </w:rPr>
              <w:t xml:space="preserve">k = 20%</w:t>
            </w:r>
          </w:p>
        </w:tc>
        <w:tc>
          <w:tcPr>
            <w:tcW w:type="dxa" w:w="1600"/>
            <w:shd w:val="clear" w:color="auto" w:fill="F2F2F2"/>
          </w:tcPr>
          <w:p>
            <w:pPr>
              <w:spacing w:before="20" w:after="20" w:line="240" w:lineRule="auto"/>
              <w:jc w:val="center"/>
            </w:pPr>
            <w:r>
              <w:rPr>
                <w:b/>
                <w:sz w:val="20"/>
              </w:rPr>
              <w:t xml:space="preserve">k = 30%</w:t>
            </w:r>
          </w:p>
        </w:tc>
      </w:tr>
      <w:tr>
        <w:trPr>
          <w:cantSplit w:val="true"/>
        </w:trPr>
        <w:tc>
          <w:tcPr>
            <w:tcW w:type="dxa" w:w="2600"/>
          </w:tcPr>
          <w:p>
            <w:pPr>
              <w:spacing w:before="20" w:after="20" w:line="240" w:lineRule="auto"/>
              <w:jc w:val="left"/>
            </w:pPr>
            <w:r>
              <w:rPr>
                <w:sz w:val="20"/>
              </w:rPr>
              <w:t xml:space="preserve">BCNCKT, P = 1%</w:t>
            </w:r>
          </w:p>
        </w:tc>
        <w:tc>
          <w:tcPr>
            <w:tcW w:type="dxa" w:w="1600"/>
          </w:tcPr>
          <w:p>
            <w:pPr>
              <w:spacing w:before="20" w:after="20" w:line="240" w:lineRule="auto"/>
              <w:jc w:val="center"/>
            </w:pPr>
            <w:r>
              <w:rPr>
                <w:sz w:val="20"/>
              </w:rPr>
              <w:t xml:space="preserve">+77,63 (330)</w:t>
            </w:r>
          </w:p>
        </w:tc>
        <w:tc>
          <w:tcPr>
            <w:tcW w:type="dxa" w:w="1600"/>
          </w:tcPr>
          <w:p>
            <w:pPr>
              <w:spacing w:before="20" w:after="20" w:line="240" w:lineRule="auto"/>
              <w:jc w:val="center"/>
            </w:pPr>
            <w:r>
              <w:rPr>
                <w:sz w:val="20"/>
              </w:rPr>
              <w:t xml:space="preserve">+77,91 (362)</w:t>
            </w:r>
          </w:p>
        </w:tc>
        <w:tc>
          <w:tcPr>
            <w:tcW w:type="dxa" w:w="1600"/>
          </w:tcPr>
          <w:p>
            <w:pPr>
              <w:spacing w:before="20" w:after="20" w:line="240" w:lineRule="auto"/>
              <w:jc w:val="center"/>
            </w:pPr>
            <w:r>
              <w:rPr>
                <w:sz w:val="20"/>
              </w:rPr>
              <w:t xml:space="preserve">+78,19 (395)</w:t>
            </w:r>
          </w:p>
        </w:tc>
        <w:tc>
          <w:tcPr>
            <w:tcW w:type="dxa" w:w="1600"/>
          </w:tcPr>
          <w:p>
            <w:pPr>
              <w:spacing w:before="20" w:after="20" w:line="240" w:lineRule="auto"/>
              <w:jc w:val="center"/>
            </w:pPr>
            <w:r>
              <w:rPr>
                <w:sz w:val="20"/>
              </w:rPr>
              <w:t xml:space="preserve">+78,45 (427)</w:t>
            </w:r>
          </w:p>
        </w:tc>
      </w:tr>
      <w:tr>
        <w:trPr>
          <w:cantSplit w:val="true"/>
        </w:trPr>
        <w:tc>
          <w:tcPr>
            <w:tcW w:type="dxa" w:w="2600"/>
          </w:tcPr>
          <w:p>
            <w:pPr>
              <w:spacing w:before="20" w:after="20" w:line="240" w:lineRule="auto"/>
              <w:jc w:val="left"/>
            </w:pPr>
            <w:r>
              <w:rPr>
                <w:sz w:val="20"/>
              </w:rPr>
              <w:t xml:space="preserve">BCNCKT, P = 0,2%</w:t>
            </w:r>
          </w:p>
        </w:tc>
        <w:tc>
          <w:tcPr>
            <w:tcW w:type="dxa" w:w="1600"/>
          </w:tcPr>
          <w:p>
            <w:pPr>
              <w:spacing w:before="20" w:after="20" w:line="240" w:lineRule="auto"/>
              <w:jc w:val="center"/>
            </w:pPr>
            <w:r>
              <w:rPr>
                <w:sz w:val="20"/>
              </w:rPr>
              <w:t xml:space="preserve">+78,54 (437)</w:t>
            </w:r>
          </w:p>
        </w:tc>
        <w:tc>
          <w:tcPr>
            <w:tcW w:type="dxa" w:w="1600"/>
          </w:tcPr>
          <w:p>
            <w:pPr>
              <w:spacing w:before="20" w:after="20" w:line="240" w:lineRule="auto"/>
              <w:jc w:val="center"/>
            </w:pPr>
            <w:r>
              <w:rPr>
                <w:sz w:val="20"/>
              </w:rPr>
              <w:t xml:space="preserve">+78,89 (479)</w:t>
            </w:r>
          </w:p>
        </w:tc>
        <w:tc>
          <w:tcPr>
            <w:tcW w:type="dxa" w:w="1600"/>
          </w:tcPr>
          <w:p>
            <w:pPr>
              <w:spacing w:before="20" w:after="20" w:line="240" w:lineRule="auto"/>
              <w:jc w:val="center"/>
            </w:pPr>
            <w:r>
              <w:rPr>
                <w:sz w:val="20"/>
              </w:rPr>
              <w:t xml:space="preserve">+79,23 (521)</w:t>
            </w:r>
          </w:p>
        </w:tc>
        <w:tc>
          <w:tcPr>
            <w:tcW w:type="dxa" w:w="1600"/>
          </w:tcPr>
          <w:p>
            <w:pPr>
              <w:spacing w:before="20" w:after="20" w:line="240" w:lineRule="auto"/>
              <w:jc w:val="center"/>
            </w:pPr>
            <w:r>
              <w:rPr>
                <w:sz w:val="20"/>
              </w:rPr>
              <w:t xml:space="preserve">+79,56 (562)</w:t>
            </w:r>
          </w:p>
        </w:tc>
      </w:tr>
      <w:tr>
        <w:trPr>
          <w:cantSplit w:val="true"/>
        </w:trPr>
        <w:tc>
          <w:tcPr>
            <w:tcW w:type="dxa" w:w="2600"/>
          </w:tcPr>
          <w:p>
            <w:pPr>
              <w:spacing w:before="20" w:after="20" w:line="240" w:lineRule="auto"/>
              <w:jc w:val="left"/>
            </w:pPr>
            <w:r>
              <w:rPr>
                <w:sz w:val="20"/>
              </w:rPr>
              <w:t xml:space="preserve">QTVH, P = 1%</w:t>
            </w:r>
          </w:p>
        </w:tc>
        <w:tc>
          <w:tcPr>
            <w:tcW w:type="dxa" w:w="1600"/>
          </w:tcPr>
          <w:p>
            <w:pPr>
              <w:spacing w:before="20" w:after="20" w:line="240" w:lineRule="auto"/>
              <w:jc w:val="center"/>
            </w:pPr>
            <w:r>
              <w:rPr>
                <w:sz w:val="20"/>
              </w:rPr>
              <w:t xml:space="preserve">+77,50 (314)</w:t>
            </w:r>
          </w:p>
        </w:tc>
        <w:tc>
          <w:tcPr>
            <w:tcW w:type="dxa" w:w="1600"/>
          </w:tcPr>
          <w:p>
            <w:pPr>
              <w:spacing w:before="20" w:after="20" w:line="240" w:lineRule="auto"/>
              <w:jc w:val="center"/>
            </w:pPr>
            <w:r>
              <w:rPr>
                <w:sz w:val="20"/>
              </w:rPr>
              <w:t xml:space="preserve">+77,78 (346)</w:t>
            </w:r>
          </w:p>
        </w:tc>
        <w:tc>
          <w:tcPr>
            <w:tcW w:type="dxa" w:w="1600"/>
          </w:tcPr>
          <w:p>
            <w:pPr>
              <w:spacing w:before="20" w:after="20" w:line="240" w:lineRule="auto"/>
              <w:jc w:val="center"/>
            </w:pPr>
            <w:r>
              <w:rPr>
                <w:sz w:val="20"/>
              </w:rPr>
              <w:t xml:space="preserve">+78,05 (379)</w:t>
            </w:r>
          </w:p>
        </w:tc>
        <w:tc>
          <w:tcPr>
            <w:tcW w:type="dxa" w:w="1600"/>
          </w:tcPr>
          <w:p>
            <w:pPr>
              <w:spacing w:before="20" w:after="20" w:line="240" w:lineRule="auto"/>
              <w:jc w:val="center"/>
            </w:pPr>
            <w:r>
              <w:rPr>
                <w:sz w:val="20"/>
              </w:rPr>
              <w:t xml:space="preserve">+78,32 (411)</w:t>
            </w:r>
          </w:p>
        </w:tc>
      </w:tr>
      <w:tr>
        <w:trPr>
          <w:cantSplit w:val="true"/>
        </w:trPr>
        <w:tc>
          <w:tcPr>
            <w:tcW w:type="dxa" w:w="2600"/>
          </w:tcPr>
          <w:p>
            <w:pPr>
              <w:spacing w:before="20" w:after="20" w:line="240" w:lineRule="auto"/>
              <w:jc w:val="left"/>
            </w:pPr>
            <w:r>
              <w:rPr>
                <w:sz w:val="20"/>
              </w:rPr>
              <w:t xml:space="preserve">QTVH, P = 0,2%</w:t>
            </w:r>
          </w:p>
        </w:tc>
        <w:tc>
          <w:tcPr>
            <w:tcW w:type="dxa" w:w="1600"/>
          </w:tcPr>
          <w:p>
            <w:pPr>
              <w:spacing w:before="20" w:after="20" w:line="240" w:lineRule="auto"/>
              <w:jc w:val="center"/>
            </w:pPr>
            <w:r>
              <w:rPr>
                <w:sz w:val="20"/>
              </w:rPr>
              <w:t xml:space="preserve">+78,44 (425)</w:t>
            </w:r>
          </w:p>
        </w:tc>
        <w:tc>
          <w:tcPr>
            <w:tcW w:type="dxa" w:w="1600"/>
          </w:tcPr>
          <w:p>
            <w:pPr>
              <w:spacing w:before="20" w:after="20" w:line="240" w:lineRule="auto"/>
              <w:jc w:val="center"/>
            </w:pPr>
            <w:r>
              <w:rPr>
                <w:sz w:val="20"/>
              </w:rPr>
              <w:t xml:space="preserve">+78,79 (468)</w:t>
            </w:r>
          </w:p>
        </w:tc>
        <w:tc>
          <w:tcPr>
            <w:tcW w:type="dxa" w:w="1600"/>
          </w:tcPr>
          <w:p>
            <w:pPr>
              <w:spacing w:before="20" w:after="20" w:line="240" w:lineRule="auto"/>
              <w:jc w:val="center"/>
            </w:pPr>
            <w:r>
              <w:rPr>
                <w:sz w:val="20"/>
              </w:rPr>
              <w:t xml:space="preserve">+79,14 (510)</w:t>
            </w:r>
          </w:p>
        </w:tc>
        <w:tc>
          <w:tcPr>
            <w:tcW w:type="dxa" w:w="1600"/>
          </w:tcPr>
          <w:p>
            <w:pPr>
              <w:spacing w:before="20" w:after="20" w:line="240" w:lineRule="auto"/>
              <w:jc w:val="center"/>
            </w:pPr>
            <w:r>
              <w:rPr>
                <w:sz w:val="20"/>
              </w:rPr>
              <w:t xml:space="preserve">+79,48 (552)</w:t>
            </w:r>
          </w:p>
        </w:tc>
      </w:tr>
    </w:tbl>
    <w:p>
      <w:pPr>
        <w:spacing w:after="40"/>
      </w:pPr>
    </w:p>
    <w:p>
      <w:pPr>
        <w:keepNext/>
        <w:spacing w:before="120"/>
        <w:jc w:val="center"/>
      </w:pPr>
      <w:r>
        <w:drawing>
          <wp:inline xmlns:a="http://schemas.openxmlformats.org/drawingml/2006/main" xmlns:pic="http://schemas.openxmlformats.org/drawingml/2006/picture">
            <wp:extent cx="5580000" cy="3267130"/>
            <wp:docPr id="36" name="Picture 36"/>
            <wp:cNvGraphicFramePr>
              <a:graphicFrameLocks noChangeAspect="1"/>
            </wp:cNvGraphicFramePr>
            <a:graphic>
              <a:graphicData uri="http://schemas.openxmlformats.org/drawingml/2006/picture">
                <pic:pic>
                  <pic:nvPicPr>
                    <pic:cNvPr id="0" name="hinh_4_3_lu_tang.jpg"/>
                    <pic:cNvPicPr/>
                  </pic:nvPicPr>
                  <pic:blipFill>
                    <a:blip r:embed="rId53"/>
                    <a:stretch>
                      <a:fillRect/>
                    </a:stretch>
                  </pic:blipFill>
                  <pic:spPr>
                    <a:xfrm>
                      <a:off x="0" y="0"/>
                      <a:ext cx="5580000" cy="3267130"/>
                    </a:xfrm>
                    <a:prstGeom prst="rect"/>
                  </pic:spPr>
                </pic:pic>
              </a:graphicData>
            </a:graphic>
          </wp:inline>
        </w:drawing>
      </w:r>
    </w:p>
    <w:p>
      <w:pPr>
        <w:pStyle w:val="Chuthichhinh"/>
      </w:pPr>
      <w:bookmarkStart w:id="1052" w:name="_Toc2012"/>
      <w:r>
        <w:t xml:space="preserve">Hình 4.3 Mực nước lớn nhất trong hồ theo mức tăng lưu lượng lũ đến (tràn hiện trạng)</w:t>
      </w:r>
      <w:bookmarkEnd w:id="1052"/>
    </w:p>
    <w:p>
      <w:pPr>
        <w:pStyle w:val="Content"/>
      </w:pPr>
      <w:r>
        <w:t xml:space="preserve">Nhận xét: (1) với lũ thiết kế P = 1%, ngay cả khi lũ tăng 30% mực nước lớn nhất chỉ +78,45 m, thấp hơn đỉnh đập sau sửa chữa 0,40 m – nước lũ thiết kế chưa tràn qua đỉnh đập; nhưng mọi trường hợp đều cao hơn MNLTK cũ 0,39 ÷ 1,21 m, cần được xét khi rà soát ranh giới ngập lòng hồ và các công trình ven hồ; (2) với lũ kiểm tra P = 0,2%, mực nước hồ chạm đỉnh đập +78,85 m khi lũ tăng khoảng 9% (đường quá trình BCNCKT) hoặc 12% (QTVH), chạm đỉnh tường chắn sóng khi tăng khoảng 25%; điều kiện đỉnh đập ≥ MNLKT + 0,3 m chỉ còn dự trữ 0,01 m nên không còn thỏa khi lũ tăng quá khoảng 0,4%; với lũ thiết kế, sóng leo do gió Đông Bắc (Z</w:t>
      </w:r>
      <w:r>
        <w:rPr>
          <w:vertAlign w:val="subscript"/>
        </w:rPr>
        <w:t xml:space="preserve">2</w:t>
      </w:r>
      <w:r>
        <w:t xml:space="preserve">) chạm đỉnh tường khi lũ tăng khoảng 12%; (3) lũ vượt kiểm tra P = 0,1% (QTVH) cho +78,83 m, thấp hơn đỉnh đập 0,02 m. Kết luận: theo các điều kiện cao trình đỉnh đập và tường chắn sóng, dự trữ khả năng tháo của tràn hiện trạng chỉ tương ứng mức tăng lũ khoảng 9 ÷ 12% (lũ kiểm tra chạm đỉnh đập; sóng do gió Đông Bắc khi có lũ thiết kế chạm đỉnh tường), còn điều kiện MNLKT + 0,3 m hầu như không còn dự trữ.</w:t>
      </w:r>
    </w:p>
    <w:p>
      <w:pPr>
        <w:pStyle w:val="Content"/>
      </w:pPr>
      <w:r>
        <w:t xml:space="preserve">Biện pháp: nếu muốn giữ MNLKT + 0,3 m ≤ +78,85 m khi lũ tăng 10, 20, 30% thì mực nước đầu trận lũ phải hạ trước xuống +73,84, +72,87 và +71,77 m, tương ứng xả bỏ 5,1, 10,4 và 15,6 triệu m</w:t>
      </w:r>
      <w:r>
        <w:rPr>
          <w:vertAlign w:val="superscript"/>
        </w:rPr>
        <w:t xml:space="preserve">3</w:t>
      </w:r>
      <w:r>
        <w:t xml:space="preserve"> (17 ÷ 53% dung tích hữu ích). Hạ cố định mực nước suốt mùa lũ là không phù hợp vì nhiệm vụ cấp nước TH1A chỉ vừa đạt mức bảo đảm khi hồ tích đến MNDBT (mục 2.2). Phương án khả thi là xả trước theo dự báo: mở hết cửa van tràn sự cố (lưu lượng 64 → 44 m</w:t>
      </w:r>
      <w:r>
        <w:rPr>
          <w:vertAlign w:val="superscript"/>
        </w:rPr>
        <w:t xml:space="preserve">3</w:t>
      </w:r>
      <w:r>
        <w:t xml:space="preserve">/s) hạ hồ từ +74,70 xuống +73,84 m mất khoảng 27 ÷ 44 giờ (lưu lượng đến nền 0 ÷ 20 m</w:t>
      </w:r>
      <w:r>
        <w:rPr>
          <w:vertAlign w:val="superscript"/>
        </w:rPr>
        <w:t xml:space="preserve">3</w:t>
      </w:r>
      <w:r>
        <w:t xml:space="preserve">/s), phù hợp thời gian dự báo mưa lớn 2 ÷ 3 ngày; hạ sâu hơn (+72,87 m) cần 3 ÷ 7 ngày nên không thực hiện được bằng tràn sự cố. Đồ án kiến nghị: bổ sung vào quy trình vận hành quy định xả trước khi có dự báo mưa lớn diện rộng trên lưu vực trong nửa đầu mùa lũ; cập nhật tính toán thủy văn định kỳ (khoảng 5 năm hoặc sau trận lũ lớn), có xét lũ kép theo điều 2.6.1.2.3 của QCVN 04-05:2022; nếu lũ kiểm tra cập nhật tăng quá khoảng 9% thì phải nghiên cứu mở rộng tràn hoặc nâng đỉnh đập (điều 2.6.3.5d).</w:t>
      </w:r>
    </w:p>
    <w:p>
      <w:pPr>
        <w:pStyle w:val="Heading3"/>
      </w:pPr>
      <w:bookmarkStart w:id="978" w:name="_Toc1078"/>
      <w:r>
        <w:t xml:space="preserve">Hiệu quả của giải pháp sửa chữa đối với công trình tháo lũ</w:t>
      </w:r>
      <w:bookmarkEnd w:id="978"/>
    </w:p>
    <w:p>
      <w:pPr>
        <w:pStyle w:val="Content"/>
      </w:pPr>
      <w:r>
        <w:t xml:space="preserve">Quy mô tràn chính và tràn sự cố được giữ nguyên nên mực nước lũ thiết kế, lũ kiểm tra sau sửa chữa không đổi (Bảng 2.3, Bảng 4.1). Hiệu quả của các giải pháp được so sánh theo các chỉ tiêu an toàn trong Bảng 4.9.</w:t>
      </w:r>
    </w:p>
    <w:p>
      <w:pPr>
        <w:pStyle w:val="Chuthichbang"/>
        <w:keepNext/>
      </w:pPr>
      <w:bookmarkStart w:id="1099" w:name="_Toc3023"/>
      <w:r>
        <w:t xml:space="preserve">Bảng 4.9 </w:t>
      </w:r>
      <w:r>
        <w:t xml:space="preserve">So sánh các chỉ tiêu an toàn của công trình tháo lũ trước và sau sửa chữa</w:t>
      </w:r>
      <w:bookmarkEnd w:id="1099"/>
    </w:p>
    <w:tbl>
      <w:tblPr>
        <w:tblStyle w:val="TableGrid"/>
        <w:tblW w:type="auto" w:w="0"/>
        <w:jc w:val="center"/>
        <w:tblLayout w:type="fixed"/>
        <w:tblLook w:firstColumn="1" w:firstRow="1" w:lastColumn="0" w:lastRow="0" w:noHBand="0" w:noVBand="1" w:val="04A0"/>
      </w:tblPr>
      <w:tblGrid>
        <w:gridCol w:w="2300"/>
        <w:gridCol w:w="1700"/>
        <w:gridCol w:w="2000"/>
        <w:gridCol w:w="1600"/>
        <w:gridCol w:w="1400"/>
      </w:tblGrid>
      <w:tr>
        <w:trPr>
          <w:tblHeader w:val="true"/>
          <w:cantSplit w:val="true"/>
        </w:trPr>
        <w:tc>
          <w:tcPr>
            <w:tcW w:type="dxa" w:w="2300"/>
            <w:shd w:val="clear" w:color="auto" w:fill="F2F2F2"/>
          </w:tcPr>
          <w:p>
            <w:pPr>
              <w:spacing w:before="20" w:after="20" w:line="240" w:lineRule="auto"/>
              <w:jc w:val="center"/>
            </w:pPr>
            <w:r>
              <w:rPr>
                <w:b/>
                <w:sz w:val="20"/>
              </w:rPr>
              <w:t xml:space="preserve">Chỉ tiêu</w:t>
            </w:r>
          </w:p>
        </w:tc>
        <w:tc>
          <w:tcPr>
            <w:tcW w:type="dxa" w:w="1700"/>
            <w:shd w:val="clear" w:color="auto" w:fill="F2F2F2"/>
          </w:tcPr>
          <w:p>
            <w:pPr>
              <w:spacing w:before="20" w:after="20" w:line="240" w:lineRule="auto"/>
              <w:jc w:val="center"/>
            </w:pPr>
            <w:r>
              <w:rPr>
                <w:b/>
                <w:sz w:val="20"/>
              </w:rPr>
              <w:t xml:space="preserve">Hiện trạng</w:t>
            </w:r>
          </w:p>
        </w:tc>
        <w:tc>
          <w:tcPr>
            <w:tcW w:type="dxa" w:w="2000"/>
            <w:shd w:val="clear" w:color="auto" w:fill="F2F2F2"/>
          </w:tcPr>
          <w:p>
            <w:pPr>
              <w:spacing w:before="20" w:after="20" w:line="240" w:lineRule="auto"/>
              <w:jc w:val="center"/>
            </w:pPr>
            <w:r>
              <w:rPr>
                <w:b/>
                <w:sz w:val="20"/>
              </w:rPr>
              <w:t xml:space="preserve">Sau sửa chữa</w:t>
            </w:r>
          </w:p>
        </w:tc>
        <w:tc>
          <w:tcPr>
            <w:tcW w:type="dxa" w:w="1600"/>
            <w:shd w:val="clear" w:color="auto" w:fill="F2F2F2"/>
          </w:tcPr>
          <w:p>
            <w:pPr>
              <w:spacing w:before="20" w:after="20" w:line="240" w:lineRule="auto"/>
              <w:jc w:val="center"/>
            </w:pPr>
            <w:r>
              <w:rPr>
                <w:b/>
                <w:sz w:val="20"/>
              </w:rPr>
              <w:t xml:space="preserve">Yêu cầu</w:t>
            </w:r>
          </w:p>
        </w:tc>
        <w:tc>
          <w:tcPr>
            <w:tcW w:type="dxa" w:w="1400"/>
            <w:shd w:val="clear" w:color="auto" w:fill="F2F2F2"/>
          </w:tcPr>
          <w:p>
            <w:pPr>
              <w:spacing w:before="20" w:after="20" w:line="240" w:lineRule="auto"/>
              <w:jc w:val="center"/>
            </w:pPr>
            <w:r>
              <w:rPr>
                <w:b/>
                <w:sz w:val="20"/>
              </w:rPr>
              <w:t xml:space="preserve">Nhận xét</w:t>
            </w:r>
          </w:p>
        </w:tc>
      </w:tr>
      <w:tr>
        <w:trPr>
          <w:cantSplit w:val="true"/>
        </w:trPr>
        <w:tc>
          <w:tcPr>
            <w:tcW w:type="dxa" w:w="2300"/>
          </w:tcPr>
          <w:p>
            <w:pPr>
              <w:spacing w:before="20" w:after="20" w:line="240" w:lineRule="auto"/>
              <w:jc w:val="left"/>
            </w:pPr>
            <w:r>
              <w:rPr>
                <w:sz w:val="20"/>
              </w:rPr>
              <w:t xml:space="preserve">Khoảng cách từ MNLKT (+78,54) đến đỉnh đập</w:t>
            </w:r>
          </w:p>
        </w:tc>
        <w:tc>
          <w:tcPr>
            <w:tcW w:type="dxa" w:w="1700"/>
          </w:tcPr>
          <w:p>
            <w:pPr>
              <w:spacing w:before="20" w:after="20" w:line="240" w:lineRule="auto"/>
              <w:jc w:val="center"/>
            </w:pPr>
            <w:r>
              <w:rPr>
                <w:sz w:val="20"/>
              </w:rPr>
              <w:t xml:space="preserve">MNLKT cao hơn đỉnh đập +78,35 m 0,19 m</w:t>
            </w:r>
          </w:p>
        </w:tc>
        <w:tc>
          <w:tcPr>
            <w:tcW w:type="dxa" w:w="2000"/>
          </w:tcPr>
          <w:p>
            <w:pPr>
              <w:spacing w:before="20" w:after="20" w:line="240" w:lineRule="auto"/>
              <w:jc w:val="center"/>
            </w:pPr>
            <w:r>
              <w:rPr>
                <w:sz w:val="20"/>
              </w:rPr>
              <w:t xml:space="preserve">thấp hơn đỉnh +78,85 m 0,31 m</w:t>
            </w:r>
          </w:p>
        </w:tc>
        <w:tc>
          <w:tcPr>
            <w:tcW w:type="dxa" w:w="1600"/>
          </w:tcPr>
          <w:p>
            <w:pPr>
              <w:spacing w:before="20" w:after="20" w:line="240" w:lineRule="auto"/>
              <w:jc w:val="center"/>
            </w:pPr>
            <w:r>
              <w:rPr>
                <w:sz w:val="20"/>
              </w:rPr>
              <w:t xml:space="preserve">≥ 0,30 m (TCVN 8216:2018, 10.1.5)</w:t>
            </w:r>
          </w:p>
        </w:tc>
        <w:tc>
          <w:tcPr>
            <w:tcW w:type="dxa" w:w="1400"/>
          </w:tcPr>
          <w:p>
            <w:pPr>
              <w:spacing w:before="20" w:after="20" w:line="240" w:lineRule="auto"/>
              <w:jc w:val="center"/>
            </w:pPr>
            <w:r>
              <w:rPr>
                <w:sz w:val="20"/>
              </w:rPr>
              <w:t xml:space="preserve">Đạt (nhờ nâng đỉnh đập, Chương 5)</w:t>
            </w:r>
          </w:p>
        </w:tc>
      </w:tr>
      <w:tr>
        <w:trPr>
          <w:cantSplit w:val="true"/>
        </w:trPr>
        <w:tc>
          <w:tcPr>
            <w:tcW w:type="dxa" w:w="2300"/>
          </w:tcPr>
          <w:p>
            <w:pPr>
              <w:spacing w:before="20" w:after="20" w:line="240" w:lineRule="auto"/>
              <w:jc w:val="left"/>
            </w:pPr>
            <w:r>
              <w:rPr>
                <w:sz w:val="20"/>
              </w:rPr>
              <w:t xml:space="preserve">Ổn định trượt ngưỡng tràn chính khi c = 0 (MNLTK / MNLKT)</w:t>
            </w:r>
          </w:p>
        </w:tc>
        <w:tc>
          <w:tcPr>
            <w:tcW w:type="dxa" w:w="1700"/>
          </w:tcPr>
          <w:p>
            <w:pPr>
              <w:spacing w:before="20" w:after="20" w:line="240" w:lineRule="auto"/>
              <w:jc w:val="center"/>
            </w:pPr>
            <w:r>
              <w:rPr>
                <w:sz w:val="20"/>
              </w:rPr>
              <w:t xml:space="preserve">K = 0,82 / 0,65</w:t>
            </w:r>
          </w:p>
        </w:tc>
        <w:tc>
          <w:tcPr>
            <w:tcW w:type="dxa" w:w="2000"/>
          </w:tcPr>
          <w:p>
            <w:pPr>
              <w:spacing w:before="20" w:after="20" w:line="240" w:lineRule="auto"/>
              <w:jc w:val="center"/>
            </w:pPr>
            <w:r>
              <w:rPr>
                <w:sz w:val="20"/>
              </w:rPr>
              <w:t xml:space="preserve">K = 2,23 / 1,81 (có neo); lực neo cần 48 / 65 kN/thanh</w:t>
            </w:r>
          </w:p>
        </w:tc>
        <w:tc>
          <w:tcPr>
            <w:tcW w:type="dxa" w:w="1600"/>
          </w:tcPr>
          <w:p>
            <w:pPr>
              <w:spacing w:before="20" w:after="20" w:line="240" w:lineRule="auto"/>
              <w:jc w:val="center"/>
            </w:pPr>
            <w:r>
              <w:rPr>
                <w:sz w:val="20"/>
              </w:rPr>
              <w:t xml:space="preserve">[K] = 1,21 / 1,09</w:t>
            </w:r>
          </w:p>
        </w:tc>
        <w:tc>
          <w:tcPr>
            <w:tcW w:type="dxa" w:w="1400"/>
          </w:tcPr>
          <w:p>
            <w:pPr>
              <w:spacing w:before="20" w:after="20" w:line="240" w:lineRule="auto"/>
              <w:jc w:val="center"/>
            </w:pPr>
            <w:r>
              <w:rPr>
                <w:sz w:val="20"/>
              </w:rPr>
              <w:t xml:space="preserve">Đạt, không phụ thuộc lực dính</w:t>
            </w:r>
          </w:p>
        </w:tc>
      </w:tr>
      <w:tr>
        <w:trPr>
          <w:cantSplit w:val="true"/>
        </w:trPr>
        <w:tc>
          <w:tcPr>
            <w:tcW w:type="dxa" w:w="2300"/>
          </w:tcPr>
          <w:p>
            <w:pPr>
              <w:spacing w:before="20" w:after="20" w:line="240" w:lineRule="auto"/>
              <w:jc w:val="left"/>
            </w:pPr>
            <w:r>
              <w:rPr>
                <w:sz w:val="20"/>
              </w:rPr>
              <w:t xml:space="preserve">Đáy dốc tràn chính</w:t>
            </w:r>
          </w:p>
        </w:tc>
        <w:tc>
          <w:tcPr>
            <w:tcW w:type="dxa" w:w="1700"/>
          </w:tcPr>
          <w:p>
            <w:pPr>
              <w:spacing w:before="20" w:after="20" w:line="240" w:lineRule="auto"/>
              <w:jc w:val="center"/>
            </w:pPr>
            <w:r>
              <w:rPr>
                <w:sz w:val="20"/>
              </w:rPr>
              <w:t xml:space="preserve">Mài mòn lớp mặt 2 ÷ 3 cm</w:t>
            </w:r>
          </w:p>
        </w:tc>
        <w:tc>
          <w:tcPr>
            <w:tcW w:type="dxa" w:w="2000"/>
          </w:tcPr>
          <w:p>
            <w:pPr>
              <w:spacing w:before="20" w:after="20" w:line="240" w:lineRule="auto"/>
              <w:jc w:val="center"/>
            </w:pPr>
            <w:r>
              <w:rPr>
                <w:sz w:val="20"/>
              </w:rPr>
              <w:t xml:space="preserve">Vữa xi măng – polime ≥ 40 MPa, ≥ W8</w:t>
            </w:r>
          </w:p>
        </w:tc>
        <w:tc>
          <w:tcPr>
            <w:tcW w:type="dxa" w:w="1600"/>
          </w:tcPr>
          <w:p>
            <w:pPr>
              <w:spacing w:before="20" w:after="20" w:line="240" w:lineRule="auto"/>
              <w:jc w:val="center"/>
            </w:pPr>
            <w:r>
              <w:rPr>
                <w:sz w:val="20"/>
              </w:rPr>
              <w:t xml:space="preserve">≥ B25, W8 (TCVN 4116:2023, 5.1.9)</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Kênh dẫn thượng lưu tràn chính</w:t>
            </w:r>
          </w:p>
        </w:tc>
        <w:tc>
          <w:tcPr>
            <w:tcW w:type="dxa" w:w="1700"/>
          </w:tcPr>
          <w:p>
            <w:pPr>
              <w:spacing w:before="20" w:after="20" w:line="240" w:lineRule="auto"/>
              <w:jc w:val="center"/>
            </w:pPr>
            <w:r>
              <w:rPr>
                <w:sz w:val="20"/>
              </w:rPr>
              <w:t xml:space="preserve">Bồi lấp một phần</w:t>
            </w:r>
          </w:p>
        </w:tc>
        <w:tc>
          <w:tcPr>
            <w:tcW w:type="dxa" w:w="2000"/>
          </w:tcPr>
          <w:p>
            <w:pPr>
              <w:spacing w:before="20" w:after="20" w:line="240" w:lineRule="auto"/>
              <w:jc w:val="center"/>
            </w:pPr>
            <w:r>
              <w:rPr>
                <w:sz w:val="20"/>
              </w:rPr>
              <w:t xml:space="preserve">Nạo vét đến cao trình thiết kế</w:t>
            </w:r>
          </w:p>
        </w:tc>
        <w:tc>
          <w:tcPr>
            <w:tcW w:type="dxa" w:w="1600"/>
          </w:tcPr>
          <w:p>
            <w:pPr>
              <w:spacing w:before="20" w:after="20" w:line="240" w:lineRule="auto"/>
              <w:jc w:val="center"/>
            </w:pPr>
            <w:r>
              <w:rPr>
                <w:sz w:val="20"/>
              </w:rPr>
              <w:t xml:space="preserve">Điều kiện chảy tới ngưỡng như tính toán (m = 0,45)</w:t>
            </w:r>
          </w:p>
        </w:tc>
        <w:tc>
          <w:tcPr>
            <w:tcW w:type="dxa" w:w="1400"/>
          </w:tcPr>
          <w:p>
            <w:pPr>
              <w:spacing w:before="20" w:after="20" w:line="240" w:lineRule="auto"/>
              <w:jc w:val="center"/>
            </w:pPr>
            <w:r>
              <w:rPr>
                <w:sz w:val="20"/>
              </w:rPr>
              <w:t xml:space="preserve">Nếu m chỉ 0,40: MNLKT tăng 0,08 m</w:t>
            </w:r>
          </w:p>
        </w:tc>
      </w:tr>
      <w:tr>
        <w:trPr>
          <w:cantSplit w:val="true"/>
        </w:trPr>
        <w:tc>
          <w:tcPr>
            <w:tcW w:type="dxa" w:w="2300"/>
          </w:tcPr>
          <w:p>
            <w:pPr>
              <w:spacing w:before="20" w:after="20" w:line="240" w:lineRule="auto"/>
              <w:jc w:val="left"/>
            </w:pPr>
            <w:r>
              <w:rPr>
                <w:sz w:val="20"/>
              </w:rPr>
              <w:t xml:space="preserve">Thấm mang trái tràn sự cố (MNLTK, 50 m)</w:t>
            </w:r>
          </w:p>
        </w:tc>
        <w:tc>
          <w:tcPr>
            <w:tcW w:type="dxa" w:w="1700"/>
          </w:tcPr>
          <w:p>
            <w:pPr>
              <w:spacing w:before="20" w:after="20" w:line="240" w:lineRule="auto"/>
              <w:jc w:val="center"/>
            </w:pPr>
            <w:r>
              <w:rPr>
                <w:sz w:val="20"/>
              </w:rPr>
              <w:t xml:space="preserve">4,2 m</w:t>
            </w:r>
            <w:r>
              <w:rPr>
                <w:sz w:val="20"/>
                <w:vertAlign w:val="superscript"/>
              </w:rPr>
              <w:t xml:space="preserve">3</w:t>
            </w:r>
            <w:r>
              <w:rPr>
                <w:sz w:val="20"/>
              </w:rPr>
              <w:t xml:space="preserve">/ngày đêm</w:t>
            </w:r>
          </w:p>
        </w:tc>
        <w:tc>
          <w:tcPr>
            <w:tcW w:type="dxa" w:w="2000"/>
          </w:tcPr>
          <w:p>
            <w:pPr>
              <w:spacing w:before="20" w:after="20" w:line="240" w:lineRule="auto"/>
              <w:jc w:val="center"/>
            </w:pPr>
            <w:r>
              <w:rPr>
                <w:sz w:val="20"/>
              </w:rPr>
              <w:t xml:space="preserve">1,9 m</w:t>
            </w:r>
            <w:r>
              <w:rPr>
                <w:sz w:val="20"/>
                <w:vertAlign w:val="superscript"/>
              </w:rPr>
              <w:t xml:space="preserve">3</w:t>
            </w:r>
            <w:r>
              <w:rPr>
                <w:sz w:val="20"/>
              </w:rPr>
              <w:t xml:space="preserve">/ngày đêm (màng 3 hàng)</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54%</w:t>
            </w:r>
          </w:p>
        </w:tc>
      </w:tr>
      <w:tr>
        <w:trPr>
          <w:cantSplit w:val="true"/>
        </w:trPr>
        <w:tc>
          <w:tcPr>
            <w:tcW w:type="dxa" w:w="2300"/>
          </w:tcPr>
          <w:p>
            <w:pPr>
              <w:spacing w:before="20" w:after="20" w:line="240" w:lineRule="auto"/>
              <w:jc w:val="left"/>
            </w:pPr>
            <w:r>
              <w:rPr>
                <w:sz w:val="20"/>
              </w:rPr>
              <w:t xml:space="preserve">Gradien cửa ra lớn nhất mang tràn (MNLTK / MNLKT)</w:t>
            </w:r>
          </w:p>
        </w:tc>
        <w:tc>
          <w:tcPr>
            <w:tcW w:type="dxa" w:w="1700"/>
          </w:tcPr>
          <w:p>
            <w:pPr>
              <w:spacing w:before="20" w:after="20" w:line="240" w:lineRule="auto"/>
              <w:jc w:val="center"/>
            </w:pPr>
            <w:r>
              <w:rPr>
                <w:sz w:val="20"/>
              </w:rPr>
              <w:t xml:space="preserve">0,29 / 0,34</w:t>
            </w:r>
          </w:p>
        </w:tc>
        <w:tc>
          <w:tcPr>
            <w:tcW w:type="dxa" w:w="2000"/>
          </w:tcPr>
          <w:p>
            <w:pPr>
              <w:spacing w:before="20" w:after="20" w:line="240" w:lineRule="auto"/>
              <w:jc w:val="center"/>
            </w:pPr>
            <w:r>
              <w:rPr>
                <w:sz w:val="20"/>
              </w:rPr>
              <w:t xml:space="preserve">0,08 / 0,17</w:t>
            </w:r>
          </w:p>
        </w:tc>
        <w:tc>
          <w:tcPr>
            <w:tcW w:type="dxa" w:w="1600"/>
          </w:tcPr>
          <w:p>
            <w:pPr>
              <w:spacing w:before="20" w:after="20" w:line="240" w:lineRule="auto"/>
              <w:jc w:val="center"/>
            </w:pPr>
            <w:r>
              <w:rPr>
                <w:sz w:val="20"/>
              </w:rPr>
              <w:t xml:space="preserve">&lt; J</w:t>
            </w:r>
            <w:r>
              <w:rPr>
                <w:sz w:val="20"/>
                <w:vertAlign w:val="subscript"/>
              </w:rPr>
              <w:t xml:space="preserve">th</w:t>
            </w:r>
            <w:r>
              <w:rPr>
                <w:sz w:val="20"/>
              </w:rPr>
              <w:t xml:space="preserve"> = 1,02</w:t>
            </w:r>
          </w:p>
        </w:tc>
        <w:tc>
          <w:tcPr>
            <w:tcW w:type="dxa" w:w="1400"/>
          </w:tcPr>
          <w:p>
            <w:pPr>
              <w:spacing w:before="20" w:after="20" w:line="240" w:lineRule="auto"/>
              <w:jc w:val="center"/>
            </w:pPr>
            <w:r>
              <w:rPr>
                <w:sz w:val="20"/>
              </w:rPr>
              <w:t xml:space="preserve">Giảm 2 ÷ 4 lần</w:t>
            </w:r>
          </w:p>
        </w:tc>
      </w:tr>
      <w:tr>
        <w:trPr>
          <w:cantSplit w:val="true"/>
        </w:trPr>
        <w:tc>
          <w:tcPr>
            <w:tcW w:type="dxa" w:w="2300"/>
          </w:tcPr>
          <w:p>
            <w:pPr>
              <w:spacing w:before="20" w:after="20" w:line="240" w:lineRule="auto"/>
              <w:jc w:val="left"/>
            </w:pPr>
            <w:r>
              <w:rPr>
                <w:sz w:val="20"/>
              </w:rPr>
              <w:t xml:space="preserve">Điểm thấm ra mái hạ lưu mang tràn (MNLTK, MNLKT)</w:t>
            </w:r>
          </w:p>
        </w:tc>
        <w:tc>
          <w:tcPr>
            <w:tcW w:type="dxa" w:w="1700"/>
          </w:tcPr>
          <w:p>
            <w:pPr>
              <w:spacing w:before="20" w:after="20" w:line="240" w:lineRule="auto"/>
              <w:jc w:val="center"/>
            </w:pPr>
            <w:r>
              <w:rPr>
                <w:sz w:val="20"/>
              </w:rPr>
              <w:t xml:space="preserve">+74,95 ÷ +75,14 m (trên mái)</w:t>
            </w:r>
          </w:p>
        </w:tc>
        <w:tc>
          <w:tcPr>
            <w:tcW w:type="dxa" w:w="2000"/>
          </w:tcPr>
          <w:p>
            <w:pPr>
              <w:spacing w:before="20" w:after="20" w:line="240" w:lineRule="auto"/>
              <w:jc w:val="center"/>
            </w:pPr>
            <w:r>
              <w:rPr>
                <w:sz w:val="20"/>
              </w:rPr>
              <w:t xml:space="preserve">Lùi về chân mái +74,75 m</w:t>
            </w:r>
          </w:p>
        </w:tc>
        <w:tc>
          <w:tcPr>
            <w:tcW w:type="dxa" w:w="1600"/>
          </w:tcPr>
          <w:p>
            <w:pPr>
              <w:spacing w:before="20" w:after="20" w:line="240" w:lineRule="auto"/>
              <w:jc w:val="center"/>
            </w:pPr>
            <w:r>
              <w:rPr>
                <w:sz w:val="20"/>
              </w:rPr>
              <w:t xml:space="preserve">Không thấm ra mái</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Cửa van tràn sự cố (nguy cơ kẹt van)</w:t>
            </w:r>
          </w:p>
        </w:tc>
        <w:tc>
          <w:tcPr>
            <w:tcW w:type="dxa" w:w="1700"/>
          </w:tcPr>
          <w:p>
            <w:pPr>
              <w:spacing w:before="20" w:after="20" w:line="240" w:lineRule="auto"/>
              <w:jc w:val="center"/>
            </w:pPr>
            <w:r>
              <w:rPr>
                <w:sz w:val="20"/>
              </w:rPr>
              <w:t xml:space="preserve">Tời điện, chưa có quy định kiểm tra</w:t>
            </w:r>
          </w:p>
        </w:tc>
        <w:tc>
          <w:tcPr>
            <w:tcW w:type="dxa" w:w="2000"/>
          </w:tcPr>
          <w:p>
            <w:pPr>
              <w:spacing w:before="20" w:after="20" w:line="240" w:lineRule="auto"/>
              <w:jc w:val="center"/>
            </w:pPr>
            <w:r>
              <w:rPr>
                <w:sz w:val="20"/>
              </w:rPr>
              <w:t xml:space="preserve">Chạy thử trước mùa lũ, nguồn điện dự phòng, mở tay</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rủi ro các tình huống Bảng 4.2</w:t>
            </w:r>
          </w:p>
        </w:tc>
      </w:tr>
    </w:tbl>
    <w:p>
      <w:pPr>
        <w:spacing w:after="40"/>
      </w:pPr>
    </w:p>
    <w:p>
      <w:pPr>
        <w:pStyle w:val="Content"/>
      </w:pPr>
      <w:r>
        <w:t xml:space="preserve">Như vậy các giải pháp sửa chữa không làm tăng khả năng tháo mà nâng mức an toàn của cụm công trình tháo lũ: mực nước lũ kiểm tra từ chỗ cao hơn đỉnh đập trở thành thấp hơn đỉnh đập 0,31 m; ngưỡng tràn chính ổn định không phụ thuộc lực dính chưa được kiểm chứng; dòng thấm qua mang tràn sự cố được khống chế (Chương 8). Với lũ tăng trên khoảng 9% thì các giải pháp này chưa đủ – cần biện pháp vận hành (xả trước theo dự báo) hoặc công trình (mở rộng tràn) như đã nêu ở mục 4.6.2.</w:t>
      </w:r>
    </w:p>
    <w:p>
      <w:pPr>
        <w:pStyle w:val="Heading1"/>
        <w:pageBreakBefore/>
      </w:pPr>
      <w:bookmarkStart w:id="979" w:name="_Toc1079"/>
      <w:r>
        <w:t>THIẾT KẾ SỬA CHỮA, NÂNG CẤP ĐẬP ĐẤT</w:t>
      </w:r>
      <w:bookmarkEnd w:id="979"/>
    </w:p>
    <w:p>
      <w:pPr>
        <w:pStyle w:val="Heading2"/>
      </w:pPr>
      <w:bookmarkStart w:id="980" w:name="_Toc1080"/>
      <w:r>
        <w:t>Xác định kích thước cơ bản của đập</w:t>
      </w:r>
      <w:bookmarkEnd w:id="980"/>
    </w:p>
    <w:p>
      <w:pPr>
        <w:pStyle w:val="Heading3"/>
      </w:pPr>
      <w:bookmarkStart w:id="981" w:name="_Toc1081"/>
      <w:r>
        <w:t>Cao trình đỉnh đập</w:t>
      </w:r>
      <w:bookmarkEnd w:id="981"/>
    </w:p>
    <w:p>
      <w:pPr>
        <w:pStyle w:val="Content"/>
      </w:pPr>
      <w:r>
        <w:t xml:space="preserve">Từ kết quả mục 2.4 và phương án chọn ở mục 3.2.1: theo TCVN 8216:2018 mục 10.1.5, độ vượt cao tính đến đỉnh tường chắn sóng: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max(+77,31; +79,07; +78,74) = +79,07 m (gió Đông Bắc)</w:t>
      </w:r>
      <w:r>
        <w:t xml:space="preserve">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w:t>
      </w:r>
      <w:r>
        <w:t xml:space="preserve">mép hạ lưu tấm +78,76 m vẫn cao hơn MNLKT 0,22 m (nước chỉ tràn qua đỉnh khi vượt mép thượng lưu – mục 3.2.1).</w:t>
      </w:r>
      <w:r>
        <w:t xml:space="preserve"> </w:t>
      </w:r>
      <w:r>
        <w:t xml:space="preserve">Theo TCVN 8216:2018 điều 11.4.4, với đập cao trên 20 m chiều cao dự phòng lún phải kể vào cao trình đỉnh đập khi nghiệm thu hoàn thành và không nhỏ hơn 0,5%H; QCVN 04-05:2022 điều 2.6.2.2.1a cũng yêu cầu chiều cao an toàn của đập kể cả chiều cao phòng lún. Lớp đắp bù chỉ dày 0,4 ÷ 0,5 m trên thân đập đã làm việc hơn 25 năm nên độ lún bổ sung ước tính chỉ khoảng 0,5 ÷ 1 cm (tải trọng tăng thêm ≈ 11 kPa trên dải rộng 5 m, ∫Δσ</w:t>
      </w:r>
      <w:r>
        <w:rPr>
          <w:vertAlign w:val="subscript"/>
        </w:rPr>
        <w:t xml:space="preserve">z</w:t>
      </w:r>
      <w:r>
        <w:t xml:space="preserve">·dz ≈ 100 kPa·m trên chiều cao đập 24 m; mô đun biến dạng của đất đắp đã cố kết giả thiết E</w:t>
      </w:r>
      <w:r>
        <w:rPr>
          <w:vertAlign w:val="subscript"/>
        </w:rPr>
        <w:t xml:space="preserve">oed</w:t>
      </w:r>
      <w:r>
        <w:t xml:space="preserve"> ≈ 10 ÷ 20 MPa vì hồ sơ chưa có thí nghiệm nén cố kết: s ≈ ∫Δσ</w:t>
      </w:r>
      <w:r>
        <w:rPr>
          <w:vertAlign w:val="subscript"/>
        </w:rPr>
        <w:t xml:space="preserve">z</w:t>
      </w:r>
      <w:r>
        <w:t xml:space="preserve">·dz/E</w:t>
      </w:r>
      <w:r>
        <w:rPr>
          <w:vertAlign w:val="subscript"/>
        </w:rPr>
        <w:t xml:space="preserve">oed</w:t>
      </w:r>
      <w:r>
        <w:t xml:space="preserve"> ≈ 0,5 ÷ 1 cm); tuy nhiên chưa có số liệu quan trắc chứng minh thân đập đã lún ổn định, nên đồ án áp dụng thiên an toàn dự phòng lún theo điều 11.4.4: 0,5% × 24,75 m ≈ 0,124 m, lấy 0,13 m (khối lượng đất tăng không đáng kể). Cao trình ghi trên bản vẽ là cao trình thiết kế sau lún (mép thượng lưu +78,85 m, mép hạ lưu tấm +78,76 m); cao độ hoàn thiện khi nghiệm thu (trước lún) không thấp hơn +78,98 m tại mép thượng lưu và +78,89 m tại mép hạ lưu tấm (đất đắp bù đến +78,73 m), </w:t>
      </w:r>
      <w:r>
        <w:t xml:space="preserve">dung sai chỉ cho phép dương; nghiệm thu bằng thủy chuẩn tại vị trí khống chế (mép thượng lưu, chân tường chắn sóng) và theo dõi bằng mốc lún mặt đập (mục 7.5).</w:t>
      </w:r>
      <w:r>
        <w:t xml:space="preserve"> </w:t>
      </w:r>
      <w:r>
        <w:t xml:space="preserve">Đỉnh tường chắn sóng hiện trạng +79,40 m được giữ nguyên; sau sửa chữa tường còn nhô cao 0,42 m (ngay sau thi công) ÷ 0,55 m (sau lún) so với mặt đập</w:t>
      </w:r>
      <w:r>
        <w:t xml:space="preserve"> (không quá 1,2 m theo mục 10.1.5).</w:t>
      </w:r>
    </w:p>
    <w:p>
      <w:pPr>
        <w:pStyle w:val="Heading3"/>
      </w:pPr>
      <w:bookmarkStart w:id="982" w:name="_Toc1082"/>
      <w:r>
        <w:t>Bề rộng đỉnh và mái đập</w:t>
      </w:r>
      <w:bookmarkEnd w:id="982"/>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83" w:name="_Toc1083"/>
      <w:r>
        <w:t>Kết cấu mặt đập và thoát nước mặt đập</w:t>
      </w:r>
      <w:bookmarkEnd w:id="983"/>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w:t>
      </w:r>
      <w:r>
        <w:t xml:space="preserve">(khi thi công đắp đến +78,73 m – kể dự phòng lún 0,13 m)</w:t>
      </w:r>
      <w:r>
        <w:t xml:space="preserve">,</w:t>
      </w:r>
      <w:r>
        <w:t xml:space="preserve"> mặt đất đắp dốc ngang 2% như mặt bê tông;</w:t>
      </w:r>
    </w:p>
    <w:p>
      <w:pPr>
        <w:pStyle w:val="Bullet"/>
      </w:pPr>
      <w:r>
        <w:t xml:space="preserve">Rải lớp cấp phối đá dăm đệm dày 5 cm, lu lèn chặt; trải nilon tái sinh chống mất nước xi măng; </w:t>
      </w:r>
      <w:r>
        <w:t xml:space="preserve">đổ bê tông B20 (M250) đá 1×2</w:t>
      </w:r>
      <w:r>
        <w:t xml:space="preserve"> dày 20 cm rộng 4,3 m, đỉnh +78,85 m tại mép thượng lưu (+78,76 m tại mép hạ lưu tấm), dốc ngang 2% về phía hạ lưu (TCVN 8216:2018, mục 10.2.3)</w:t>
      </w:r>
      <w:r>
        <w:t xml:space="preserve">; </w:t>
      </w:r>
      <w:r>
        <w:t xml:space="preserve">cao độ nghiệm thu trước lún ≥ +78,98 m tại mép thượng lưu, ≥ +78,89 m tại mép hạ lưu tấm (dự phòng lún 0,13 m);</w:t>
      </w:r>
      <w:r>
        <w:t xml:space="preserve"> khe co giãn khoảng 5 m/khe chèn ma tít;</w:t>
      </w:r>
    </w:p>
    <w:p>
      <w:pPr>
        <w:pStyle w:val="Bullet"/>
      </w:pPr>
      <w:r>
        <w:t xml:space="preserve">Gờ chắn bánh xe BT B20 (M250)</w:t>
      </w:r>
      <w:r>
        <w:t xml:space="preserve">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4" w:name="_Toc1084"/>
      <w:r>
        <w:t>Tính thấm qua đập sau sửa chữa</w:t>
      </w:r>
      <w:bookmarkEnd w:id="984"/>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100" w:name="_Toc3024"/>
      <w:r>
        <w:t xml:space="preserve">Bảng 5.1 </w:t>
      </w:r>
      <w:r>
        <w:t>Kết quả tính thấm mặt cắt lòng sông sau sửa chữa</w:t>
      </w:r>
      <w:bookmarkEnd w:id="1100"/>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53" w:name="_Toc2013"/>
      <w:r>
        <w:t xml:space="preserve">Hình 5.1 </w:t>
      </w:r>
      <w:r>
        <w:t>Lưới thấm và đường bão hòa sau sửa chữa – mực nước hồ MNLKT</w:t>
      </w:r>
      <w:bookmarkEnd w:id="1053"/>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54" w:name="_Toc2014"/>
      <w:r>
        <w:t xml:space="preserve">Hình 5.2 </w:t>
      </w:r>
      <w:r>
        <w:t>Lưới thấm và đường bão hòa khi thiết bị thoát nước bị tắc – MNDBT</w:t>
      </w:r>
      <w:bookmarkEnd w:id="1054"/>
    </w:p>
    <w:p>
      <w:pPr>
        <w:pStyle w:val="Content"/>
      </w:pPr>
      <w:r>
        <w:t xml:space="preserve">So với hiện trạng, </w:t>
      </w:r>
      <w:r>
        <w:t xml:space="preserve">lưu lượng thấm giảm khoảng 2 ÷ 3% do mái hạ lưu được đắp trả; gradien thấm ở mọi bộ phận nhỏ hơn giá trị cho phép </w:t>
      </w:r>
      <w:r>
        <w:t xml:space="preserve">(phân vị 95%: tiếp xúc ống khói ≤ 0,94, cửa ra ≤ 0,16; giá trị lớn nhất 1,02 tại chân ống khói và 0,19 tại chân lăng trụ khi thoát nước bị tắc – nhỏ hơn 2,0 và 0,85)</w:t>
      </w:r>
      <w:r>
        <w:t xml:space="preserve">.</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w:t>
      </w:r>
      <w:r>
        <w:t xml:space="preserve">làm lưu lượng thấm thay đổi khoảng 0,24% (dưới 0,3%),</w:t>
      </w:r>
      <w:r>
        <w:t xml:space="preserve"> cao độ đường bão hòa tại tim không quá 0,15 m, </w:t>
      </w:r>
      <w:r>
        <w:t xml:space="preserve">gradien cục bộ tại vùng tiếp xúc ống khói hội tụ về khoảng 1,09 (&lt; 2,0) – hội tụ của lưu lượng không đồng nghĩa với hội tụ của gradien cục bộ (phân vị 95% thay đổi 0,94 ÷ 1,09 giữa các lưới), nên khi so sánh với giới hạn đồ án dùng giá trị lớn nhất trên các lưới;</w:t>
      </w:r>
      <w:r>
        <w:t xml:space="preserve">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5" w:name="_Toc1085"/>
      <w:r>
        <w:t>Kiểm tra ổn định mái đập sau sửa chữa</w:t>
      </w:r>
      <w:bookmarkEnd w:id="985"/>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101" w:name="_Toc3025"/>
      <w:r>
        <w:t xml:space="preserve">Bảng 5.2 </w:t>
      </w:r>
      <w:r>
        <w:t>Kết quả kiểm tra ổn định mái đập sau sửa chữa (Bishop)</w:t>
      </w:r>
      <w:bookmarkEnd w:id="1101"/>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55" w:name="_Toc2015"/>
      <w:r>
        <w:t xml:space="preserve">Hình 5.3 </w:t>
      </w:r>
      <w:r>
        <w:t>Cung trượt nguy hiểm mái hạ lưu sau sửa chữa – TH5 (MNDBT + động đất)</w:t>
      </w:r>
      <w:bookmarkEnd w:id="1055"/>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56" w:name="_Toc2016"/>
      <w:r>
        <w:t xml:space="preserve">Hình 5.4 </w:t>
      </w:r>
      <w:r>
        <w:t>Cung trượt nguy hiểm mái thượng lưu sau sửa chữa – TH8 (hạ mực nước từ MNDBT xuống MNC)</w:t>
      </w:r>
      <w:bookmarkEnd w:id="1056"/>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Bảng PL11): tìm lại cung trượt trên miền mở rộng (đáy cung tới cao trình +36 m), trên lưới lồng nhau chứa toàn bộ tâm, bán kính của lưới cơ sở và bằng tối ưu hóa Nelder – Mead từ 10 điểm xuất phát cho hệ số ổn định nhỏ nhất thấp hơn Bảng 5.2 không quá 0,83% (TH3); phương pháp Spencer trên các cung tìm lại cho hệ số nhỏ hơn Bishop không quá 0,5%, riêng TH8 (hạ mực nước, mái thượng lưu) nhỏ hơn 2,7% (1,449 so với 1,489); mọi trường hợp vẫn lớn hơn [K]. </w:t>
      </w:r>
      <w:r>
        <w:t xml:space="preserve">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6" w:name="_Toc1086"/>
      <w:r>
        <w:t>Ổn định trượt nông lớp mặt mái hạ lưu</w:t>
      </w:r>
      <w:bookmarkEnd w:id="986"/>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102" w:name="_Toc3026"/>
      <w:r>
        <w:t xml:space="preserve">Bảng 5.3 </w:t>
      </w:r>
      <w:r>
        <w:t>Hệ số ổn định cung trượt nông mái hạ lưu theo chiều sâu tầng bão hòa do mưa</w:t>
      </w:r>
      <w:bookmarkEnd w:id="1102"/>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103" w:name="_Toc3027"/>
      <w:r>
        <w:t xml:space="preserve">Bảng 5.4 </w:t>
      </w:r>
      <w:r>
        <w:t>Hệ số ổn định lớp mặt dày 1 m theo mô hình mái dốc vô hạn</w:t>
      </w:r>
      <w:bookmarkEnd w:id="1103"/>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7" w:name="_Toc1087"/>
      <w:r>
        <w:t>Thiết kế hệ thống thoát nước mái hạ lưu</w:t>
      </w:r>
      <w:bookmarkEnd w:id="987"/>
    </w:p>
    <w:p>
      <w:pPr>
        <w:pStyle w:val="Heading3"/>
      </w:pPr>
      <w:bookmarkStart w:id="988" w:name="_Toc1088"/>
      <w:r>
        <w:t>Hiệu quả chống xói của việc chia ô mái</w:t>
      </w:r>
      <w:bookmarkEnd w:id="988"/>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104" w:name="_Toc3028"/>
      <w:r>
        <w:t xml:space="preserve">Bảng 5.5 </w:t>
      </w:r>
      <w:r>
        <w:t>Đặc trưng dòng chảy tràn trên mái hạ lưu theo chiều dài đường chảy</w:t>
      </w:r>
      <w:bookmarkEnd w:id="1104"/>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 xml:space="preserve">5,66 (đường chéo ô)</w:t>
            </w:r>
          </w:p>
        </w:tc>
        <w:tc>
          <w:tcPr>
            <w:tcW w:type="dxa" w:w="1814"/>
          </w:tcPr>
          <w:p>
            <w:pPr>
              <w:spacing w:before="20" w:after="20" w:line="240" w:lineRule="auto"/>
              <w:jc w:val="center"/>
            </w:pPr>
            <w:r>
              <w:rPr>
                <w:sz w:val="22"/>
              </w:rPr>
              <w:t xml:space="preserve">1,08·10</w:t>
            </w:r>
            <w:r>
              <w:rPr>
                <w:sz w:val="22"/>
                <w:vertAlign w:val="superscript"/>
              </w:rPr>
              <w:t xml:space="preserve">-4</w:t>
            </w:r>
          </w:p>
        </w:tc>
        <w:tc>
          <w:tcPr>
            <w:tcW w:type="dxa" w:w="1474"/>
          </w:tcPr>
          <w:p>
            <w:pPr>
              <w:spacing w:before="20" w:after="20" w:line="240" w:lineRule="auto"/>
              <w:jc w:val="center"/>
            </w:pPr>
            <w:r>
              <w:rPr>
                <w:sz w:val="22"/>
              </w:rPr>
              <w:t xml:space="preserve">0,72</w:t>
            </w:r>
          </w:p>
        </w:tc>
        <w:tc>
          <w:tcPr>
            <w:tcW w:type="dxa" w:w="1474"/>
          </w:tcPr>
          <w:p>
            <w:pPr>
              <w:spacing w:before="20" w:after="20" w:line="240" w:lineRule="auto"/>
              <w:jc w:val="center"/>
            </w:pPr>
            <w:r>
              <w:rPr>
                <w:sz w:val="22"/>
              </w:rPr>
              <w:t xml:space="preserve">0,15</w:t>
            </w:r>
          </w:p>
        </w:tc>
        <w:tc>
          <w:tcPr>
            <w:tcW w:type="dxa" w:w="1474"/>
          </w:tcPr>
          <w:p>
            <w:pPr>
              <w:spacing w:before="20" w:after="20" w:line="240" w:lineRule="auto"/>
              <w:jc w:val="center"/>
            </w:pPr>
            <w:r>
              <w:rPr>
                <w:sz w:val="22"/>
              </w:rPr>
              <w:t xml:space="preserve">2,23</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w:t>
      </w:r>
      <w:r>
        <w:t xml:space="preserve">Khi chia mái thành ô 4 × 4 m bằng rãnh xiên, các ô đặt xoay 45° so với đường dốc nhất (Hình 3.2) nên đường chảy dài nhất là đường chéo của ô ≈ 5,66 m: ứng suất tiếp 2,23 Pa (1,82 Pa nếu tính theo cạnh ô 4 m) – giảm khoảng 2,9 lần;</w:t>
      </w:r>
      <w:r>
        <w:t xml:space="preserve"> với tỷ lệ mưa 30 phút / mưa ngày thay đổi 20 ÷ 40% (i = 77 ÷ 153 mm/h), </w:t>
      </w:r>
      <w:r>
        <w:t xml:space="preserve">ứng suất tiếp trên ô 4 × 4 m (theo đường chéo) là 1,75 ÷ 2,66 Pa,</w:t>
      </w:r>
      <w:r>
        <w:t xml:space="preserve">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w:t>
      </w:r>
      <w:r>
        <w:t xml:space="preserve">ứng suất tiếp khi mưa lớn (≈ 2,2 ÷ 2,7 Pa)</w:t>
      </w:r>
      <w:r>
        <w:t xml:space="preserve">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w:t>
      </w:r>
      <w:r>
        <w:t xml:space="preserve">mức giảm ứng suất tiếp (khoảng 2,9 lần theo đường chéo ô, 3,6 lần theo cạnh ô)</w:t>
      </w:r>
      <w:r>
        <w:t xml:space="preserve"> không phụ thuộc giả thiết cường độ mưa.</w:t>
      </w:r>
    </w:p>
    <w:p>
      <w:pPr>
        <w:pStyle w:val="Heading3"/>
      </w:pPr>
      <w:bookmarkStart w:id="989" w:name="_Toc1089"/>
      <w:r>
        <w:t>Kiểm tra khả năng thoát nước của rãnh</w:t>
      </w:r>
      <w:bookmarkEnd w:id="989"/>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105" w:name="_Toc3029"/>
      <w:r>
        <w:t xml:space="preserve">Bảng 5.6 </w:t>
      </w:r>
      <w:r>
        <w:t>Kiểm tra khả năng thoát nước các loại rãnh mái hạ lưu</w:t>
      </w:r>
      <w:bookmarkEnd w:id="1105"/>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w:t>
      </w:r>
      <w:r>
        <w:t xml:space="preserve">bằng bê tông B15 (M200) liền khối</w:t>
      </w:r>
      <w:r>
        <w:t xml:space="preserve">,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90" w:name="_Toc1090"/>
      <w:r>
        <w:t>Cấu tạo hệ thống rãnh và lớp phủ mái</w:t>
      </w:r>
      <w:bookmarkEnd w:id="990"/>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 xml:space="preserve">Trong các ô: rải lớp đất màu dày 10 cm, </w:t>
      </w:r>
      <w:r>
        <w:t xml:space="preserve">trồng cỏ bản địa (cỏ gà, cỏ lá tre) bằng vầng hoặc gieo hạt có phủ thảm xơ dừa cố định bằng ghim (mục 5.5.1); chăm sóc trong 3 tháng đầu.</w:t>
      </w:r>
    </w:p>
    <w:p>
      <w:pPr>
        <w:pStyle w:val="Heading2"/>
      </w:pPr>
      <w:bookmarkStart w:id="991" w:name="_Toc1091"/>
      <w:r>
        <w:t xml:space="preserve">Đánh giá hiệu quả của giải pháp sửa chữa đối với an toàn đập</w:t>
      </w:r>
      <w:bookmarkEnd w:id="991"/>
    </w:p>
    <w:p>
      <w:pPr>
        <w:pStyle w:val="Content"/>
      </w:pPr>
      <w:r>
        <w:t xml:space="preserve">Các kết quả tính thấm, ổn định hiện trạng (mục 2.5) và sau sửa chữa (mục 5.2 ÷ 5.5) dùng cùng chương trình, cùng mặt cắt và chỉ tiêu vật liệu nên so sánh trực tiếp được. Các chỉ tiêu chính được tổng hợp trong Bảng 5.7; hàng cuối là kiểm tra độ nhạy khi xét bất đẳng hướng thấm k</w:t>
      </w:r>
      <w:r>
        <w:rPr>
          <w:vertAlign w:val="subscript"/>
        </w:rPr>
        <w:t xml:space="preserve">h</w:t>
      </w:r>
      <w:r>
        <w:t xml:space="preserve">/k</w:t>
      </w:r>
      <w:r>
        <w:rPr>
          <w:vertAlign w:val="subscript"/>
        </w:rPr>
        <w:t xml:space="preserve">v</w:t>
      </w:r>
      <w:r>
        <w:t xml:space="preserve"> = 5 (Bảng PL10).</w:t>
      </w:r>
    </w:p>
    <w:p>
      <w:pPr>
        <w:pStyle w:val="Chuthichbang"/>
        <w:keepNext/>
      </w:pPr>
      <w:bookmarkStart w:id="1106" w:name="_Toc3030"/>
      <w:r>
        <w:t xml:space="preserve">Bảng 5.7 </w:t>
      </w:r>
      <w:r>
        <w:t xml:space="preserve">So sánh các chỉ tiêu an toàn của đập đất trước và sau sửa chữa (mặt cắt lòng sông)</w:t>
      </w:r>
      <w:bookmarkEnd w:id="1106"/>
    </w:p>
    <w:tbl>
      <w:tblPr>
        <w:tblStyle w:val="TableGrid"/>
        <w:tblW w:type="auto" w:w="0"/>
        <w:jc w:val="center"/>
        <w:tblLayout w:type="fixed"/>
        <w:tblLook w:firstColumn="1" w:firstRow="1" w:lastColumn="0" w:lastRow="0" w:noHBand="0" w:noVBand="1" w:val="04A0"/>
      </w:tblPr>
      <w:tblGrid>
        <w:gridCol w:w="2500"/>
        <w:gridCol w:w="1750"/>
        <w:gridCol w:w="2150"/>
        <w:gridCol w:w="1300"/>
        <w:gridCol w:w="1300"/>
      </w:tblGrid>
      <w:tr>
        <w:trPr>
          <w:tblHeader w:val="true"/>
          <w:cantSplit w:val="true"/>
        </w:trPr>
        <w:tc>
          <w:tcPr>
            <w:tcW w:type="dxa" w:w="2500"/>
            <w:shd w:val="clear" w:color="auto" w:fill="F2F2F2"/>
          </w:tcPr>
          <w:p>
            <w:pPr>
              <w:spacing w:before="20" w:after="20" w:line="240" w:lineRule="auto"/>
              <w:jc w:val="center"/>
            </w:pPr>
            <w:r>
              <w:rPr>
                <w:b/>
                <w:sz w:val="20"/>
              </w:rPr>
              <w:t xml:space="preserve">Chỉ tiêu</w:t>
            </w:r>
          </w:p>
        </w:tc>
        <w:tc>
          <w:tcPr>
            <w:tcW w:type="dxa" w:w="1750"/>
            <w:shd w:val="clear" w:color="auto" w:fill="F2F2F2"/>
          </w:tcPr>
          <w:p>
            <w:pPr>
              <w:spacing w:before="20" w:after="20" w:line="240" w:lineRule="auto"/>
              <w:jc w:val="center"/>
            </w:pPr>
            <w:r>
              <w:rPr>
                <w:b/>
                <w:sz w:val="20"/>
              </w:rPr>
              <w:t xml:space="preserve">Hiện trạng</w:t>
            </w:r>
          </w:p>
        </w:tc>
        <w:tc>
          <w:tcPr>
            <w:tcW w:type="dxa" w:w="2150"/>
            <w:shd w:val="clear" w:color="auto" w:fill="F2F2F2"/>
          </w:tcPr>
          <w:p>
            <w:pPr>
              <w:spacing w:before="20" w:after="20" w:line="240" w:lineRule="auto"/>
              <w:jc w:val="center"/>
            </w:pPr>
            <w:r>
              <w:rPr>
                <w:b/>
                <w:sz w:val="20"/>
              </w:rPr>
              <w:t xml:space="preserve">Sau sửa chữa</w:t>
            </w:r>
          </w:p>
        </w:tc>
        <w:tc>
          <w:tcPr>
            <w:tcW w:type="dxa" w:w="1300"/>
            <w:shd w:val="clear" w:color="auto" w:fill="F2F2F2"/>
          </w:tcPr>
          <w:p>
            <w:pPr>
              <w:spacing w:before="20" w:after="20" w:line="240" w:lineRule="auto"/>
              <w:jc w:val="center"/>
            </w:pPr>
            <w:r>
              <w:rPr>
                <w:b/>
                <w:sz w:val="20"/>
              </w:rPr>
              <w:t xml:space="preserve">Yêu cầu</w:t>
            </w:r>
          </w:p>
        </w:tc>
        <w:tc>
          <w:tcPr>
            <w:tcW w:type="dxa" w:w="1300"/>
            <w:shd w:val="clear" w:color="auto" w:fill="F2F2F2"/>
          </w:tcPr>
          <w:p>
            <w:pPr>
              <w:spacing w:before="20" w:after="20" w:line="240" w:lineRule="auto"/>
              <w:jc w:val="center"/>
            </w:pPr>
            <w:r>
              <w:rPr>
                <w:b/>
                <w:sz w:val="20"/>
              </w:rPr>
              <w:t xml:space="preserve">Nhận xét</w:t>
            </w:r>
          </w:p>
        </w:tc>
      </w:tr>
      <w:tr>
        <w:trPr>
          <w:cantSplit w:val="true"/>
        </w:trPr>
        <w:tc>
          <w:tcPr>
            <w:tcW w:type="dxa" w:w="2500"/>
          </w:tcPr>
          <w:p>
            <w:pPr>
              <w:spacing w:before="20" w:after="20" w:line="240" w:lineRule="auto"/>
              <w:jc w:val="left"/>
            </w:pPr>
            <w:r>
              <w:rPr>
                <w:sz w:val="20"/>
              </w:rPr>
              <w:t xml:space="preserve">Cao trình đỉnh đập (không kể tường) / so với MNLKT +78,54 m</w:t>
            </w:r>
          </w:p>
        </w:tc>
        <w:tc>
          <w:tcPr>
            <w:tcW w:type="dxa" w:w="1750"/>
          </w:tcPr>
          <w:p>
            <w:pPr>
              <w:spacing w:before="20" w:after="20" w:line="240" w:lineRule="auto"/>
              <w:jc w:val="center"/>
            </w:pPr>
            <w:r>
              <w:rPr>
                <w:sz w:val="20"/>
              </w:rPr>
              <w:t xml:space="preserve">+78,35 m / thấp hơn 0,19 m</w:t>
            </w:r>
          </w:p>
        </w:tc>
        <w:tc>
          <w:tcPr>
            <w:tcW w:type="dxa" w:w="2150"/>
          </w:tcPr>
          <w:p>
            <w:pPr>
              <w:spacing w:before="20" w:after="20" w:line="240" w:lineRule="auto"/>
              <w:jc w:val="center"/>
            </w:pPr>
            <w:r>
              <w:rPr>
                <w:sz w:val="20"/>
              </w:rPr>
              <w:t xml:space="preserve">+78,85 m / cao hơn 0,31 m</w:t>
            </w:r>
          </w:p>
        </w:tc>
        <w:tc>
          <w:tcPr>
            <w:tcW w:type="dxa" w:w="1300"/>
          </w:tcPr>
          <w:p>
            <w:pPr>
              <w:spacing w:before="20" w:after="20" w:line="240" w:lineRule="auto"/>
              <w:jc w:val="center"/>
            </w:pPr>
            <w:r>
              <w:rPr>
                <w:sz w:val="20"/>
              </w:rPr>
              <w:t xml:space="preserve">≥ MNLKT + 0,3 m</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Lưu lượng thấm q (10</w:t>
            </w:r>
            <w:r>
              <w:rPr>
                <w:sz w:val="20"/>
                <w:vertAlign w:val="superscript"/>
              </w:rPr>
              <w:t xml:space="preserve">-6</w:t>
            </w:r>
            <w:r>
              <w:rPr>
                <w:sz w:val="20"/>
              </w:rPr>
              <w:t xml:space="preserve"> m</w:t>
            </w:r>
            <w:r>
              <w:rPr>
                <w:sz w:val="20"/>
                <w:vertAlign w:val="superscript"/>
              </w:rPr>
              <w:t xml:space="preserve">3</w:t>
            </w:r>
            <w:r>
              <w:rPr>
                <w:sz w:val="20"/>
              </w:rPr>
              <w:t xml:space="preserve">/s/m): MNDBT / MNLTK / MNLKT</w:t>
            </w:r>
          </w:p>
        </w:tc>
        <w:tc>
          <w:tcPr>
            <w:tcW w:type="dxa" w:w="1750"/>
          </w:tcPr>
          <w:p>
            <w:pPr>
              <w:spacing w:before="20" w:after="20" w:line="240" w:lineRule="auto"/>
              <w:jc w:val="center"/>
            </w:pPr>
            <w:r>
              <w:rPr>
                <w:sz w:val="20"/>
              </w:rPr>
              <w:t xml:space="preserve">6,22 / 7,73 / 8,31</w:t>
            </w:r>
          </w:p>
        </w:tc>
        <w:tc>
          <w:tcPr>
            <w:tcW w:type="dxa" w:w="2150"/>
          </w:tcPr>
          <w:p>
            <w:pPr>
              <w:spacing w:before="20" w:after="20" w:line="240" w:lineRule="auto"/>
              <w:jc w:val="center"/>
            </w:pPr>
            <w:r>
              <w:rPr>
                <w:sz w:val="20"/>
              </w:rPr>
              <w:t xml:space="preserve">6,06 / 7,52 / 8,05</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Giảm 2,5 ÷ 3,1%</w:t>
            </w:r>
          </w:p>
        </w:tc>
      </w:tr>
      <w:tr>
        <w:trPr>
          <w:cantSplit w:val="true"/>
        </w:trPr>
        <w:tc>
          <w:tcPr>
            <w:tcW w:type="dxa" w:w="2500"/>
          </w:tcPr>
          <w:p>
            <w:pPr>
              <w:spacing w:before="20" w:after="20" w:line="240" w:lineRule="auto"/>
              <w:jc w:val="left"/>
            </w:pPr>
            <w:r>
              <w:rPr>
                <w:sz w:val="20"/>
              </w:rPr>
              <w:t xml:space="preserve">Đường bão hòa tại tim đập: MNDBT / MNLKT (m)</w:t>
            </w:r>
          </w:p>
        </w:tc>
        <w:tc>
          <w:tcPr>
            <w:tcW w:type="dxa" w:w="1750"/>
          </w:tcPr>
          <w:p>
            <w:pPr>
              <w:spacing w:before="20" w:after="20" w:line="240" w:lineRule="auto"/>
              <w:jc w:val="center"/>
            </w:pPr>
            <w:r>
              <w:rPr>
                <w:sz w:val="20"/>
              </w:rPr>
              <w:t xml:space="preserve">+65,99 / +73,93</w:t>
            </w:r>
          </w:p>
        </w:tc>
        <w:tc>
          <w:tcPr>
            <w:tcW w:type="dxa" w:w="2150"/>
          </w:tcPr>
          <w:p>
            <w:pPr>
              <w:spacing w:before="20" w:after="20" w:line="240" w:lineRule="auto"/>
              <w:jc w:val="center"/>
            </w:pPr>
            <w:r>
              <w:rPr>
                <w:sz w:val="20"/>
              </w:rPr>
              <w:t xml:space="preserve">+65,56 / +72,99</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Hạ 0,44 ÷ 0,94 m</w:t>
            </w:r>
          </w:p>
        </w:tc>
      </w:tr>
      <w:tr>
        <w:trPr>
          <w:cantSplit w:val="true"/>
        </w:trPr>
        <w:tc>
          <w:tcPr>
            <w:tcW w:type="dxa" w:w="2500"/>
          </w:tcPr>
          <w:p>
            <w:pPr>
              <w:spacing w:before="20" w:after="20" w:line="240" w:lineRule="auto"/>
              <w:jc w:val="left"/>
            </w:pPr>
            <w:r>
              <w:rPr>
                <w:sz w:val="20"/>
              </w:rPr>
              <w:t xml:space="preserve">Gradien lớn nhất: tiếp xúc ống khói / cửa ra (MNLKT)</w:t>
            </w:r>
          </w:p>
        </w:tc>
        <w:tc>
          <w:tcPr>
            <w:tcW w:type="dxa" w:w="1750"/>
          </w:tcPr>
          <w:p>
            <w:pPr>
              <w:spacing w:before="20" w:after="20" w:line="240" w:lineRule="auto"/>
              <w:jc w:val="center"/>
            </w:pPr>
            <w:r>
              <w:rPr>
                <w:sz w:val="20"/>
              </w:rPr>
              <w:t xml:space="preserve">1,19 / 0,080</w:t>
            </w:r>
          </w:p>
        </w:tc>
        <w:tc>
          <w:tcPr>
            <w:tcW w:type="dxa" w:w="2150"/>
          </w:tcPr>
          <w:p>
            <w:pPr>
              <w:spacing w:before="20" w:after="20" w:line="240" w:lineRule="auto"/>
              <w:jc w:val="center"/>
            </w:pPr>
            <w:r>
              <w:rPr>
                <w:sz w:val="20"/>
              </w:rPr>
              <w:t xml:space="preserve">1,02 / 0,078</w:t>
            </w:r>
          </w:p>
        </w:tc>
        <w:tc>
          <w:tcPr>
            <w:tcW w:type="dxa" w:w="1300"/>
          </w:tcPr>
          <w:p>
            <w:pPr>
              <w:spacing w:before="20" w:after="20" w:line="240" w:lineRule="auto"/>
              <w:jc w:val="center"/>
            </w:pPr>
            <w:r>
              <w:rPr>
                <w:sz w:val="20"/>
              </w:rPr>
              <w:t xml:space="preserve">2,0 / 0,85</w:t>
            </w:r>
          </w:p>
        </w:tc>
        <w:tc>
          <w:tcPr>
            <w:tcW w:type="dxa" w:w="1300"/>
          </w:tcPr>
          <w:p>
            <w:pPr>
              <w:spacing w:before="20" w:after="20" w:line="240" w:lineRule="auto"/>
              <w:jc w:val="center"/>
            </w:pPr>
            <w:r>
              <w:rPr>
                <w:sz w:val="20"/>
              </w:rPr>
              <w:t xml:space="preserve">Đạt, giảm nhẹ</w:t>
            </w:r>
          </w:p>
        </w:tc>
      </w:tr>
      <w:tr>
        <w:trPr>
          <w:cantSplit w:val="true"/>
        </w:trPr>
        <w:tc>
          <w:tcPr>
            <w:tcW w:type="dxa" w:w="2500"/>
          </w:tcPr>
          <w:p>
            <w:pPr>
              <w:spacing w:before="20" w:after="20" w:line="240" w:lineRule="auto"/>
              <w:jc w:val="left"/>
            </w:pPr>
            <w:r>
              <w:rPr>
                <w:sz w:val="20"/>
              </w:rPr>
              <w:t xml:space="preserve">Thiết bị thoát nước bị tắc (MNDBT): đường bão hòa tại tim, K mái hạ lưu</w:t>
            </w:r>
          </w:p>
        </w:tc>
        <w:tc>
          <w:tcPr>
            <w:tcW w:type="dxa" w:w="1750"/>
          </w:tcPr>
          <w:p>
            <w:pPr>
              <w:spacing w:before="20" w:after="20" w:line="240" w:lineRule="auto"/>
              <w:jc w:val="center"/>
            </w:pPr>
            <w:r>
              <w:rPr>
                <w:sz w:val="20"/>
              </w:rPr>
              <w:t xml:space="preserve">+68,65 m; K = 1,519</w:t>
            </w:r>
          </w:p>
        </w:tc>
        <w:tc>
          <w:tcPr>
            <w:tcW w:type="dxa" w:w="2150"/>
          </w:tcPr>
          <w:p>
            <w:pPr>
              <w:spacing w:before="20" w:after="20" w:line="240" w:lineRule="auto"/>
              <w:jc w:val="center"/>
            </w:pPr>
            <w:r>
              <w:rPr>
                <w:sz w:val="20"/>
              </w:rPr>
              <w:t xml:space="preserve">Khơi thông lăng trụ: +65,56 m; K = 1,647 (nếu vẫn tắc: +68,31 m; K = 1,497)</w:t>
            </w:r>
          </w:p>
        </w:tc>
        <w:tc>
          <w:tcPr>
            <w:tcW w:type="dxa" w:w="1300"/>
          </w:tcPr>
          <w:p>
            <w:pPr>
              <w:spacing w:before="20" w:after="20" w:line="240" w:lineRule="auto"/>
              <w:jc w:val="center"/>
            </w:pPr>
            <w:r>
              <w:rPr>
                <w:sz w:val="20"/>
              </w:rPr>
              <w:t xml:space="preserve">K ≥ 1,17</w:t>
            </w:r>
          </w:p>
        </w:tc>
        <w:tc>
          <w:tcPr>
            <w:tcW w:type="dxa" w:w="1300"/>
          </w:tcPr>
          <w:p>
            <w:pPr>
              <w:spacing w:before="20" w:after="20" w:line="240" w:lineRule="auto"/>
              <w:jc w:val="center"/>
            </w:pPr>
            <w:r>
              <w:rPr>
                <w:sz w:val="20"/>
              </w:rPr>
              <w:t xml:space="preserve">Thấp hơn 2,8 ÷ 3,1 m; K tăng 8 ÷ 10%</w:t>
            </w:r>
          </w:p>
        </w:tc>
      </w:tr>
      <w:tr>
        <w:trPr>
          <w:cantSplit w:val="true"/>
        </w:trPr>
        <w:tc>
          <w:tcPr>
            <w:tcW w:type="dxa" w:w="2500"/>
          </w:tcPr>
          <w:p>
            <w:pPr>
              <w:spacing w:before="20" w:after="20" w:line="240" w:lineRule="auto"/>
              <w:jc w:val="left"/>
            </w:pPr>
            <w:r>
              <w:rPr>
                <w:sz w:val="20"/>
              </w:rPr>
              <w:t xml:space="preserve">K</w:t>
            </w:r>
            <w:r>
              <w:rPr>
                <w:sz w:val="20"/>
                <w:vertAlign w:val="subscript"/>
              </w:rPr>
              <w:t xml:space="preserve">min</w:t>
            </w:r>
            <w:r>
              <w:rPr>
                <w:sz w:val="20"/>
              </w:rPr>
              <w:t xml:space="preserve"> ổn định tổng thể: mái hạ lưu / thượng lưu</w:t>
            </w:r>
          </w:p>
        </w:tc>
        <w:tc>
          <w:tcPr>
            <w:tcW w:type="dxa" w:w="1750"/>
          </w:tcPr>
          <w:p>
            <w:pPr>
              <w:spacing w:before="20" w:after="20" w:line="240" w:lineRule="auto"/>
              <w:jc w:val="center"/>
            </w:pPr>
            <w:r>
              <w:rPr>
                <w:sz w:val="20"/>
              </w:rPr>
              <w:t xml:space="preserve">1,364 / 1,510</w:t>
            </w:r>
          </w:p>
        </w:tc>
        <w:tc>
          <w:tcPr>
            <w:tcW w:type="dxa" w:w="2150"/>
          </w:tcPr>
          <w:p>
            <w:pPr>
              <w:spacing w:before="20" w:after="20" w:line="240" w:lineRule="auto"/>
              <w:jc w:val="center"/>
            </w:pPr>
            <w:r>
              <w:rPr>
                <w:sz w:val="20"/>
              </w:rPr>
              <w:t xml:space="preserve">1,349 / 1,496</w:t>
            </w:r>
          </w:p>
        </w:tc>
        <w:tc>
          <w:tcPr>
            <w:tcW w:type="dxa" w:w="1300"/>
          </w:tcPr>
          <w:p>
            <w:pPr>
              <w:spacing w:before="20" w:after="20" w:line="240" w:lineRule="auto"/>
              <w:jc w:val="center"/>
            </w:pPr>
            <w:r>
              <w:rPr>
                <w:sz w:val="20"/>
              </w:rPr>
              <w:t xml:space="preserve">1,17 / 1,30</w:t>
            </w:r>
          </w:p>
        </w:tc>
        <w:tc>
          <w:tcPr>
            <w:tcW w:type="dxa" w:w="1300"/>
          </w:tcPr>
          <w:p>
            <w:pPr>
              <w:spacing w:before="20" w:after="20" w:line="240" w:lineRule="auto"/>
              <w:jc w:val="center"/>
            </w:pPr>
            <w:r>
              <w:rPr>
                <w:sz w:val="20"/>
              </w:rPr>
              <w:t xml:space="preserve">Giảm ≈ 1% do tải trọng đắp đỉnh – vẫn đạt</w:t>
            </w:r>
          </w:p>
        </w:tc>
      </w:tr>
      <w:tr>
        <w:trPr>
          <w:cantSplit w:val="true"/>
        </w:trPr>
        <w:tc>
          <w:tcPr>
            <w:tcW w:type="dxa" w:w="2500"/>
          </w:tcPr>
          <w:p>
            <w:pPr>
              <w:spacing w:before="20" w:after="20" w:line="240" w:lineRule="auto"/>
              <w:jc w:val="left"/>
            </w:pPr>
            <w:r>
              <w:rPr>
                <w:sz w:val="20"/>
              </w:rPr>
              <w:t xml:space="preserve">Ổn định lớp mặt mái hạ lưu dày 1 m, bão hòa hoàn toàn</w:t>
            </w:r>
          </w:p>
        </w:tc>
        <w:tc>
          <w:tcPr>
            <w:tcW w:type="dxa" w:w="1750"/>
          </w:tcPr>
          <w:p>
            <w:pPr>
              <w:spacing w:before="20" w:after="20" w:line="240" w:lineRule="auto"/>
              <w:jc w:val="center"/>
            </w:pPr>
            <w:r>
              <w:rPr>
                <w:sz w:val="20"/>
              </w:rPr>
              <w:t xml:space="preserve">K = 0,52 (đất tơi xốp, c′ = 0)</w:t>
            </w:r>
          </w:p>
        </w:tc>
        <w:tc>
          <w:tcPr>
            <w:tcW w:type="dxa" w:w="2150"/>
          </w:tcPr>
          <w:p>
            <w:pPr>
              <w:spacing w:before="20" w:after="20" w:line="240" w:lineRule="auto"/>
              <w:jc w:val="center"/>
            </w:pPr>
            <w:r>
              <w:rPr>
                <w:sz w:val="20"/>
              </w:rPr>
              <w:t xml:space="preserve">K = 4,41 (đắp trả đầm K ≥ 0,95)</w:t>
            </w:r>
          </w:p>
        </w:tc>
        <w:tc>
          <w:tcPr>
            <w:tcW w:type="dxa" w:w="1300"/>
          </w:tcPr>
          <w:p>
            <w:pPr>
              <w:spacing w:before="20" w:after="20" w:line="240" w:lineRule="auto"/>
              <w:jc w:val="center"/>
            </w:pPr>
            <w:r>
              <w:rPr>
                <w:sz w:val="20"/>
              </w:rPr>
              <w:t xml:space="preserve">≥ 1,17</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Ứng suất tiếp dòng chảy tràn trên mái (mưa 30 phút = 30% mưa ngày)</w:t>
            </w:r>
          </w:p>
        </w:tc>
        <w:tc>
          <w:tcPr>
            <w:tcW w:type="dxa" w:w="1750"/>
          </w:tcPr>
          <w:p>
            <w:pPr>
              <w:spacing w:before="20" w:after="20" w:line="240" w:lineRule="auto"/>
              <w:jc w:val="center"/>
            </w:pPr>
            <w:r>
              <w:rPr>
                <w:sz w:val="20"/>
              </w:rPr>
              <w:t xml:space="preserve">6,55 Pa (đường chảy cả mái 34 m)</w:t>
            </w:r>
          </w:p>
        </w:tc>
        <w:tc>
          <w:tcPr>
            <w:tcW w:type="dxa" w:w="2150"/>
          </w:tcPr>
          <w:p>
            <w:pPr>
              <w:spacing w:before="20" w:after="20" w:line="240" w:lineRule="auto"/>
              <w:jc w:val="center"/>
            </w:pPr>
            <w:r>
              <w:rPr>
                <w:sz w:val="20"/>
              </w:rPr>
              <w:t xml:space="preserve">1,82 ÷ 2,23 Pa (ô 4 × 4 m)</w:t>
            </w:r>
          </w:p>
        </w:tc>
        <w:tc>
          <w:tcPr>
            <w:tcW w:type="dxa" w:w="1300"/>
          </w:tcPr>
          <w:p>
            <w:pPr>
              <w:spacing w:before="20" w:after="20" w:line="240" w:lineRule="auto"/>
              <w:jc w:val="center"/>
            </w:pPr>
            <w:r>
              <w:rPr>
                <w:sz w:val="20"/>
              </w:rPr>
              <w:t xml:space="preserve">Đất có cỏ phủ ≫ 3,6 Pa</w:t>
            </w:r>
          </w:p>
        </w:tc>
        <w:tc>
          <w:tcPr>
            <w:tcW w:type="dxa" w:w="1300"/>
          </w:tcPr>
          <w:p>
            <w:pPr>
              <w:spacing w:before="20" w:after="20" w:line="240" w:lineRule="auto"/>
              <w:jc w:val="center"/>
            </w:pPr>
            <w:r>
              <w:rPr>
                <w:sz w:val="20"/>
              </w:rPr>
              <w:t xml:space="preserve">Giảm 2,9 ÷ 3,6 lần</w:t>
            </w:r>
          </w:p>
        </w:tc>
      </w:tr>
      <w:tr>
        <w:trPr>
          <w:cantSplit w:val="true"/>
        </w:trPr>
        <w:tc>
          <w:tcPr>
            <w:tcW w:type="dxa" w:w="2500"/>
          </w:tcPr>
          <w:p>
            <w:pPr>
              <w:spacing w:before="20" w:after="20" w:line="240" w:lineRule="auto"/>
              <w:jc w:val="left"/>
            </w:pPr>
            <w:r>
              <w:rPr>
                <w:sz w:val="20"/>
              </w:rPr>
              <w:t xml:space="preserve">Độ nhạy k</w:t>
            </w:r>
            <w:r>
              <w:rPr>
                <w:sz w:val="20"/>
                <w:vertAlign w:val="subscript"/>
              </w:rPr>
              <w:t xml:space="preserve">h</w:t>
            </w:r>
            <w:r>
              <w:rPr>
                <w:sz w:val="20"/>
              </w:rPr>
              <w:t xml:space="preserve">/k</w:t>
            </w:r>
            <w:r>
              <w:rPr>
                <w:sz w:val="20"/>
                <w:vertAlign w:val="subscript"/>
              </w:rPr>
              <w:t xml:space="preserve">v</w:t>
            </w:r>
            <w:r>
              <w:rPr>
                <w:sz w:val="20"/>
              </w:rPr>
              <w:t xml:space="preserve"> = 5 (sau sửa chữa)</w:t>
            </w:r>
          </w:p>
        </w:tc>
        <w:tc>
          <w:tcPr>
            <w:tcW w:type="dxa" w:w="1750"/>
          </w:tcPr>
          <w:p>
            <w:pPr>
              <w:spacing w:before="20" w:after="20" w:line="240" w:lineRule="auto"/>
              <w:jc w:val="center"/>
            </w:pPr>
            <w:r>
              <w:rPr>
                <w:sz w:val="20"/>
              </w:rPr>
              <w:t xml:space="preserve">–</w:t>
            </w:r>
          </w:p>
        </w:tc>
        <w:tc>
          <w:tcPr>
            <w:tcW w:type="dxa" w:w="2150"/>
          </w:tcPr>
          <w:p>
            <w:pPr>
              <w:spacing w:before="20" w:after="20" w:line="240" w:lineRule="auto"/>
              <w:jc w:val="center"/>
            </w:pPr>
            <w:r>
              <w:rPr>
                <w:sz w:val="20"/>
              </w:rPr>
              <w:t xml:space="preserve">q tăng 44 ÷ 59%; đường bão hòa tại tim cao thêm 1,3 ÷ 2,5 m; K thay đổi −2,4 ÷ +1,2%</w:t>
            </w:r>
          </w:p>
        </w:tc>
        <w:tc>
          <w:tcPr>
            <w:tcW w:type="dxa" w:w="1300"/>
          </w:tcPr>
          <w:p>
            <w:pPr>
              <w:spacing w:before="20" w:after="20" w:line="240" w:lineRule="auto"/>
              <w:jc w:val="center"/>
            </w:pPr>
            <w:r>
              <w:rPr>
                <w:sz w:val="20"/>
              </w:rPr>
              <w:t xml:space="preserve">Như trên</w:t>
            </w:r>
          </w:p>
        </w:tc>
        <w:tc>
          <w:tcPr>
            <w:tcW w:type="dxa" w:w="1300"/>
          </w:tcPr>
          <w:p>
            <w:pPr>
              <w:spacing w:before="20" w:after="20" w:line="240" w:lineRule="auto"/>
              <w:jc w:val="center"/>
            </w:pPr>
            <w:r>
              <w:rPr>
                <w:sz w:val="20"/>
              </w:rPr>
              <w:t xml:space="preserve">Vẫn đạt</w:t>
            </w:r>
          </w:p>
        </w:tc>
      </w:tr>
    </w:tbl>
    <w:p>
      <w:pPr>
        <w:spacing w:after="40"/>
      </w:pPr>
    </w:p>
    <w:p>
      <w:pPr>
        <w:pStyle w:val="Content"/>
      </w:pPr>
      <w:r>
        <w:t xml:space="preserve">Nhận xét: (1) giải pháp sửa chữa không thay đổi hệ thống chống thấm, thoát nước của thân đập (ống khói, đệm tiêu nước, lăng trụ) nên lưu lượng thấm và gradien chỉ giảm nhẹ (2 ÷ 3%, đường bão hòa hạ 0,4 ÷ 0,9 m do mái hạ lưu được đắp trả); an toàn thấm của đập vốn đã bảo đảm ở hiện trạng; (2) hiệu quả rõ nhất là ở các hư hỏng thực tế của đập: đỉnh đập từ chỗ thấp hơn MNLKT trở thành cao hơn MNLKT 0,31 m; lớp mặt mái hạ lưu từ trạng thái mất ổn định khi bão hòa (K = 0,52) trở thành ổn định (K = 4,41); ứng suất tiếp do dòng chảy tràn giảm 2,9 ÷ 3,6 lần nhờ hệ thống rãnh và lớp cỏ; (3) việc khơi thông lăng trụ thoát nước và duy trì quan trắc đường bão hòa có ý nghĩa lớn – nếu thoát nước bị tắc, đường bão hòa tại tim dâng thêm khoảng 2,8 m và hệ số ổn định mái hạ lưu giảm khoảng 9%; (4) ổn định tổng thể giảm khoảng 1% do tải trọng đắp đỉnh nhưng vẫn lớn hơn yêu cầu, kể cả khi xét bất đẳng hướng thấm. Các nhận xét trên giới hạn ở mặt cắt lòng sông đại diện, các tổ hợp và chỉ tiêu cơ lý đã nêu (một số chỉ tiêu cường độ lấy theo trị tiêu chuẩn do hồ sơ thiếu trị tính toán).</w:t>
      </w:r>
    </w:p>
    <w:p>
      <w:pPr>
        <w:pStyle w:val="Heading1"/>
        <w:pageBreakBefore/>
      </w:pPr>
      <w:bookmarkStart w:id="992" w:name="_Toc1092"/>
      <w:r>
        <w:t>THIẾT KẾ SỬA CHỮA, NÂNG CẤP CỐNG LẤY NƯỚC</w:t>
      </w:r>
      <w:bookmarkEnd w:id="992"/>
    </w:p>
    <w:p>
      <w:pPr>
        <w:pStyle w:val="Heading2"/>
      </w:pPr>
      <w:bookmarkStart w:id="993" w:name="_Toc1093"/>
      <w:r>
        <w:t>Phân tích hình thức và quy mô sửa chữa</w:t>
      </w:r>
      <w:bookmarkEnd w:id="993"/>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94" w:name="_Toc1094"/>
      <w:r>
        <w:t>Nhiệm vụ và các thông số tính toán</w:t>
      </w:r>
      <w:bookmarkEnd w:id="994"/>
    </w:p>
    <w:p>
      <w:pPr>
        <w:pStyle w:val="Content"/>
      </w:pPr>
      <w:r>
        <w:t xml:space="preserve">Các thông số dùng để kiểm tra thủy lực cống và lực đóng mở cửa van được tổng hợp trong Bảng 6.1.</w:t>
      </w:r>
    </w:p>
    <w:p>
      <w:pPr>
        <w:pStyle w:val="Chuthichbang"/>
        <w:keepNext/>
      </w:pPr>
      <w:bookmarkStart w:id="1107" w:name="_Toc3031"/>
      <w:r>
        <w:t xml:space="preserve">Bảng 6.1 </w:t>
      </w:r>
      <w:r>
        <w:t>Thông số tính toán cống lấy nước</w:t>
      </w:r>
      <w:bookmarkEnd w:id="1107"/>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5" w:name="_Toc1095"/>
      <w:r>
        <w:t>Tính toán thủy lực cống</w:t>
      </w:r>
      <w:bookmarkEnd w:id="995"/>
    </w:p>
    <w:p>
      <w:pPr>
        <w:pStyle w:val="Heading3"/>
      </w:pPr>
      <w:bookmarkStart w:id="996" w:name="_Toc1096"/>
      <w:r>
        <w:t>Khả năng tháo qua cửa vào</w:t>
      </w:r>
      <w:bookmarkEnd w:id="996"/>
    </w:p>
    <w:p>
      <w:pPr>
        <w:pStyle w:val="Content"/>
      </w:pPr>
      <w:r>
        <w:t xml:space="preserve">Khi cửa van mở hoàn toàn và cửa vào chưa bị ngập, cửa vào cống làm việc như đập tràn đỉnh rộng chảy không ngập. </w:t>
      </w:r>
      <w:r>
        <w:t xml:space="preserve">Theo TCVN 9151:2012 [32] (điều 7.2.3), khi cột nước trên ngưỡng cửa vào H &lt; 1,15h (h = 2,0 m – chiều cao cống, tức H &lt; 2,30 m) cống làm việc theo sơ đồ chảy qua đập tràn; khi H ≥ 1,5h = 3,0 m cống làm việc theo sơ đồ chảy qua lỗ, vòi hoặc ống có áp; khoảng giữa là vùng chuyển tiếp mà tiêu chuẩn lưu ý còn phụ thuộc hình dạng cửa vào (chú thích 3 điều 3.1); giáo trình [24] cho giới hạn (1,2 ÷ 1,4)h tùy dạng cửa vào. Khả năng tháo theo sơ đồ đập tràn đỉnh rộng chảy không ngập:</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w:t>
      </w:r>
      <w:r>
        <w:t xml:space="preserve">(= 1,17h – vượt nhẹ giới hạn 1,15h của sơ đồ đập tràn, thuộc vùng chuyển tiếp), tức mực nước hồ ≥ +67,94 m theo (6-1);</w:t>
      </w:r>
      <w:r>
        <w:t xml:space="preserve">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w:t>
      </w:r>
      <w:r>
        <w:t xml:space="preserve">cho +67,97 m; đồ án lấy yêu cầu +67,94 ÷ +67,97 m (hai sơ đồ chỉ sai khác 0,03 m nên kết luận không đổi).</w:t>
      </w:r>
      <w:r>
        <w:t xml:space="preserve"> Như vậy với nhiệm vụ mới, khi mực nước hồ ở khoảng +67,50 ÷ +67,94 m cống chỉ tháo được 7,3 ÷ 10 m</w:t>
      </w:r>
      <w:r>
        <w:rPr>
          <w:vertAlign w:val="superscript"/>
        </w:rPr>
        <w:t>3</w:t>
      </w:r>
      <w:r>
        <w:t xml:space="preserve">/s; </w:t>
      </w:r>
      <w:r>
        <w:t xml:space="preserve">điều kiện này cần được thể hiện trong quy trình vận hành. Theo điều tiết toàn chuỗi (TH1A), mực nước cuối tháng thấp hơn +67,94 m trong 10/528 tháng (6 tháng mùa khô), thuộc 7/44 năm; nhiệm vụ hiện hữu 6,54 m</w:t>
      </w:r>
      <w:r>
        <w:rPr>
          <w:vertAlign w:val="superscript"/>
        </w:rPr>
        <w:t xml:space="preserve">3</w:t>
      </w:r>
      <w:r>
        <w:t xml:space="preserve">/s luôn được bảo đảm, còn nhiệm vụ 10 m</w:t>
      </w:r>
      <w:r>
        <w:rPr>
          <w:vertAlign w:val="superscript"/>
        </w:rPr>
        <w:t xml:space="preserve">3</w:t>
      </w:r>
      <w:r>
        <w:t xml:space="preserve">/s của QTVH chỉ được đáp ứng đầy đủ khi mực nước hồ từ +67,94 ÷ +67,97 m trở lên. Vì mực nước cuối tháng (Hình 2.1) không thể hiện mực nước thấp nhất trong tháng và thời điểm phát sinh nhu cầu lớn nhất, kết luận "không cần cải tạo cống" chỉ áp dụng cho nhiệm vụ hiện hữu; với nhiệm vụ mới cần lập lịch cấp nước theo ngày khi lập quy trình vận hành.</w:t>
      </w:r>
      <w:r>
        <w:t xml:space="preserve"> Khi mực nước hồ cao, cống làm việc với cửa van mở một phần (chảy dưới cửa van), lưu lượng được điều chỉnh bằng độ mở.</w:t>
      </w:r>
    </w:p>
    <w:p>
      <w:pPr>
        <w:pStyle w:val="Heading3"/>
      </w:pPr>
      <w:bookmarkStart w:id="997" w:name="_Toc1097"/>
      <w:r>
        <w:t>Trạng thái chảy và đường mặt nước trong thân cống</w:t>
      </w:r>
      <w:bookmarkEnd w:id="997"/>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108" w:name="_Toc3032"/>
      <w:r>
        <w:t xml:space="preserve">Bảng 6.2 </w:t>
      </w:r>
      <w:r>
        <w:t>Kết quả tính đường mặt nước trong thân cống (b = 1,8 m; i = 0,03)</w:t>
      </w:r>
      <w:bookmarkEnd w:id="1108"/>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57" w:name="_Toc2017"/>
      <w:r>
        <w:t xml:space="preserve">Hình 6.1 </w:t>
      </w:r>
      <w:r>
        <w:t>Đường mặt nước trong thân cống lấy nước</w:t>
      </w:r>
      <w:bookmarkEnd w:id="1057"/>
    </w:p>
    <w:p>
      <w:pPr>
        <w:pStyle w:val="Content"/>
      </w:pPr>
      <w:r>
        <w:t xml:space="preserve">Kết quả tính (Bảng 6.2, Hình 6.1) cho mức đầy lớn nhất</w:t>
      </w:r>
      <w:r>
        <w:t xml:space="preserve"> 55 ÷ 73% và khoảng lưu không ≥ 0,55 m, </w:t>
      </w:r>
      <w:r>
        <w:t xml:space="preserve">Số Froude cuối cống Fr = v</w:t>
      </w:r>
      <w:r>
        <w:rPr>
          <w:vertAlign w:val="superscript"/>
        </w:rPr>
        <w:t xml:space="preserve">2</w:t>
      </w:r>
      <w:r>
        <w:t xml:space="preserve">/(g·h) = 5,7 (Q = 6,54 m</w:t>
      </w:r>
      <w:r>
        <w:rPr>
          <w:vertAlign w:val="superscript"/>
        </w:rPr>
        <w:t xml:space="preserve">3</w:t>
      </w:r>
      <w:r>
        <w:t xml:space="preserve">/s) và 4,9 (Q = 10 m</w:t>
      </w:r>
      <w:r>
        <w:rPr>
          <w:vertAlign w:val="superscript"/>
        </w:rPr>
        <w:t xml:space="preserve">3</w:t>
      </w:r>
      <w:r>
        <w:t xml:space="preserve">/s) &lt; 10, nên theo TCVN 9151:2012 (Bảng 3) độ đầy giới hạn của ống không áp là 0,90 và không bắt buộc cấp khí bổ sung (chú thích 1 điều 7.2.6 chỉ áp dụng khi L/h &gt; 10 và Fr &gt; 10). Đồ án vẫn dùng giới hạn thiên an toàn: khoảng lưu không ≥ 0,4 m và độ đầy ≤ 75%, vì ở đầu cống chiều sâu xấp xỉ chiều sâu phân giới và độ đầy 0,73 &gt; 0,7 với Fr &lt; 5 – trường hợp tiêu chuẩn lưu ý có thể phát sinh sóng trong cống (chú thích 3 điều 7.2.8); cần giữ lỗ thông khí sau cửa van thông thoáng và quan sát dòng chảy khi vận hành thử với lưu lượng lớn.</w:t>
      </w:r>
      <w:r>
        <w:t xml:space="preserve"> Lưu tốc cuối cống 5,9 ÷ 6,5 m/s nằm trong giới hạn chống mài mòn </w:t>
      </w:r>
      <w:r>
        <w:t xml:space="preserve">của bê tông B15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w:t>
      </w:r>
      <w:r>
        <w:t xml:space="preserve">Khi i = 3‰, năng lực của cống theo kiểm tra dòng đều ở độ đầy giới hạn 75% là 7,2 m</w:t>
      </w:r>
      <w:r>
        <w:rPr>
          <w:vertAlign w:val="superscript"/>
        </w:rPr>
        <w:t xml:space="preserve">3</w:t>
      </w:r>
      <w:r>
        <w:t xml:space="preserve">/s (dòng êm, Fr &lt; 5 – giới hạn 0,75 theo chú thích 3 điều 7.2.8 TCVN 9151:2012); đây không phải khả năng tháo lớn nhất tuyệt đối vì chế độ chảy thực tế còn phụ thuộc chiều dài cống, điều kiện cửa vào, cửa ra và mực nước hạ lưu – cần tính lại khi có trắc dọc đo đạc.</w:t>
      </w:r>
      <w:r>
        <w:t xml:space="preserve">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8" w:name="_Toc1098"/>
      <w:r>
        <w:t>Kiểm tra tiêu năng sau cống</w:t>
      </w:r>
      <w:bookmarkEnd w:id="998"/>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9" w:name="_Toc1099"/>
      <w:r>
        <w:t>Kiểm tra lực đóng mở cửa van và máy đóng mở</w:t>
      </w:r>
      <w:bookmarkEnd w:id="999"/>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[33], [34]:</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109" w:name="_Toc3033"/>
      <w:r>
        <w:t xml:space="preserve">Bảng 6.3 </w:t>
      </w:r>
      <w:r>
        <w:t>Lực đóng mở cửa van cống và kiểm tra máy VĐ20</w:t>
      </w:r>
      <w:bookmarkEnd w:id="1109"/>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 xml:space="preserve">K</w:t>
            </w:r>
            <w:r>
              <w:rPr>
                <w:b/>
                <w:sz w:val="19"/>
                <w:vertAlign w:val="subscript"/>
              </w:rPr>
              <w:t xml:space="preserve">ođ</w:t>
            </w:r>
            <w:r>
              <w:rPr>
                <w:b/>
                <w:sz w:val="19"/>
              </w:rPr>
              <w:t xml:space="preserve"> có gối trung gian (μ = 1,0): 1 gối, L = 3 m / 2 gối, L = 2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 xml:space="preserve">3,17 / 7,14</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 xml:space="preserve">2,34 / 5,26</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 xml:space="preserve">1,85 / 4,16</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 xml:space="preserve">2,22 / 5,00</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 xml:space="preserve">1,66 / 3,72</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 xml:space="preserve">1,32 / 2,97</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r>
        <w:t xml:space="preserve"> Khi bổ sung giá đỡ dẫn hướng trung gian, mỗi đoạn trục giữa hai gối chỉ bị giữ chuyển vị ngang, không bị giữ xoay, nên lấy μ = 1,0 (hai đầu khớp) – thiên an toàn; giữ μ = 0,7 cho đoạn ngắn hơn là không có cơ sở. Đường kính chân ren, đặc tính máy và lực đóng cưỡng bức cần được xác nhận theo hồ sơ thiết bị khi lắp đặt.</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w:t>
      </w:r>
      <w:r>
        <w:t xml:space="preserve">bổ sung hai giá đỡ dẫn hướng trung gian chia trục thành ba đoạn L ≤ 2 m (với μ = 1,0: K</w:t>
      </w:r>
      <w:r>
        <w:rPr>
          <w:vertAlign w:val="subscript"/>
        </w:rPr>
        <w:t xml:space="preserve">ođ</w:t>
      </w:r>
      <w:r>
        <w:t xml:space="preserve"> = 3,7 ÷ 7,1 khi f ≤ 0,4; trường hợp bất lợi nhất f = 0,5 ở MNLTK đạt 2,97 &gt; 2; nếu chỉ dùng một gối giữa, L = 3 m thì K</w:t>
      </w:r>
      <w:r>
        <w:rPr>
          <w:vertAlign w:val="subscript"/>
        </w:rPr>
        <w:t xml:space="preserve">ođ</w:t>
      </w:r>
      <w:r>
        <w:t xml:space="preserve"> = 1,32 ÷ 3,17, không đạt khi f = 0,5 ở MNDBT và khi f ≥ 0,4 ở MNLTK);</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1000" w:name="_Toc1100"/>
      <w:r>
        <w:t>Ngoại lực tác dụng lên mặt cắt ngang cống ngầm</w:t>
      </w:r>
      <w:bookmarkEnd w:id="1000"/>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w:t>
      </w:r>
      <w:r>
        <w:t xml:space="preserve">cốt thép yêu cầu ước tính từ điều kiện bền (35) của TCVN 4116:2023 [35]: A</w:t>
      </w:r>
      <w:r>
        <w:rPr>
          <w:vertAlign w:val="subscript"/>
        </w:rPr>
        <w:t xml:space="preserve">s</w:t>
      </w:r>
      <w:r>
        <w:t xml:space="preserve"> ≈ γ</w:t>
      </w:r>
      <w:r>
        <w:rPr>
          <w:vertAlign w:val="subscript"/>
        </w:rPr>
        <w:t xml:space="preserve">lc</w:t>
      </w:r>
      <w:r>
        <w:t xml:space="preserve">·γ</w:t>
      </w:r>
      <w:r>
        <w:rPr>
          <w:vertAlign w:val="subscript"/>
        </w:rPr>
        <w:t xml:space="preserve">n</w:t>
      </w:r>
      <w:r>
        <w:t xml:space="preserve">·M/(γ</w:t>
      </w:r>
      <w:r>
        <w:rPr>
          <w:vertAlign w:val="subscript"/>
        </w:rPr>
        <w:t xml:space="preserve">c</w:t>
      </w:r>
      <w:r>
        <w:t xml:space="preserve">·R</w:t>
      </w:r>
      <w:r>
        <w:rPr>
          <w:vertAlign w:val="subscript"/>
        </w:rPr>
        <w:t xml:space="preserve">s</w:t>
      </w:r>
      <w:r>
        <w:t xml:space="preserve">·z), z ≈ 0,9h</w:t>
      </w:r>
      <w:r>
        <w:rPr>
          <w:vertAlign w:val="subscript"/>
        </w:rPr>
        <w:t xml:space="preserve">0</w:t>
      </w:r>
      <w:r>
        <w:t xml:space="preserve">, với γ</w:t>
      </w:r>
      <w:r>
        <w:rPr>
          <w:vertAlign w:val="subscript"/>
        </w:rPr>
        <w:t xml:space="preserve">n</w:t>
      </w:r>
      <w:r>
        <w:t xml:space="preserve"> = 1,15 (cấp II), γ</w:t>
      </w:r>
      <w:r>
        <w:rPr>
          <w:vertAlign w:val="subscript"/>
        </w:rPr>
        <w:t xml:space="preserve">lc</w:t>
      </w:r>
      <w:r>
        <w:t xml:space="preserve"> = 1,0 (tổ hợp cơ bản, thời kỳ khai thác), γ</w:t>
      </w:r>
      <w:r>
        <w:rPr>
          <w:vertAlign w:val="subscript"/>
        </w:rPr>
        <w:t xml:space="preserve">c</w:t>
      </w:r>
      <w:r>
        <w:t xml:space="preserve"> = 1,0; thép CB300-V R</w:t>
      </w:r>
      <w:r>
        <w:rPr>
          <w:vertAlign w:val="subscript"/>
        </w:rPr>
        <w:t xml:space="preserve">s</w:t>
      </w:r>
      <w:r>
        <w:t xml:space="preserve"> = 260 MPa (Bảng 11),</w:t>
      </w:r>
      <w:r>
        <w:t xml:space="preserve"> </w:t>
      </w:r>
      <w:r>
        <w:t xml:space="preserve">lớp bê tông bảo vệ ≥ 60 mm ở mặt tiếp xúc trực tiếp với nước theo TCVN 4116:2023 mục 6.3.3 [35], lấy khoảng cách từ mép đến trọng tâm cốt thép a = 7 cm; bỏ qua hệ số điều kiện làm việc của cốt thép γ</w:t>
      </w:r>
      <w:r>
        <w:rPr>
          <w:vertAlign w:val="subscript"/>
        </w:rPr>
        <w:t xml:space="preserve">s2</w:t>
      </w:r>
      <w:r>
        <w:t xml:space="preserve"> = 1,1 (Bảng 13 của tiêu chuẩn) </w:t>
      </w:r>
      <w:r>
        <w:t xml:space="preserve">– thiên an toàn. Kiểm tra với giả thiết thận trọng bê tông thân cống cấp B15 (R</w:t>
      </w:r>
      <w:r>
        <w:rPr>
          <w:vertAlign w:val="subscript"/>
        </w:rPr>
        <w:t xml:space="preserve">b</w:t>
      </w:r>
      <w:r>
        <w:t xml:space="preserve"> = 8,9 MPa, Bảng 2): chiều cao vùng nén tương đối ξ = x/h</w:t>
      </w:r>
      <w:r>
        <w:rPr>
          <w:vertAlign w:val="subscript"/>
        </w:rPr>
        <w:t xml:space="preserve">0</w:t>
      </w:r>
      <w:r>
        <w:t xml:space="preserve"> = 0,11 ÷ 0,14 ≪ ξ</w:t>
      </w:r>
      <w:r>
        <w:rPr>
          <w:vertAlign w:val="subscript"/>
        </w:rPr>
        <w:t xml:space="preserve">R</w:t>
      </w:r>
      <w:r>
        <w:t xml:space="preserve"> = 0,70 (Bảng 21) – cấu kiện phá hoại dẻo, cánh tay đòn thực z = 0,93 ÷ 0,94h</w:t>
      </w:r>
      <w:r>
        <w:rPr>
          <w:vertAlign w:val="subscript"/>
        </w:rPr>
        <w:t xml:space="preserve">0</w:t>
      </w:r>
      <w:r>
        <w:t xml:space="preserve"> nên lấy z = 0,9h</w:t>
      </w:r>
      <w:r>
        <w:rPr>
          <w:vertAlign w:val="subscript"/>
        </w:rPr>
        <w:t xml:space="preserve">0</w:t>
      </w:r>
      <w:r>
        <w:t xml:space="preserve"> là thiên an toàn. Kết quả cho trong Bảng 6.4.</w:t>
      </w:r>
    </w:p>
    <w:p>
      <w:pPr>
        <w:pStyle w:val="Chuthichbang"/>
        <w:keepNext/>
      </w:pPr>
      <w:bookmarkStart w:id="1110" w:name="_Toc3034"/>
      <w:r>
        <w:t xml:space="preserve">Bảng 6.4 </w:t>
      </w:r>
      <w:r>
        <w:t xml:space="preserve">Nội lực và cốt thép yêu cầu của khung kín cống hộp (tham khảo, dải rộng 1 m)</w:t>
      </w:r>
      <w:bookmarkEnd w:id="1110"/>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8,8</w:t>
            </w:r>
          </w:p>
        </w:tc>
        <w:tc>
          <w:tcPr>
            <w:tcW w:type="dxa" w:w="794"/>
          </w:tcPr>
          <w:p>
            <w:pPr>
              <w:spacing w:before="20" w:after="20" w:line="240" w:lineRule="auto"/>
              <w:jc w:val="center"/>
            </w:pPr>
            <w:r>
              <w:rPr>
                <w:sz w:val="19"/>
              </w:rPr>
              <w:t xml:space="preserve">14,0</w:t>
            </w:r>
          </w:p>
        </w:tc>
        <w:tc>
          <w:tcPr>
            <w:tcW w:type="dxa" w:w="850"/>
          </w:tcPr>
          <w:p>
            <w:pPr>
              <w:spacing w:before="20" w:after="20" w:line="240" w:lineRule="auto"/>
              <w:jc w:val="center"/>
            </w:pPr>
            <w:r>
              <w:rPr>
                <w:sz w:val="19"/>
              </w:rPr>
              <w:t xml:space="preserve">8,4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12,2</w:t>
            </w:r>
          </w:p>
        </w:tc>
        <w:tc>
          <w:tcPr>
            <w:tcW w:type="dxa" w:w="794"/>
          </w:tcPr>
          <w:p>
            <w:pPr>
              <w:spacing w:before="20" w:after="20" w:line="240" w:lineRule="auto"/>
              <w:jc w:val="center"/>
            </w:pPr>
            <w:r>
              <w:rPr>
                <w:sz w:val="19"/>
              </w:rPr>
              <w:t xml:space="preserve">10,5</w:t>
            </w:r>
          </w:p>
        </w:tc>
        <w:tc>
          <w:tcPr>
            <w:tcW w:type="dxa" w:w="850"/>
          </w:tcPr>
          <w:p>
            <w:pPr>
              <w:spacing w:before="20" w:after="20" w:line="240" w:lineRule="auto"/>
              <w:jc w:val="center"/>
            </w:pPr>
            <w:r>
              <w:rPr>
                <w:sz w:val="19"/>
              </w:rPr>
              <w:t xml:space="preserve">11,4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16,7</w:t>
            </w:r>
          </w:p>
        </w:tc>
        <w:tc>
          <w:tcPr>
            <w:tcW w:type="dxa" w:w="794"/>
          </w:tcPr>
          <w:p>
            <w:pPr>
              <w:spacing w:before="20" w:after="20" w:line="240" w:lineRule="auto"/>
              <w:jc w:val="center"/>
            </w:pPr>
            <w:r>
              <w:rPr>
                <w:sz w:val="19"/>
              </w:rPr>
              <w:t xml:space="preserve">12,6</w:t>
            </w:r>
          </w:p>
        </w:tc>
        <w:tc>
          <w:tcPr>
            <w:tcW w:type="dxa" w:w="850"/>
          </w:tcPr>
          <w:p>
            <w:pPr>
              <w:spacing w:before="20" w:after="20" w:line="240" w:lineRule="auto"/>
              <w:jc w:val="center"/>
            </w:pPr>
            <w:r>
              <w:rPr>
                <w:sz w:val="19"/>
              </w:rPr>
              <w:t xml:space="preserve">15,3</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16,0</w:t>
            </w:r>
          </w:p>
        </w:tc>
        <w:tc>
          <w:tcPr>
            <w:tcW w:type="dxa" w:w="794"/>
          </w:tcPr>
          <w:p>
            <w:pPr>
              <w:spacing w:before="20" w:after="20" w:line="240" w:lineRule="auto"/>
              <w:jc w:val="center"/>
            </w:pPr>
            <w:r>
              <w:rPr>
                <w:sz w:val="19"/>
              </w:rPr>
              <w:t xml:space="preserve">12,1</w:t>
            </w:r>
          </w:p>
        </w:tc>
        <w:tc>
          <w:tcPr>
            <w:tcW w:type="dxa" w:w="850"/>
          </w:tcPr>
          <w:p>
            <w:pPr>
              <w:spacing w:before="20" w:after="20" w:line="240" w:lineRule="auto"/>
              <w:jc w:val="center"/>
            </w:pPr>
            <w:r>
              <w:rPr>
                <w:sz w:val="19"/>
              </w:rPr>
              <w:t xml:space="preserve">14,7</w:t>
            </w:r>
          </w:p>
        </w:tc>
      </w:tr>
    </w:tbl>
    <w:p>
      <w:pPr>
        <w:spacing w:after="40"/>
      </w:pPr>
    </w:p>
    <w:p>
      <w:pPr>
        <w:pStyle w:val="Content"/>
      </w:pPr>
      <w:r>
        <w:t xml:space="preserve">Cốt thép yêu cầu sau sửa chữa khoảng </w:t>
      </w:r>
      <w:r>
        <w:t xml:space="preserve">8 ÷ 17</w:t>
      </w:r>
      <w:r>
        <w:t xml:space="preserve"> cm</w:t>
      </w:r>
      <w:r>
        <w:rPr>
          <w:vertAlign w:val="superscript"/>
        </w:rPr>
        <w:t xml:space="preserve">2</w:t>
      </w:r>
      <w:r>
        <w:t xml:space="preserve">/m (tương đương </w:t>
      </w:r>
      <w:r>
        <w:t xml:space="preserve">5Ø16 ÷ 6Ø20</w:t>
      </w:r>
      <w:r>
        <w:t xml:space="preserve">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r>
        <w:t xml:space="preserve"> Theo TCVN 4116:2023 (mục 7.2, 9.2), kết cấu BTCT của cống còn phải kiểm tra bề rộng khe nứt ở trạng thái giới hạn thứ hai (γ</w:t>
      </w:r>
      <w:r>
        <w:rPr>
          <w:vertAlign w:val="subscript"/>
        </w:rPr>
        <w:t xml:space="preserve">n</w:t>
      </w:r>
      <w:r>
        <w:t xml:space="preserve"> = γ</w:t>
      </w:r>
      <w:r>
        <w:rPr>
          <w:vertAlign w:val="subscript"/>
        </w:rPr>
        <w:t xml:space="preserve">lc</w:t>
      </w:r>
      <w:r>
        <w:t xml:space="preserve"> = 1,0): bề rộng cho phép lấy theo Bảng 23, 24 của tiêu chuẩn (phụ thuộc thành phần hóa học của nước và gradien cột nước), nhân 1,6 với công trình cấp II, nhân 0,5 với kết cấu thành mỏng (chiều dày &lt; 1,5 m) và không quá 0,5 mm – việc này cần cốt thép và kết quả phân tích nước thực tế. Bề rộng khe nứt tính toán gần như tỷ lệ với ứng suất cốt thép nên sau khi nâng đỉnh đập chỉ tăng khoảng 4 ÷ 5% so với hiện trạng; kết quả quan sát vết nứt hiện trạng vì vậy là chỉ dấu trực tiếp. Nếu phải gia cường, tính toán dùng cường độ bê tông thực tế (khoan lõi) và trạng thái ứng suất hiện có (mục 7.15). Cống có mặt cắt 1,8 × 2,0 m, lớn hơn kích thước tối thiểu 1,2 × 1,6 m để quan sát, sửa chữa (TCVN 9151:2012 mục 5.15) nên có thể kiểm tra trực tiếp khi tháo cạn giữa hai vụ.</w:t>
      </w:r>
    </w:p>
    <w:p>
      <w:pPr>
        <w:pStyle w:val="Heading1"/>
        <w:pageBreakBefore/>
      </w:pPr>
      <w:bookmarkStart w:id="1001" w:name="_Toc1101"/>
      <w:r>
        <w:t>TỔ CHỨC THI CÔNG, KHỐI LƯỢNG CHỦ YẾU, QUAN TRẮC VÀ QUẢN LÝ VẬN HÀNH</w:t>
      </w:r>
      <w:bookmarkEnd w:id="1001"/>
    </w:p>
    <w:p>
      <w:pPr>
        <w:pStyle w:val="Heading2"/>
      </w:pPr>
      <w:bookmarkStart w:id="1002" w:name="_Toc1102"/>
      <w:r>
        <w:t>Điều kiện và phương án tổ chức thi công</w:t>
      </w:r>
      <w:bookmarkEnd w:id="1002"/>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1003" w:name="_Toc1103"/>
      <w:r>
        <w:t>Biện pháp thi công các hạng mục chủ yếu</w:t>
      </w:r>
      <w:bookmarkEnd w:id="1003"/>
    </w:p>
    <w:p>
      <w:pPr>
        <w:pStyle w:val="Heading3"/>
      </w:pPr>
      <w:bookmarkStart w:id="1004" w:name="_Toc1104"/>
      <w:r>
        <w:t>Công tác đất đập</w:t>
      </w:r>
      <w:bookmarkEnd w:id="1004"/>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5" w:name="_Toc1105"/>
      <w:r>
        <w:t>Công tác bê tông</w:t>
      </w:r>
      <w:bookmarkEnd w:id="1005"/>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w:t>
      </w:r>
      <w:r>
        <w:t xml:space="preserve">đặt thanh neo D25 có định vị tâm (lớp vữa bao ≥ 25 mm),</w:t>
      </w:r>
      <w:r>
        <w:t xml:space="preserve"> </w:t>
      </w:r>
      <w:r>
        <w:t xml:space="preserve">bơm vữa xi măng không co ngót từ đáy lỗ lên; cắt đầu thanh thấp hơn mặt ngưỡng 60 mm và trám bằng vữa xi măng – polime ≥ W8;</w:t>
      </w:r>
      <w:r>
        <w:t xml:space="preserve"> </w:t>
      </w:r>
      <w:r>
        <w:t xml:space="preserve">trước khi thi công đại trà, thí nghiệm kéo nhổ tối thiểu 3 neo với lực kéo thử 100 kN </w:t>
      </w:r>
      <w:r>
        <w:t xml:space="preserve">(≈ 1,5 lần lực kéo yêu cầu lớn nhất 65 kN)</w:t>
      </w:r>
      <w:r>
        <w:t xml:space="preserve"> để xác nhận bám dính vữa – đá.</w:t>
      </w:r>
    </w:p>
    <w:p>
      <w:pPr>
        <w:pStyle w:val="Heading3"/>
      </w:pPr>
      <w:bookmarkStart w:id="1006" w:name="_Toc1106"/>
      <w:r>
        <w:t>Công tác khoan phụt chống thấm</w:t>
      </w:r>
      <w:bookmarkEnd w:id="1006"/>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[36], [37];</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[38]); đồng thời ép nước lớp II tại các hố phụt thí nghiệm để xác định cao trình đáy màng theo TCVN 8216:2018 mục 9.2.2.9.</w:t>
      </w:r>
    </w:p>
    <w:p>
      <w:pPr>
        <w:pStyle w:val="Heading3"/>
      </w:pPr>
      <w:bookmarkStart w:id="1007" w:name="_Toc1107"/>
      <w:r>
        <w:t>Lắp đặt thiết bị</w:t>
      </w:r>
      <w:bookmarkEnd w:id="1007"/>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8" w:name="_Toc1108"/>
      <w:r>
        <w:t>Khối lượng các công tác chủ yếu</w:t>
      </w:r>
      <w:bookmarkEnd w:id="1008"/>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111" w:name="_Toc3035"/>
      <w:r>
        <w:t xml:space="preserve">Bảng 7.1 </w:t>
      </w:r>
      <w:r>
        <w:t>Khối lượng các công tác chủ yếu</w:t>
      </w:r>
      <w:bookmarkEnd w:id="1111"/>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+78,73 m, kể dự phòng lún 0,13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2.210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B20 (M250)</w:t>
            </w:r>
            <w:r>
              <w:rPr>
                <w:sz w:val="20"/>
              </w:rPr>
              <w:t xml:space="preserve">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B20 (M250)</w:t>
            </w:r>
            <w:r>
              <w:rPr>
                <w:sz w:val="20"/>
              </w:rPr>
              <w:t xml:space="preserve">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 xml:space="preserve">Đào, đắp xử lý hố xói, đắp áp trúc mái hạ lưu (K ≥ 0,95): tổng đất đắp theo TKCS ≈ 25.000 m</w:t>
            </w:r>
            <w:r>
              <w:rPr>
                <w:sz w:val="20"/>
                <w:vertAlign w:val="superscript"/>
              </w:rPr>
              <w:t xml:space="preserve">3</w:t>
            </w:r>
            <w:r>
              <w:rPr>
                <w:sz w:val="20"/>
              </w:rPr>
              <w:t xml:space="preserve"> trừ phần nâng đỉnh lên +78,50 m của TKCS (≈ 986 × 4,7 × 0,30 ≈ 1.390 m</w:t>
            </w:r>
            <w:r>
              <w:rPr>
                <w:sz w:val="20"/>
                <w:vertAlign w:val="superscript"/>
              </w:rPr>
              <w:t xml:space="preserve">3</w:t>
            </w:r>
            <w:r>
              <w:rPr>
                <w:sz w:val="20"/>
              </w:rPr>
              <w:t xml:space="preserve">) đã tính ở dòng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 23.600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 xml:space="preserve">Rãnh dọc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 xml:space="preserve">Rãnh xiên </w:t>
            </w:r>
            <w:r>
              <w:rPr>
                <w:sz w:val="20"/>
              </w:rPr>
              <w:t xml:space="preserve">BT B15 (M200)</w:t>
            </w:r>
            <w:r>
              <w:rPr>
                <w:sz w:val="20"/>
              </w:rPr>
              <w:t xml:space="preserve">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 xml:space="preserve">Rãnh ngang trên cơ, trên lăng trụ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 xml:space="preserve">Thay gioăng, tấm trượt; 02 giá đỡ dẫn hướng trục trung gian cho mỗi máy;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 xml:space="preserve">Mốc quan trắc lún mặt / giếng quan trắc thấm tự động (14 giếng thân đập theo TKCS + 2 giếng đo áp hạ lưu màng mang tràn sự cố, mục 8.6)</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 xml:space="preserve">9 ; 14 + 2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 xml:space="preserve">Bê tông B20 (M250)</w:t>
            </w:r>
            <w:r>
              <w:rPr>
                <w:sz w:val="20"/>
              </w:rPr>
              <w:t xml:space="preserve">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w:t>
      </w:r>
      <w:r>
        <w:rPr>
          <w:i/>
          <w:sz w:val="22"/>
        </w:rPr>
        <w:t xml:space="preserve">đến +78,73 m – kể dự phòng lún 0,13 m, dốc 2%).</w:t>
      </w:r>
      <w:r>
        <w:rPr>
          <w:i/>
          <w:sz w:val="22"/>
        </w:rPr>
        <w:t xml:space="preserve"> Nếu áp dụng phương án hợp lý hóa màng khoan phụt (Chương 8, Bảng 8.7), </w:t>
      </w:r>
      <w:r>
        <w:rPr>
          <w:i/>
          <w:sz w:val="22"/>
        </w:rPr>
        <w:t xml:space="preserve">chiều dài khoan giảm 27,85% và chiều dài phụt giảm 29,01% – đây là tỷ lệ khối lượng, chưa phải tỷ lệ tiết kiệm chi phí (chi phí còn gồm phụt thí nghiệm, kiểm tra, vật liệu, huy động và xử lý bổ sung).</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820 m</w:t>
      </w:r>
      <w:r>
        <w:rPr>
          <w:vertAlign w:val="superscript"/>
        </w:rPr>
        <w:t xml:space="preserve">3</w:t>
      </w:r>
      <w:r>
        <w:t xml:space="preserve"> đất đắp mặt đập so với TKCS – kể cả dự phòng lún 0,13 m – và 36 neo ngưỡng tràn);</w:t>
      </w:r>
      <w:r>
        <w:t xml:space="preserve"> nếu áp dụng phương án hợp lý hóa màng khoan phụt (Chương 8), </w:t>
      </w:r>
      <w:r>
        <w:t xml:space="preserve">chiều dài khoan, phụt giảm 27,85 ÷ 29,01%.</w:t>
      </w:r>
      <w:r>
        <w:t xml:space="preserve"> Khái toán chi tiết cần đơn giá năm 2026 của địa phương, thực hiện ở bước thiết kế bản vẽ thi công.</w:t>
      </w:r>
    </w:p>
    <w:p>
      <w:pPr>
        <w:pStyle w:val="Heading2"/>
      </w:pPr>
      <w:bookmarkStart w:id="1009" w:name="_Toc1109"/>
      <w:r>
        <w:t>Tiến độ thi công</w:t>
      </w:r>
      <w:bookmarkEnd w:id="1009"/>
    </w:p>
    <w:p>
      <w:pPr>
        <w:pStyle w:val="Chuthichbang"/>
        <w:keepNext/>
      </w:pPr>
      <w:bookmarkStart w:id="1112" w:name="_Toc3036"/>
      <w:r>
        <w:t xml:space="preserve">Bảng 7.2 </w:t>
      </w:r>
      <w:r>
        <w:t>Tiến độ thi công dự kiến (6 tháng, từ tháng 1 đến tháng 6)</w:t>
      </w:r>
      <w:bookmarkEnd w:id="1112"/>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10" w:name="_Toc1110"/>
      <w:r>
        <w:t>Quan trắc và quản lý vận hành sau sửa chữa</w:t>
      </w:r>
      <w:bookmarkEnd w:id="1010"/>
    </w:p>
    <w:p>
      <w:pPr>
        <w:pStyle w:val="Content"/>
      </w:pPr>
      <w:r>
        <w:t xml:space="preserve">Công tác quan trắc thực hiện theo TCVN 8414:2010 [39]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w:t>
      </w:r>
      <w:r>
        <w:t xml:space="preserve">vượt dự phòng lún 0,13 m</w:t>
      </w:r>
      <w:r>
        <w:t xml:space="preserve">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13" w:name="_Toc3037"/>
      <w:r>
        <w:t xml:space="preserve">Bảng 7.3 </w:t>
      </w:r>
      <w:r>
        <w:t>Nội dung và tần suất quan trắc, kiểm tra đề xuất</w:t>
      </w:r>
      <w:bookmarkEnd w:id="1113"/>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 xml:space="preserve">Đường bão hòa thân đập (14 giếng) và hạ lưu màng mang tràn sự cố (2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r>
        <w:trPr>
          <w:cantSplit w:val="true"/>
        </w:trPr>
        <w:tc>
          <w:tcPr>
            <w:tcW w:type="dxa" w:w="3118"/>
          </w:tcPr>
          <w:p>
            <w:pPr>
              <w:spacing w:before="20" w:after="20" w:line="240" w:lineRule="auto"/>
              <w:jc w:val="left"/>
            </w:pPr>
            <w:r>
              <w:rPr>
                <w:sz w:val="21"/>
              </w:rPr>
              <w:t xml:space="preserve">Cập nhật tính toán thủy văn, lũ thiết kế</w:t>
            </w:r>
          </w:p>
        </w:tc>
        <w:tc>
          <w:tcPr>
            <w:tcW w:type="dxa" w:w="2154"/>
          </w:tcPr>
          <w:p>
            <w:pPr>
              <w:spacing w:before="20" w:after="20" w:line="240" w:lineRule="auto"/>
              <w:jc w:val="left"/>
            </w:pPr>
            <w:r>
              <w:rPr>
                <w:sz w:val="21"/>
              </w:rPr>
              <w:t xml:space="preserve">Tính lại với chuỗi mưa, lũ mới; kiểm tra lũ kép</w:t>
            </w:r>
          </w:p>
        </w:tc>
        <w:tc>
          <w:tcPr>
            <w:tcW w:type="dxa" w:w="3798"/>
          </w:tcPr>
          <w:p>
            <w:pPr>
              <w:spacing w:before="20" w:after="20" w:line="240" w:lineRule="auto"/>
              <w:jc w:val="left"/>
            </w:pPr>
            <w:r>
              <w:rPr>
                <w:sz w:val="21"/>
              </w:rPr>
              <w:t xml:space="preserve">5 năm/lần hoặc sau trận lũ lớn (mục 4.6)</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xả trước qua tràn sự cố khi có dự báo mưa lớn diện rộng trên lưu vực (mục 4.6.2); kiểm tra, dọn vật cản ở 9 khoang tràn chính và kênh dẫn trước mùa lũ; ưu tiên cấp nước sinh hoạt khi thiếu nước (mục 2.2.3);</w:t>
      </w:r>
      <w:r>
        <w:t xml:space="preserve">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11" w:name="_Toc1111"/>
      <w:r>
        <w:t>An toàn lao động và bảo vệ môi trường</w:t>
      </w:r>
      <w:bookmarkEnd w:id="1011"/>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12" w:name="_Toc1112"/>
      <w:r>
        <w:t>CHUYÊN ĐỀ KỸ THUẬT: ĐÁNH GIÁ HIỆU QUẢ VÀ HỢP LÝ HÓA MÀNG KHOAN PHỤT CHỐNG THẤM MANG TRÁI TRÀN SỰ CỐ</w:t>
      </w:r>
      <w:bookmarkEnd w:id="1012"/>
    </w:p>
    <w:p>
      <w:pPr>
        <w:pStyle w:val="Heading2"/>
      </w:pPr>
      <w:bookmarkStart w:id="1013" w:name="_Toc1113"/>
      <w:r>
        <w:t>Đặt vấn đề</w:t>
      </w:r>
      <w:bookmarkEnd w:id="1013"/>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14" w:name="_Toc1114"/>
      <w:r>
        <w:t>Cơ sở lý thuyết</w:t>
      </w:r>
      <w:bookmarkEnd w:id="1014"/>
    </w:p>
    <w:p>
      <w:pPr>
        <w:pStyle w:val="Heading3"/>
      </w:pPr>
      <w:bookmarkStart w:id="1015" w:name="_Toc1115"/>
      <w:r>
        <w:t>Mô hình toán và phương pháp phần tử hữu hạn</w:t>
      </w:r>
      <w:bookmarkEnd w:id="1015"/>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6" w:name="_Toc1116"/>
      <w:r>
        <w:t>Các tiêu chí thiết kế màng chống thấm</w:t>
      </w:r>
      <w:bookmarkEnd w:id="1016"/>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[40]):</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w:t>
      </w:r>
      <w:r>
        <w:t xml:space="preserve">(trị số TKCS dùng khi tính)</w:t>
      </w:r>
      <w:r>
        <w:t xml:space="preserve">,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[38], [41], [42].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[38], lớp II có K ≈ 1·10</w:t>
      </w:r>
      <w:r>
        <w:rPr>
          <w:vertAlign w:val="superscript"/>
        </w:rPr>
        <w:t xml:space="preserve">-5</w:t>
      </w:r>
      <w:r>
        <w:t xml:space="preserve"> cm/s (≈ 0,8 Lu) thuộc vùng ít thấm, </w:t>
      </w:r>
      <w:r>
        <w:t xml:space="preserve">nên một phương án thử là đáy màng khoảng 3 m dưới mặt lớp II nếu thí nghiệm ép nước xác nhận q ≤ 5 Lu – trị số "cộng thêm 3 m" là giới hạn phạm vi khoan của điều 9.2.2.9 đối với đập từ cấp II trở xuống, không phải công thức chọn đáy màng; chiều sâu chọn phải được đánh giá bằng địa chất, thí nghiệm và tính toán thấm. Quy đổi 1 Lu ≈ 1,3·10</w:t>
      </w:r>
      <w:r>
        <w:rPr>
          <w:vertAlign w:val="superscript"/>
        </w:rPr>
        <w:t xml:space="preserve">-5</w:t>
      </w:r>
      <w:r>
        <w:t xml:space="preserve"> cm/s chỉ là gần đúng (phụ thuộc sơ đồ thí nghiệm, chiều dài đoạn ép và mức nứt nẻ), nên đồ án trình bày riêng lượng mất nước đo được (Lu) và hệ số thấm dùng trong mô hình.</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[36].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7" w:name="_Toc1117"/>
      <w:r>
        <w:t>Mô hình tính toán</w:t>
      </w:r>
      <w:bookmarkEnd w:id="1017"/>
    </w:p>
    <w:p>
      <w:pPr>
        <w:pStyle w:val="Heading3"/>
      </w:pPr>
      <w:bookmarkStart w:id="1018" w:name="_Toc1118"/>
      <w:r>
        <w:t>Hình học và địa tầng</w:t>
      </w:r>
      <w:bookmarkEnd w:id="1018"/>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8" w:name="_Toc2018"/>
      <w:r>
        <w:t xml:space="preserve">Hình 8.1 </w:t>
      </w:r>
      <w:r>
        <w:t>Mặt cắt ngang đại diện khoan phụt mang tràn sự cố (nguồn: TKCS [2])</w:t>
      </w:r>
      <w:bookmarkEnd w:id="1058"/>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9" w:name="_Toc1119"/>
      <w:r>
        <w:t>Vật liệu, lưới và điều kiện biên</w:t>
      </w:r>
      <w:bookmarkEnd w:id="1019"/>
    </w:p>
    <w:p>
      <w:pPr>
        <w:pStyle w:val="Chuthichbang"/>
        <w:keepNext/>
      </w:pPr>
      <w:bookmarkStart w:id="1114" w:name="_Toc3038"/>
      <w:r>
        <w:t xml:space="preserve">Bảng 8.1 </w:t>
      </w:r>
      <w:r>
        <w:t>Hệ số thấm bão hòa các vật liệu trong mô hình</w:t>
      </w:r>
      <w:bookmarkEnd w:id="1114"/>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9" w:name="_Toc2019"/>
      <w:r>
        <w:t xml:space="preserve">Hình 8.2 </w:t>
      </w:r>
      <w:r>
        <w:t>Mô hình phần tử hữu hạn mang trái tràn sự cố có màng khoan phụt</w:t>
      </w:r>
      <w:bookmarkEnd w:id="1059"/>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20" w:name="_Toc1120"/>
      <w:r>
        <w:t>Kết quả tính toán với màng thiết kế</w:t>
      </w:r>
      <w:bookmarkEnd w:id="1020"/>
    </w:p>
    <w:p>
      <w:pPr>
        <w:pStyle w:val="Chuthichbang"/>
        <w:keepNext/>
      </w:pPr>
      <w:bookmarkStart w:id="1115" w:name="_Toc3039"/>
      <w:r>
        <w:t xml:space="preserve">Bảng 8.2 </w:t>
      </w:r>
      <w:r>
        <w:t>Kết quả tính thấm mang trái tràn sự cố khi chưa và đã có màng khoan phụt thiết kế</w:t>
      </w:r>
      <w:bookmarkEnd w:id="1115"/>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60" w:name="_Toc2020"/>
      <w:r>
        <w:t xml:space="preserve">Hình 8.3 </w:t>
      </w:r>
      <w:r>
        <w:t>Đường đẳng cột nước và đường bão hòa khi chưa có màng – MN hồ +78,54 m (MNLKT)</w:t>
      </w:r>
      <w:bookmarkEnd w:id="1060"/>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61" w:name="_Toc2021"/>
      <w:r>
        <w:t xml:space="preserve">Hình 8.4 </w:t>
      </w:r>
      <w:r>
        <w:t>Đường đẳng cột nước và đường bão hòa khi có màng thiết kế – MN hồ +78,54 m (MNLKT)</w:t>
      </w:r>
      <w:bookmarkEnd w:id="1061"/>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xml:space="preserve">, </w:t>
      </w:r>
      <w:r>
        <w:t xml:space="preserve">tức mô hình thể hiện được cơ chế thấm ra trên mái khi mực nước lũ cao nhưng chưa tái hiện được ngưỡng xuất hiện thấm quan sát được từ khoảng +74,0 m (ở +74,0 ÷ +74,7 m mô hình chỉ cho thấm ra ở vùng trũng xa, x &gt; 60 m) – sai khác cho thấy vai trò của dòng thấm tập trung theo mặt tiếp xúc đất – bê tông và hiệu ứng ba chiều mà mô hình phẳng không mô tả;</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w:t>
      </w:r>
      <w:r>
        <w:t xml:space="preserve">như vậy theo mô hình phẳng, đất nền mang tràn chưa có nguy cơ mất ổn định thấm dạng đẩy trồi do lực thấm; phép kiểm tra này không bao quát xói tiếp xúc và sự di chuyển hạt mịn (cần cấp phối hạt và kiểm tra theo TCVN 8216:2018 mục 11.2.3).</w:t>
      </w:r>
      <w:r>
        <w:t xml:space="preserve"> Việc thực tế đã xuất hiện lún sụt sau tường cánh </w:t>
      </w:r>
      <w:r>
        <w:t xml:space="preserve">gợi ý có dòng thấm tập trung</w:t>
      </w:r>
      <w:r>
        <w:t xml:space="preserve"> theo đường tiếp xúc đất – bê tông và theo các khe nứt của lớp I (hiệu ứng ba chiều mà mô hình phẳng không thể hiện), làm gradien cục bộ lớn hơn nhiều. </w:t>
      </w:r>
      <w:r>
        <w:t xml:space="preserve">Điều này cho thấy sự cần thiết của màng</w:t>
      </w:r>
      <w:r>
        <w:t xml:space="preserve">, đặc biệt ở đoạn sát tường bên tràn.</w:t>
      </w:r>
    </w:p>
    <w:p>
      <w:pPr>
        <w:pStyle w:val="Heading2"/>
      </w:pPr>
      <w:bookmarkStart w:id="1021" w:name="_Toc1121"/>
      <w:r>
        <w:t>Phân tích độ nhạy các thông số của màng</w:t>
      </w:r>
      <w:bookmarkEnd w:id="1021"/>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22" w:name="_Toc1122"/>
      <w:r>
        <w:t>Ảnh hưởng của chất lượng màng</w:t>
      </w:r>
      <w:bookmarkEnd w:id="1022"/>
    </w:p>
    <w:p>
      <w:pPr>
        <w:pStyle w:val="Chuthichbang"/>
        <w:keepNext/>
      </w:pPr>
      <w:bookmarkStart w:id="1116" w:name="_Toc3040"/>
      <w:r>
        <w:t xml:space="preserve">Bảng 8.3 </w:t>
      </w:r>
      <w:r>
        <w:t>Ảnh hưởng của hệ số thấm màng K</w:t>
      </w:r>
      <w:r>
        <w:rPr>
          <w:vertAlign w:val="subscript"/>
        </w:rPr>
        <w:t>màng</w:t>
      </w:r>
      <w:r>
        <w:t xml:space="preserve"> (MNLTK)</w:t>
      </w:r>
      <w:bookmarkEnd w:id="1116"/>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23" w:name="_Toc1123"/>
      <w:r>
        <w:t>Ảnh hưởng của cao trình đáy màng</w:t>
      </w:r>
      <w:bookmarkEnd w:id="1023"/>
    </w:p>
    <w:p>
      <w:pPr>
        <w:pStyle w:val="Chuthichbang"/>
        <w:keepNext/>
      </w:pPr>
      <w:bookmarkStart w:id="1117" w:name="_Toc3041"/>
      <w:r>
        <w:t xml:space="preserve">Bảng 8.4 </w:t>
      </w:r>
      <w:r>
        <w:t>Ảnh hưởng của cao trình đáy màng (MNLTK; mặt lớp II tại tim ≈ +72,4 m)</w:t>
      </w:r>
      <w:bookmarkEnd w:id="1117"/>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62" w:name="_Toc2022"/>
      <w:r>
        <w:t xml:space="preserve">Hình 8.5 </w:t>
      </w:r>
      <w:r>
        <w:t>Hiệu quả giảm lưu lượng thấm theo: a) hệ số thấm màng; b) cao trình đáy màng</w:t>
      </w:r>
      <w:bookmarkEnd w:id="1062"/>
    </w:p>
    <w:p>
      <w:pPr>
        <w:pStyle w:val="Heading3"/>
      </w:pPr>
      <w:bookmarkStart w:id="1024" w:name="_Toc1124"/>
      <w:r>
        <w:t>Ảnh hưởng của tính thấm lớp đá II</w:t>
      </w:r>
      <w:bookmarkEnd w:id="1024"/>
    </w:p>
    <w:p>
      <w:pPr>
        <w:pStyle w:val="Chuthichbang"/>
        <w:keepNext/>
      </w:pPr>
      <w:bookmarkStart w:id="1118" w:name="_Toc3042"/>
      <w:r>
        <w:t xml:space="preserve">Bảng 8.5 </w:t>
      </w:r>
      <w:r>
        <w:t>Ảnh hưởng của hệ số thấm lớp II (MNLTK, màng thiết kế đáy +68,3 m)</w:t>
      </w:r>
      <w:bookmarkEnd w:id="1118"/>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5" w:name="_Toc1125"/>
      <w:r>
        <w:t>Ảnh hưởng của số hàng khoan và cao trình đỉnh màng</w:t>
      </w:r>
      <w:bookmarkEnd w:id="1025"/>
    </w:p>
    <w:p>
      <w:pPr>
        <w:pStyle w:val="Chuthichbang"/>
        <w:keepNext/>
      </w:pPr>
      <w:bookmarkStart w:id="1119" w:name="_Toc3043"/>
      <w:r>
        <w:t xml:space="preserve">Bảng 8.6 </w:t>
      </w:r>
      <w:r>
        <w:t>Ảnh hưởng của chiều dày màng (số hàng khoan) và cao trình đỉnh màng</w:t>
      </w:r>
      <w:bookmarkEnd w:id="1119"/>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w:t>
      </w:r>
      <w:r>
        <w:t xml:space="preserve">Nếu K</w:t>
      </w:r>
      <w:r>
        <w:rPr>
          <w:vertAlign w:val="subscript"/>
        </w:rPr>
        <w:t xml:space="preserve">II</w:t>
      </w:r>
      <w:r>
        <w:t xml:space="preserve"> ≤ 1·10</w:t>
      </w:r>
      <w:r>
        <w:rPr>
          <w:vertAlign w:val="superscript"/>
        </w:rPr>
        <w:t xml:space="preserve">-5</w:t>
      </w:r>
      <w:r>
        <w:t xml:space="preserve"> cm/s, trong mô hình chỉ cần cắm màng vào lớp II khoảng 1,0 ÷ 1,5 m là đạt hiệu quả gần tối đa – đây là kết quả độ nhạy của mô hình phẳng, không phải chiều sâu thiết kế (phương án đề xuất ở mục 8.6 cắm 3 m, chờ thí nghiệm ép nước).</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63" w:name="_Toc2023"/>
      <w:r>
        <w:t xml:space="preserve">Hình 8.6 Phạm vi thay đổi hiệu quả giảm lưu lượng thấm η theo từng thông số của màng (MNLTK)</w:t>
      </w:r>
      <w:bookmarkEnd w:id="1063"/>
    </w:p>
    <w:p>
      <w:pPr>
        <w:pStyle w:val="Heading2"/>
      </w:pPr>
      <w:bookmarkStart w:id="1026" w:name="_Toc1126"/>
      <w:r>
        <w:t>Kiểm tra chiều dày màng và đề xuất hợp lý hóa</w:t>
      </w:r>
      <w:bookmarkEnd w:id="1026"/>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Điều kiện để chuyển phương án hợp lý hóa thành phương án chọn – cả ba phải thỏa: (1) phụt thí nghiệm cho màng 2 hàng liên tục, K ≤ 1·10</w:t>
      </w:r>
      <w:r>
        <w:rPr>
          <w:vertAlign w:val="superscript"/>
        </w:rPr>
        <w:t xml:space="preserve">-5</w:t>
      </w:r>
      <w:r>
        <w:t xml:space="preserve"> cm/s qua khoan kiểm tra, ép nước; (2) ép nước lớp II cho q ≤ 1 Lu và tính lại với K đo được cho thấy gradien cửa ra, đường thấm vòng qua đầu và chân màng đạt yêu cầu; (3) nếu điều kiện (1) hoặc (2) không đạt thì giữ 3 hàng trên toàn tuyến như TKCS (phương án dự phòng). Mức giảm lưu lượng 47% so với 54% không đồng nghĩa với tương đương về an toàn chống xói – vì vậy đoạn sát tràn (dòng thấm tập trung theo mặt tiếp xúc) luôn giữ 3 hàng và phụt tiếp xúc;</w:t>
      </w:r>
    </w:p>
    <w:p>
      <w:pPr>
        <w:pStyle w:val="Bullet"/>
      </w:pPr>
      <w:r>
        <w:t xml:space="preserve">Cao trình đáy màng chọn trên cơ sở thí nghiệm ép nước tại các hố phụt thí nghiệm, trong giới hạn phạm vi khoan của TCVN 8216:2018 mục 9.2.2.9: phương án thử tại mặt cắt đại diện là đáy màng thấp hơn mặt lớp II 3,0 m (+69,4 m, so với +68,3 m của TKCS) nếu lớp II có lượng mất nước q ≤ 5 Lu ngay từ mặt lớp, nhưng không sâu hơn đáy màng TKCS – đây là phương án được đánh giá bằng tính toán (Bảng 8.8), không phải cao trình bắt buộc của tiêu chuẩn;</w:t>
      </w:r>
      <w:r>
        <w:t xml:space="preserve">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w:t>
      </w:r>
      <w:r>
        <w:t xml:space="preserve">bố trí 2 giếng đo áp phía hạ lưu màng (bổ sung ngoài 14 giếng quan trắc thân đập – Bảng 7.1, Bảng 7.3)</w:t>
      </w:r>
      <w:r>
        <w:t xml:space="preserve">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20" w:name="_Toc3044"/>
      <w:r>
        <w:t xml:space="preserve">Bảng 8.7 </w:t>
      </w:r>
      <w:r>
        <w:t xml:space="preserve">So sánh khối lượng và hiệu quả của màng theo TKCS và theo phương án hợp lý hóa</w:t>
      </w:r>
      <w:bookmarkEnd w:id="1120"/>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[38]) – cho trong Bảng 8.8.</w:t>
      </w:r>
    </w:p>
    <w:p>
      <w:pPr>
        <w:pStyle w:val="Chuthichbang"/>
        <w:keepNext/>
      </w:pPr>
      <w:bookmarkStart w:id="1121" w:name="_Toc3045"/>
      <w:r>
        <w:t xml:space="preserve">Bảng 8.8 </w:t>
      </w:r>
      <w:r>
        <w:t xml:space="preserve">Hiệu quả giảm lưu lượng thấm η (%) của các phương án màng theo hệ số thấm lớp II (mặt cắt đại diện, MNLTK / MNLKT)</w:t>
      </w:r>
      <w:bookmarkEnd w:id="1121"/>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7" w:name="_Toc1127"/>
      <w:r>
        <w:t>Kết luận chuyên đề</w:t>
      </w:r>
      <w:bookmarkEnd w:id="1027"/>
    </w:p>
    <w:p>
      <w:pPr>
        <w:pStyle w:val="Bullet"/>
      </w:pPr>
      <w:r>
        <w:t xml:space="preserve">Mô hình thấm phần tử hữu hạn hai chiều cho thấy cơ chế thấm ra trên mái hạ lưu mang trái tràn sự cố khi mực nước lũ cao (chưa tái hiện được ngưỡng xuất hiện thấm quan sát từ khoảng +74,0 m – hiệu ứng tiếp xúc đất – bê tông và dòng thấm ba chiều cần được khảo sát, hiệu chỉnh trước khi dùng kết quả để chốt thiết kế), với lớp I</w:t>
      </w:r>
      <w:r>
        <w:t xml:space="preserve">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w:t>
      </w:r>
      <w:r>
        <w:t xml:space="preserve">để giảm 27,85% chiều dài khoan và 29,01% chiều dài phụt (tỷ lệ khối lượng, chưa phải tỷ lệ chi phí) mà hiệu quả chỉ giảm khoảng 6 điểm phần trăm,</w:t>
      </w:r>
      <w:r>
        <w:t xml:space="preserve"> </w:t>
      </w:r>
      <w:r>
        <w:t xml:space="preserve">với ba điều kiện ở mục 8.6 (màng 2 hàng đạt K ≤ 1·10</w:t>
      </w:r>
      <w:r>
        <w:rPr>
          <w:vertAlign w:val="superscript"/>
        </w:rPr>
        <w:t xml:space="preserve">-5</w:t>
      </w:r>
      <w:r>
        <w:t xml:space="preserve"> cm/s; lớp II q ≤ 1 Lu và kiểm tra lại gradien, đường thấm vòng; nếu không đạt thì giữ 3 hàng);</w:t>
      </w:r>
      <w:r>
        <w:t xml:space="preserve">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8" w:name="_Toc1128"/>
      <w:r>
        <w:t>KẾT LUẬN VÀ KIẾN NGHỊ</w:t>
      </w:r>
      <w:bookmarkEnd w:id="1028"/>
    </w:p>
    <w:p>
      <w:pPr>
        <w:pStyle w:val="Heading2"/>
        <w:numPr>
          <w:ilvl w:val="0"/>
          <w:numId w:val="0"/>
        </w:numPr>
        <w:ind w:left="0" w:firstLine="0"/>
      </w:pPr>
      <w:bookmarkStart w:id="1029" w:name="_Toc1129"/>
      <w:r>
        <w:t>Kết luận</w:t>
      </w:r>
      <w:bookmarkEnd w:id="1029"/>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 xml:space="preserve">Số liệu cơ bản được cập nhật, thống nhất trước khi tính toán: quan hệ Z ~ F ~ W theo bình đồ 2022 (diện tích theo km</w:t>
      </w:r>
      <w:r>
        <w:rPr>
          <w:vertAlign w:val="superscript"/>
        </w:rPr>
        <w:t xml:space="preserve">2</w:t>
      </w:r>
      <w:r>
        <w:t xml:space="preserve">, dung tích tính lại từ diện tích); bề rộng tràn chính hiện trạng 21,6 m (9 × 2,4 m) thay cho bề rộng thiết kế ban đầu 25 m; lũ tính theo tung độ đường quá trình; hệ số an toàn [K] = 1,17 cho tổ hợp đặc biệt của đập cấp II (TCVN 8216:2018); vận tốc gió tính sóng quy đổi về mặt nước và xét các hướng gió thổi vào mái thượng lưu (TCVN 8421:2010); kiểm tra trượt kết cấu bê tông trên nền đá kể hệ số điều kiện làm việc γ</w:t>
      </w:r>
      <w:r>
        <w:rPr>
          <w:vertAlign w:val="subscript"/>
        </w:rPr>
        <w:t xml:space="preserve">c</w:t>
      </w:r>
      <w:r>
        <w:t xml:space="preserve"> = 0,95 (QCVN 04-05:2022 Bảng B.2).</w:t>
      </w:r>
    </w:p>
    <w:p>
      <w:pPr>
        <w:pStyle w:val="Bullet"/>
      </w:pPr>
      <w:r>
        <w:t>Hồ giữ nguyên MNDBT +74,70 m, MNC +67,50 m; điều tiết toàn chuỗi 44 năm cho thấy nhiệm vụ tưới thiết kế chỉ bảo đảm 85% khi áp dụng tưới tiết kiệm cho 50% diện tích cây trồng cạn.</w:t>
      </w:r>
      <w:r>
        <w:t xml:space="preserve"> Theo quy tắc ưu tiên (cắt giảm tưới trước), cấp nước sinh hoạt đạt mức bảo đảm 97,8% (≥ 90%).</w:t>
      </w:r>
    </w:p>
    <w:p>
      <w:pPr>
        <w:pStyle w:val="Bullet"/>
      </w:pPr>
      <w:r>
        <w:t xml:space="preserve">Với tràn hiện trạng, MNLTK = +77,63 m, MNLKT = +78,54 m (lũ BCNCKT); tường chắn sóng +79,40 m đủ chắn sóng với mọi hướng gió </w:t>
      </w:r>
      <w:r>
        <w:t xml:space="preserve">(Z</w:t>
      </w:r>
      <w:r>
        <w:rPr>
          <w:vertAlign w:val="subscript"/>
        </w:rPr>
        <w:t xml:space="preserve">max</w:t>
      </w:r>
      <w:r>
        <w:t xml:space="preserve"> = +79,07 m, gió Đông Bắc)</w:t>
      </w:r>
      <w:r>
        <w:t xml:space="preserve">, cao trình đỉnh đập do điều kiện MNLKT + 0,3 m = +78,84 m quyết định (TCVN 8216:2018, mục 10.1.5). Đỉnh đập hiện trạng +78,35 m không đạt; đồ án chọn đỉnh đập sau sửa chữa +78,85 m </w:t>
      </w:r>
      <w:r>
        <w:t xml:space="preserve">(cao hơn TKCS 0,10 m; là cao trình thiết kế sau lún, thi công cộng dự phòng lún 0,13 m ≥ 0,5%H).</w:t>
      </w:r>
    </w:p>
    <w:p>
      <w:pPr>
        <w:pStyle w:val="Bullet"/>
      </w:pPr>
      <w:r>
        <w:t xml:space="preserve">Tại mặt cắt lòng sông đại diện, với các tổ hợp và chỉ tiêu cơ lý đã nêu (một số chỉ tiêu cường độ lấy theo trị tiêu chuẩn do hồ sơ thiếu trị tính toán), thân, nền đập bảo đảm an toàn thấm</w:t>
      </w:r>
      <w:r>
        <w:t xml:space="preserve">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w:t>
      </w:r>
      <w:r>
        <w:t xml:space="preserve">tìm lại cung trượt bằng lưới lồng nhau và tối ưu hóa cho hệ số ổn định nhỏ hơn 0,12 ÷ 0,83%, phương pháp Spencer nhỏ hơn Bishop không quá 0,5% (riêng TH8: 2,7%); lời giải thấm hội tụ theo lưới (q thay đổi khoảng 0,24%, gradien cục bộ hội tụ về ≈ 1,09 &lt; 2,0); xét bất đẳng hướng k</w:t>
      </w:r>
      <w:r>
        <w:rPr>
          <w:vertAlign w:val="subscript"/>
        </w:rPr>
        <w:t xml:space="preserve">h</w:t>
      </w:r>
      <w:r>
        <w:t xml:space="preserve">/k</w:t>
      </w:r>
      <w:r>
        <w:rPr>
          <w:vertAlign w:val="subscript"/>
        </w:rPr>
        <w:t xml:space="preserve">v</w:t>
      </w:r>
      <w:r>
        <w:t xml:space="preserve"> = 5 hệ số ổn định giảm không quá 2,4% – vẫn đạt;</w:t>
      </w:r>
      <w:r>
        <w:t xml:space="preserve">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w:t>
      </w:r>
      <w:r>
        <w:t xml:space="preserve">từ ≈ 6,6 Pa xuống ≈ 1,8 ÷ 2,2 Pa (theo cạnh và đường chéo ô; 1,4 ÷ 2,7 Pa tùy cường độ mưa)</w:t>
      </w:r>
      <w:r>
        <w:t xml:space="preserve">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10,4 kPa trên mặt tiếp xúc với nền đá ([K] = 1,21 / 1,09 với γ</w:t>
      </w:r>
      <w:r>
        <w:rPr>
          <w:vertAlign w:val="subscript"/>
        </w:rPr>
        <w:t xml:space="preserve">c</w:t>
      </w:r>
      <w:r>
        <w:t xml:space="preserve"> = 0,95) – đồ án đề xuất neo D25 thụ động vào nền (lực kéo cần 48 ÷ 65 kN/thanh, không quá 38% khả năng thiết kế) – phương án có điều kiện, chốt sau thí nghiệm kéo nhổ và hồ sơ hoàn công.</w:t>
      </w:r>
      <w:r>
        <w:t xml:space="preserve"> Cống lấy nước bảo đảm lưu lượng 6,54 m</w:t>
      </w:r>
      <w:r>
        <w:rPr>
          <w:vertAlign w:val="superscript"/>
        </w:rPr>
        <w:t>3</w:t>
      </w:r>
      <w:r>
        <w:t xml:space="preserve">/s ở MNC; máy VĐ20 đủ lực khi ma sát gối trượt f ≤ 0,4 nhưng </w:t>
      </w:r>
      <w:r>
        <w:t xml:space="preserve">trục vít dài 6 m cần bổ sung hai giá đỡ dẫn hướng trung gian (đoạn L ≤ 2 m, μ = 1,0)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w:t>
      </w:r>
      <w:r>
        <w:t xml:space="preserve">cho cốt thép yêu cầu 8 ÷ 17 cm</w:t>
      </w:r>
      <w:r>
        <w:rPr>
          <w:vertAlign w:val="superscript"/>
        </w:rPr>
        <w:t xml:space="preserve">2</w:t>
      </w:r>
      <w:r>
        <w:t xml:space="preserve">/m</w:t>
      </w:r>
      <w:r>
        <w:t xml:space="preserve">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27,85% chiều dài khoan và 29,01% chiều dài phụt mà hiệu quả chỉ giảm khoảng 6 điểm phần trăm, với ba điều kiện kiểm tra được bằng phụt thí nghiệm, ép nước (mục 8.6);</w:t>
      </w:r>
      <w:r>
        <w:t xml:space="preserve">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Bullet"/>
      </w:pPr>
      <w:r>
        <w:t xml:space="preserve">Lượng mưa lưu vực sau khi công trình vận hành (2000 ÷ 2024) không có xu thế tăng có ý nghĩa thống kê (mưa năm −0,1%, mưa 1 ngày lớn nhất −4,1%) nhưng mưa cực trị phân tán hơn; lũ thiết kế cập nhật lớn hơn thiết kế năm 1996 khoảng 8 ÷ 9% và MNLTK hiện nay (+77,63 m) cao hơn MNLTK thiết kế ban đầu (+77,24 m) 0,39 m. Với tràn hiện trạng, khi lũ tăng 30% mực nước lũ thiết kế vẫn thấp hơn đỉnh đập (Z</w:t>
      </w:r>
      <w:r>
        <w:rPr>
          <w:vertAlign w:val="subscript"/>
        </w:rPr>
        <w:t xml:space="preserve">max</w:t>
      </w:r>
      <w:r>
        <w:t xml:space="preserve"> ≤ +78,45 m), nhưng dự trữ theo các điều kiện cao trình chỉ tương ứng mức tăng lũ khoảng 9 ÷ 12% (lũ kiểm tra chạm đỉnh đập +78,85 m; sóng gió Đông Bắc khi có lũ thiết kế chạm đỉnh tường +79,40 m); các giải pháp sửa chữa nâng mức an toàn của đập và công trình tháo lũ (Bảng 4.9, Bảng 5.7) chứ không làm tăng khả năng tháo.</w:t>
      </w:r>
    </w:p>
    <w:p>
      <w:pPr>
        <w:pStyle w:val="Heading2"/>
        <w:numPr>
          <w:ilvl w:val="0"/>
          <w:numId w:val="0"/>
        </w:numPr>
        <w:ind w:left="0" w:firstLine="0"/>
      </w:pPr>
      <w:bookmarkStart w:id="1030" w:name="_Toc1130"/>
      <w:r>
        <w:t>Kiến nghị</w:t>
      </w:r>
      <w:bookmarkEnd w:id="1030"/>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r>
        <w:t xml:space="preserve"> Đo quan hệ Q ~ Z của tràn chính khi có lũ lớn để xác định hệ số lưu lượng m (đỉnh +78,85 m chỉ đạt khi m ≥ 0,441); quan trắc lún mặt đập để kiểm chứng dự phòng lún; phân tích thành phần hóa học của nước hồ phục vụ kiểm tra khe nứt kết cấu BTCT (TCVN 4116:2023 mục 9.2).</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quy định xả trước theo dự báo mưa lớn (hạ hồ xuống khoảng +73,8 m trong 1 ÷ 2 ngày qua tràn sự cố) và cập nhật tính toán thủy văn định kỳ khoảng 5 năm (QCVN 04-05:2022 điều 2.3.2.2, 2.6.3.3); nếu lũ kiểm tra cập nhật tăng quá khoảng 9% thì cần nghiên cứu mở rộng tràn hoặc nâng đỉnh đập.</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w:t>
      </w:r>
      <w:r>
        <w:t xml:space="preserve">lún mặt đập vượt dự phòng lún 0,13 m</w:t>
      </w:r>
      <w:r>
        <w:t xml:space="preserve">).</w:t>
      </w:r>
    </w:p>
    <w:p>
      <w:pPr>
        <w:pStyle w:val="Heading1N"/>
        <w:pageBreakBefore/>
      </w:pPr>
      <w:bookmarkStart w:id="1031" w:name="_Toc1131"/>
      <w:r>
        <w:t>TÀI LIỆU THAM KHẢO</w:t>
      </w:r>
      <w:bookmarkEnd w:id="1031"/>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 xml:space="preserve">[31]</w:t>
            </w:r>
          </w:p>
        </w:tc>
        <w:tc>
          <w:tcPr>
            <w:tcW w:type="dxa" w:w="8391"/>
          </w:tcPr>
          <w:p>
            <w:pPr>
              <w:spacing w:after="80" w:line="276" w:lineRule="auto"/>
              <w:jc w:val="both"/>
            </w:pPr>
            <w:r>
              <w:t xml:space="preserve">Lê Thị Hải Yến, Ngô Lê An, Nguyễn Thị Thu Hà và Ngô Lê Long, “Đánh giá tác động của biến đổi khí hậu đến mưa lớn vùng Nam Trung Bộ và Tây Nguyên của Việt Nam theo các mô hình khí hậu toàn cầu khác nhau,” Tạp chí Khoa học Kỹ thuật Thủy lợi và Môi trường, số 57, 2017.</w:t>
            </w:r>
          </w:p>
        </w:tc>
      </w:tr>
      <w:tr>
        <w:tc>
          <w:tcPr>
            <w:tcW w:type="dxa" w:w="680"/>
          </w:tcPr>
          <w:p>
            <w:pPr>
              <w:spacing w:after="80" w:line="276" w:lineRule="auto"/>
            </w:pPr>
            <w:r>
              <w:t xml:space="preserve">[32]</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 xml:space="preserve">[33]</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 xml:space="preserve">[34]</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 xml:space="preserve">[35]</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 xml:space="preserve">[36]</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 xml:space="preserve">[37]</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 xml:space="preserve">[38]</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 xml:space="preserve">[39]</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 xml:space="preserve">[40]</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 xml:space="preserve">[41]</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 xml:space="preserve">[42]</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32" w:name="_Toc1132"/>
      <w:r>
        <w:t>PHỤ LỤC</w:t>
      </w:r>
      <w:bookmarkEnd w:id="1032"/>
    </w:p>
    <w:p>
      <w:pPr>
        <w:pStyle w:val="Heading2"/>
        <w:numPr>
          <w:ilvl w:val="0"/>
          <w:numId w:val="0"/>
        </w:numPr>
        <w:ind w:left="0" w:firstLine="0"/>
      </w:pPr>
      <w:bookmarkStart w:id="1033" w:name="_Toc1133"/>
      <w:r>
        <w:t>Phụ lục 1. Quan hệ đặc tính lòng hồ và khả năng tháo của công trình tháo lũ</w:t>
      </w:r>
      <w:bookmarkEnd w:id="1033"/>
    </w:p>
    <w:p>
      <w:pPr>
        <w:pStyle w:val="Chuthichbang"/>
        <w:keepNext/>
      </w:pPr>
      <w:bookmarkStart w:id="1122" w:name="_Toc3046"/>
      <w:r>
        <w:t xml:space="preserve">Bảng PL1 </w:t>
      </w:r>
      <w:r>
        <w:t>Quan hệ Z ~ F ~ W lòng hồ Cà Giây (đầy đủ)</w:t>
      </w:r>
      <w:bookmarkEnd w:id="1122"/>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23" w:name="_Toc3047"/>
      <w:r>
        <w:t xml:space="preserve">Bảng PL2 </w:t>
      </w:r>
      <w:r>
        <w:t>Quan hệ Z ~ Q xả của tràn chính và tràn sự cố (cửa van mở hoàn toàn)</w:t>
      </w:r>
      <w:bookmarkEnd w:id="1123"/>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34" w:name="_Toc1134"/>
      <w:r>
        <w:t>Phụ lục 2. Bảng tính điều tiết lũ theo thời gian</w:t>
      </w:r>
      <w:bookmarkEnd w:id="1034"/>
    </w:p>
    <w:p>
      <w:pPr>
        <w:pStyle w:val="Chuthichbang"/>
        <w:keepNext/>
      </w:pPr>
      <w:bookmarkStart w:id="1124" w:name="_Toc3048"/>
      <w:r>
        <w:t xml:space="preserve">Bảng PL3 </w:t>
      </w:r>
      <w:r>
        <w:t>Kết quả điều tiết lũ P = 1% (đường quá trình BCNCKT, vận hành bình thường)</w:t>
      </w:r>
      <w:bookmarkEnd w:id="1124"/>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25" w:name="_Toc3049"/>
      <w:r>
        <w:t xml:space="preserve">Bảng PL4 </w:t>
      </w:r>
      <w:r>
        <w:t>Kết quả điều tiết lũ P = 0,2% (đường quá trình BCNCKT, vận hành bình thường)</w:t>
      </w:r>
      <w:bookmarkEnd w:id="1125"/>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5" w:name="_Toc1135"/>
      <w:r>
        <w:t>Phụ lục 3. Kết quả tính ổn định mái đập sau sửa chữa</w:t>
      </w:r>
      <w:bookmarkEnd w:id="1035"/>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64" w:name="_Toc2024"/>
      <w:r>
        <w:t xml:space="preserve">Hình PL1 </w:t>
      </w:r>
      <w:r>
        <w:t xml:space="preserve">Cung trượt nguy hiểm – TH1: MNDBT, thấm ổn định </w:t>
      </w:r>
      <w:r>
        <w:t xml:space="preserve">(K</w:t>
      </w:r>
      <w:r>
        <w:rPr>
          <w:vertAlign w:val="subscript"/>
        </w:rPr>
        <w:t xml:space="preserve">min</w:t>
      </w:r>
      <w:r>
        <w:t xml:space="preserve"> = 1,647)</w:t>
      </w:r>
      <w:bookmarkEnd w:id="1064"/>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65" w:name="_Toc2025"/>
      <w:r>
        <w:t xml:space="preserve">Hình PL2 </w:t>
      </w:r>
      <w:r>
        <w:t xml:space="preserve">Cung trượt nguy hiểm – TH2: MNLTK, thấm ổn định </w:t>
      </w:r>
      <w:r>
        <w:t xml:space="preserve">(K</w:t>
      </w:r>
      <w:r>
        <w:rPr>
          <w:vertAlign w:val="subscript"/>
        </w:rPr>
        <w:t xml:space="preserve">min</w:t>
      </w:r>
      <w:r>
        <w:t xml:space="preserve"> = 1,629)</w:t>
      </w:r>
      <w:bookmarkEnd w:id="1065"/>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66" w:name="_Toc2026"/>
      <w:r>
        <w:t xml:space="preserve">Hình PL3 </w:t>
      </w:r>
      <w:r>
        <w:t xml:space="preserve">Cung trượt nguy hiểm – TH3: MNLKT, thấm ổn định </w:t>
      </w:r>
      <w:r>
        <w:t xml:space="preserve">(K</w:t>
      </w:r>
      <w:r>
        <w:rPr>
          <w:vertAlign w:val="subscript"/>
        </w:rPr>
        <w:t xml:space="preserve">min</w:t>
      </w:r>
      <w:r>
        <w:t xml:space="preserve"> = 1,621)</w:t>
      </w:r>
      <w:bookmarkEnd w:id="1066"/>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67" w:name="_Toc2027"/>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67"/>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8" w:name="_Toc2028"/>
      <w:r>
        <w:t xml:space="preserve">Hình PL5 </w:t>
      </w:r>
      <w:r>
        <w:t xml:space="preserve">Cung trượt nguy hiểm – TH6: MNDBT + mưa kéo dài </w:t>
      </w:r>
      <w:r>
        <w:t xml:space="preserve">(K</w:t>
      </w:r>
      <w:r>
        <w:rPr>
          <w:vertAlign w:val="subscript"/>
        </w:rPr>
        <w:t xml:space="preserve">min</w:t>
      </w:r>
      <w:r>
        <w:t xml:space="preserve"> = 1,646)</w:t>
      </w:r>
      <w:bookmarkEnd w:id="1068"/>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9" w:name="_Toc2029"/>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9"/>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70" w:name="_Toc2030"/>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70"/>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71" w:name="_Toc2031"/>
      <w:r>
        <w:t xml:space="preserve">Hình PL8 </w:t>
      </w:r>
      <w:r>
        <w:t xml:space="preserve">Cung trượt nguy hiểm – TH10: MNDBT + động đất (mái TL) </w:t>
      </w:r>
      <w:r>
        <w:t xml:space="preserve">(K</w:t>
      </w:r>
      <w:r>
        <w:rPr>
          <w:vertAlign w:val="subscript"/>
        </w:rPr>
        <w:t xml:space="preserve">min</w:t>
      </w:r>
      <w:r>
        <w:t xml:space="preserve"> = 1,733)</w:t>
      </w:r>
      <w:bookmarkEnd w:id="1071"/>
    </w:p>
    <w:p>
      <w:pPr>
        <w:pStyle w:val="Heading2"/>
        <w:numPr>
          <w:ilvl w:val="0"/>
          <w:numId w:val="0"/>
        </w:numPr>
        <w:ind w:left="0" w:firstLine="0"/>
      </w:pPr>
      <w:bookmarkStart w:id="1036" w:name="_Toc1136"/>
      <w:r>
        <w:t>Phụ lục 4. Kết quả tính thấm bổ sung</w:t>
      </w:r>
      <w:bookmarkEnd w:id="1036"/>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72" w:name="_Toc2032"/>
      <w:r>
        <w:t xml:space="preserve">Hình PL9 </w:t>
      </w:r>
      <w:r>
        <w:t>Lưới thấm sau sửa chữa – MNDBT</w:t>
      </w:r>
      <w:bookmarkEnd w:id="1072"/>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73" w:name="_Toc2033"/>
      <w:r>
        <w:t xml:space="preserve">Hình PL10 </w:t>
      </w:r>
      <w:r>
        <w:t>Lưới thấm sau sửa chữa – MNLTK</w:t>
      </w:r>
      <w:bookmarkEnd w:id="1073"/>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74" w:name="_Toc2034"/>
      <w:r>
        <w:t xml:space="preserve">Hình PL11 </w:t>
      </w:r>
      <w:r>
        <w:t>Mang trái tràn sự cố chưa có màng – MNDBT</w:t>
      </w:r>
      <w:bookmarkEnd w:id="1074"/>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75" w:name="_Toc2035"/>
      <w:r>
        <w:t xml:space="preserve">Hình PL12 </w:t>
      </w:r>
      <w:r>
        <w:t>Mang trái tràn sự cố có màng thiết kế – MNDBT</w:t>
      </w:r>
      <w:bookmarkEnd w:id="1075"/>
    </w:p>
    <w:p>
      <w:pPr>
        <w:pStyle w:val="Heading2"/>
        <w:numPr>
          <w:ilvl w:val="0"/>
          <w:numId w:val="0"/>
        </w:numPr>
        <w:ind w:left="0" w:firstLine="0"/>
      </w:pPr>
      <w:bookmarkStart w:id="1037" w:name="_Toc1137"/>
      <w:r>
        <w:t>Phụ lục 5. Chương trình tính toán của đồ án</w:t>
      </w:r>
      <w:bookmarkEnd w:id="1037"/>
    </w:p>
    <w:p>
      <w:pPr>
        <w:pStyle w:val="Chuthichbang"/>
        <w:keepNext/>
      </w:pPr>
      <w:bookmarkStart w:id="1126" w:name="_Toc3050"/>
      <w:r>
        <w:t xml:space="preserve">Bảng PL5 </w:t>
      </w:r>
      <w:r>
        <w:t>Danh mục chương trình tính toán (ngôn ngữ Python 3)</w:t>
      </w:r>
      <w:bookmarkEnd w:id="1126"/>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 xml:space="preserve">Tính sóng, sóng leo, nước dềnh và cao trình đỉnh đập theo TCVN 8216:2018, TCVN 8421:2010 (quy đổi gió A.3.3, hệ số k</w:t>
            </w:r>
            <w:r>
              <w:rPr>
                <w:sz w:val="20"/>
                <w:vertAlign w:val="subscript"/>
              </w:rPr>
              <w:t xml:space="preserve">α</w:t>
            </w:r>
            <w:r>
              <w:rPr>
                <w:sz w:val="20"/>
              </w:rPr>
              <w:t xml:space="preserve"> Bảng 9)</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cap</w:t>
            </w:r>
            <w:r>
              <w:rPr>
                <w:sz w:val="20"/>
              </w:rPr>
              <w:t xml:space="preserve">_</w:t>
            </w:r>
            <w:r>
              <w:rPr>
                <w:sz w:val="20"/>
              </w:rPr>
              <w:t xml:space="preserve">nuoc</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Mức bảo đảm theo từng mục tiêu (TCVN 10778:2024 mục 8.2.2.2), số tháng mực nước dưới +67,94 m (mục 2.2.3, 6.3)</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mua</w:t>
            </w:r>
            <w:r>
              <w:rPr>
                <w:sz w:val="20"/>
              </w:rPr>
              <w:t xml:space="preserve">_</w:t>
            </w:r>
            <w:r>
              <w:rPr>
                <w:sz w:val="20"/>
              </w:rPr>
              <w:t xml:space="preserve">lu</w:t>
            </w:r>
            <w:r>
              <w:rPr>
                <w:sz w:val="20"/>
              </w:rPr>
              <w:t xml:space="preserve">_</w:t>
            </w:r>
            <w:r>
              <w:rPr>
                <w:sz w:val="20"/>
              </w:rPr>
              <w:t xml:space="preserve">bien</w:t>
            </w:r>
            <w:r>
              <w:rPr>
                <w:sz w:val="20"/>
              </w:rPr>
              <w:t xml:space="preserve">_</w:t>
            </w:r>
            <w:r>
              <w:rPr>
                <w:sz w:val="20"/>
              </w:rPr>
              <w:t xml:space="preserve">doi.py</w:t>
            </w:r>
          </w:p>
        </w:tc>
        <w:tc>
          <w:tcPr>
            <w:tcW w:type="dxa" w:w="6009"/>
          </w:tcPr>
          <w:p>
            <w:pPr>
              <w:spacing w:before="20" w:after="20" w:line="240" w:lineRule="auto"/>
              <w:jc w:val="left"/>
            </w:pPr>
            <w:r>
              <w:rPr>
                <w:sz w:val="20"/>
              </w:rPr>
              <w:t xml:space="preserve">Biến động mưa từ 2000 (Mann – Kendall, Sen, Welch), điều tiết lũ khi lũ tăng, mức tăng giới hạn, mực nước đón lũ (mục 4.6)</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bo</w:t>
            </w:r>
            <w:r>
              <w:rPr>
                <w:sz w:val="20"/>
              </w:rPr>
              <w:t xml:space="preserve">_</w:t>
            </w:r>
            <w:r>
              <w:rPr>
                <w:sz w:val="20"/>
              </w:rPr>
              <w:t xml:space="preserve">sung</w:t>
            </w:r>
            <w:r>
              <w:rPr>
                <w:sz w:val="20"/>
              </w:rPr>
              <w:t xml:space="preserve">_</w:t>
            </w:r>
            <w:r>
              <w:rPr>
                <w:sz w:val="20"/>
              </w:rPr>
              <w:t xml:space="preserve">ket</w:t>
            </w:r>
            <w:r>
              <w:rPr>
                <w:sz w:val="20"/>
              </w:rPr>
              <w:t xml:space="preserve">_</w:t>
            </w:r>
            <w:r>
              <w:rPr>
                <w:sz w:val="20"/>
              </w:rPr>
              <w:t xml:space="preserve">cau.py</w:t>
            </w:r>
          </w:p>
        </w:tc>
        <w:tc>
          <w:tcPr>
            <w:tcW w:type="dxa" w:w="6009"/>
          </w:tcPr>
          <w:p>
            <w:pPr>
              <w:spacing w:before="20" w:after="20" w:line="240" w:lineRule="auto"/>
              <w:jc w:val="left"/>
            </w:pPr>
            <w:r>
              <w:rPr>
                <w:sz w:val="20"/>
              </w:rPr>
              <w:t xml:space="preserve">Ổn định trục vít theo sơ đồ gối, neo ngưỡng (phía bê tông, nhổ khối đá), ứng suất tiếp theo đường chéo ô rãnh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kiem</w:t>
            </w:r>
            <w:r>
              <w:rPr>
                <w:sz w:val="20"/>
              </w:rPr>
              <w:t xml:space="preserve">_</w:t>
            </w:r>
            <w:r>
              <w:rPr>
                <w:sz w:val="20"/>
              </w:rPr>
              <w:t xml:space="preserve">chung</w:t>
            </w:r>
            <w:r>
              <w:rPr>
                <w:sz w:val="20"/>
              </w:rPr>
              <w:t xml:space="preserve">_</w:t>
            </w:r>
            <w:r>
              <w:rPr>
                <w:sz w:val="20"/>
              </w:rPr>
              <w:t xml:space="preserve">12</w:t>
            </w:r>
            <w:r>
              <w:rPr>
                <w:sz w:val="20"/>
              </w:rPr>
              <w:t xml:space="preserve">_</w:t>
            </w:r>
            <w:r>
              <w:rPr>
                <w:sz w:val="20"/>
              </w:rPr>
              <w:t xml:space="preserve">10.py</w:t>
            </w:r>
          </w:p>
        </w:tc>
        <w:tc>
          <w:tcPr>
            <w:tcW w:type="dxa" w:w="6009"/>
          </w:tcPr>
          <w:p>
            <w:pPr>
              <w:spacing w:before="20" w:after="20" w:line="240" w:lineRule="auto"/>
              <w:jc w:val="left"/>
            </w:pPr>
            <w:r>
              <w:rPr>
                <w:sz w:val="20"/>
              </w:rPr>
              <w:t xml:space="preserve">Gradien lớn nhất và vị trí, bất đẳng hướng k</w:t>
            </w:r>
            <w:r>
              <w:rPr>
                <w:sz w:val="20"/>
                <w:vertAlign w:val="subscript"/>
              </w:rPr>
              <w:t xml:space="preserve">h</w:t>
            </w:r>
            <w:r>
              <w:rPr>
                <w:sz w:val="20"/>
              </w:rPr>
              <w:t xml:space="preserve">/k</w:t>
            </w:r>
            <w:r>
              <w:rPr>
                <w:sz w:val="20"/>
                <w:vertAlign w:val="subscript"/>
              </w:rPr>
              <w:t xml:space="preserve">v</w:t>
            </w:r>
            <w:r>
              <w:rPr>
                <w:sz w:val="20"/>
              </w:rPr>
              <w:t xml:space="preserve"> = 5, tìm lại cung trượt (miền mở rộng, lưới lồng nhau, Nelder – Mead, Spencer) – Bảng PL10, PL11</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8" w:name="_Toc1138"/>
      <w:r>
        <w:t xml:space="preserve">Phụ lục 6. Kiểm chứng chương trình tính và phân tích độ nhạy</w:t>
      </w:r>
      <w:bookmarkEnd w:id="1038"/>
    </w:p>
    <w:p>
      <w:pPr>
        <w:pStyle w:val="Content"/>
        <w:spacing w:before="60"/>
      </w:pPr>
      <w:r>
        <w:t xml:space="preserve">Phụ lục này tổng hợp kết quả kiểm chứng các chương trình tính </w:t>
      </w:r>
      <w:r>
        <w:t xml:space="preserve">(Bảng PL6, Bảng PL11) và phân tích độ nhạy các giả thiết (Bảng PL7 ÷ Bảng PL10).</w:t>
      </w:r>
      <w:r>
        <w:t xml:space="preserve"> Phương pháp Spencer [23] dùng để kiểm tra chéo Bishop vì thỏa mãn đồng thời cân bằng lực và mô men; gia tốc nền tham chiếu cần đối chiếu theo QCVN 02:2022/BXD [13].</w:t>
      </w:r>
    </w:p>
    <w:p>
      <w:pPr>
        <w:pStyle w:val="Chuthichbang"/>
        <w:keepNext/>
      </w:pPr>
      <w:bookmarkStart w:id="1127" w:name="_Toc3051"/>
      <w:r>
        <w:t xml:space="preserve">Bảng PL6 </w:t>
      </w:r>
      <w:r>
        <w:t xml:space="preserve">Kiểm chứng kết quả tính toán của đồ án</w:t>
      </w:r>
      <w:bookmarkEnd w:id="1127"/>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trên cung trượt tìm lại (sau SC, TH1 ÷ TH10)</w:t>
            </w:r>
          </w:p>
        </w:tc>
        <w:tc>
          <w:tcPr>
            <w:tcW w:type="dxa" w:w="1701"/>
          </w:tcPr>
          <w:p>
            <w:pPr>
              <w:spacing w:before="20" w:after="20" w:line="240" w:lineRule="auto"/>
              <w:jc w:val="center"/>
            </w:pPr>
            <w:r>
              <w:rPr>
                <w:sz w:val="19"/>
              </w:rPr>
              <w:t xml:space="preserve">1,640; 1,617; 1,607; 1,491; 1,347; 1,640; 2,283; 1,489; 2,054; 1,724</w:t>
            </w:r>
          </w:p>
        </w:tc>
        <w:tc>
          <w:tcPr>
            <w:tcW w:type="dxa" w:w="2041"/>
          </w:tcPr>
          <w:p>
            <w:pPr>
              <w:spacing w:before="20" w:after="20" w:line="240" w:lineRule="auto"/>
              <w:jc w:val="center"/>
            </w:pPr>
            <w:r>
              <w:rPr>
                <w:sz w:val="19"/>
              </w:rPr>
              <w:t xml:space="preserve">1,636; 1,614; 1,604; 1,489; 1,346; 1,636; 2,279; 1,449; 2,045; 1,723</w:t>
            </w:r>
          </w:p>
        </w:tc>
        <w:tc>
          <w:tcPr>
            <w:tcW w:type="dxa" w:w="1077"/>
          </w:tcPr>
          <w:p>
            <w:pPr>
              <w:spacing w:before="20" w:after="20" w:line="240" w:lineRule="auto"/>
              <w:jc w:val="center"/>
            </w:pPr>
            <w:r>
              <w:rPr>
                <w:sz w:val="19"/>
              </w:rPr>
              <w:t xml:space="preserve">≤ 0,5%; TH8: 2,7%</w:t>
            </w:r>
          </w:p>
        </w:tc>
        <w:tc>
          <w:tcPr>
            <w:tcW w:type="dxa" w:w="1531"/>
          </w:tcPr>
          <w:p>
            <w:pPr>
              <w:spacing w:before="20" w:after="20" w:line="240" w:lineRule="auto"/>
              <w:jc w:val="left"/>
            </w:pPr>
            <w:r>
              <w:rPr>
                <w:sz w:val="19"/>
              </w:rPr>
              <w:t xml:space="preserve">Spencer [23]; TH8 vẫn &gt; [K] = 1,30</w:t>
            </w:r>
          </w:p>
        </w:tc>
      </w:tr>
      <w:tr>
        <w:trPr>
          <w:cantSplit w:val="true"/>
        </w:trPr>
        <w:tc>
          <w:tcPr>
            <w:tcW w:type="dxa" w:w="2722"/>
          </w:tcPr>
          <w:p>
            <w:pPr>
              <w:spacing w:before="20" w:after="20" w:line="240" w:lineRule="auto"/>
              <w:jc w:val="left"/>
            </w:pPr>
            <w:r>
              <w:rPr>
                <w:sz w:val="19"/>
              </w:rPr>
              <w:t xml:space="preserve">Tìm lại cung trượt: miền mở rộng (đáy cung tới +36 m), lưới lồng nhau, Nelder – Mead (10 điểm xuất phát)</w:t>
            </w:r>
          </w:p>
        </w:tc>
        <w:tc>
          <w:tcPr>
            <w:tcW w:type="dxa" w:w="1701"/>
          </w:tcPr>
          <w:p>
            <w:pPr>
              <w:spacing w:before="20" w:after="20" w:line="240" w:lineRule="auto"/>
              <w:jc w:val="center"/>
            </w:pPr>
            <w:r>
              <w:rPr>
                <w:sz w:val="19"/>
              </w:rPr>
              <w:t xml:space="preserve">K Bảng 5.2</w:t>
            </w:r>
          </w:p>
        </w:tc>
        <w:tc>
          <w:tcPr>
            <w:tcW w:type="dxa" w:w="2041"/>
          </w:tcPr>
          <w:p>
            <w:pPr>
              <w:spacing w:before="20" w:after="20" w:line="240" w:lineRule="auto"/>
              <w:jc w:val="center"/>
            </w:pPr>
            <w:r>
              <w:rPr>
                <w:sz w:val="19"/>
              </w:rPr>
              <w:t xml:space="preserve">K nhỏ nhất tìm lại (Bảng PL11)</w:t>
            </w:r>
          </w:p>
        </w:tc>
        <w:tc>
          <w:tcPr>
            <w:tcW w:type="dxa" w:w="1077"/>
          </w:tcPr>
          <w:p>
            <w:pPr>
              <w:spacing w:before="20" w:after="20" w:line="240" w:lineRule="auto"/>
              <w:jc w:val="center"/>
            </w:pPr>
            <w:r>
              <w:rPr>
                <w:sz w:val="19"/>
              </w:rPr>
              <w:t xml:space="preserve">giảm 0,12 ÷ 0,83%</w:t>
            </w:r>
          </w:p>
        </w:tc>
        <w:tc>
          <w:tcPr>
            <w:tcW w:type="dxa" w:w="1531"/>
          </w:tcPr>
          <w:p>
            <w:pPr>
              <w:spacing w:before="20" w:after="20" w:line="240" w:lineRule="auto"/>
              <w:jc w:val="left"/>
            </w:pPr>
            <w:r>
              <w:rPr>
                <w:sz w:val="19"/>
              </w:rPr>
              <w:t xml:space="preserve">Mọi trường hợp vẫn ≥ [K]</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0,24% (&lt; 0,3%)</w:t>
            </w:r>
          </w:p>
        </w:tc>
        <w:tc>
          <w:tcPr>
            <w:tcW w:type="dxa" w:w="1531"/>
          </w:tcPr>
          <w:p>
            <w:pPr>
              <w:spacing w:before="20" w:after="20" w:line="240" w:lineRule="auto"/>
              <w:jc w:val="left"/>
            </w:pPr>
            <w:r>
              <w:rPr>
                <w:sz w:val="19"/>
              </w:rPr>
              <w:t xml:space="preserve">Bảng PL8; J tiếp xúc 95% thay đổi 0,94 ÷ 1,09</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28" w:name="_Toc3052"/>
      <w:r>
        <w:t xml:space="preserve">Bảng PL7 </w:t>
      </w:r>
      <w:r>
        <w:t xml:space="preserve">Phân tích độ nhạy các giả thiết tính toán</w:t>
      </w:r>
      <w:bookmarkEnd w:id="1128"/>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 0,40 (riêng tràn chính)</w:t>
            </w:r>
          </w:p>
        </w:tc>
        <w:tc>
          <w:tcPr>
            <w:tcW w:type="dxa" w:w="2948"/>
          </w:tcPr>
          <w:p>
            <w:pPr>
              <w:spacing w:before="20" w:after="20" w:line="240" w:lineRule="auto"/>
              <w:jc w:val="left"/>
            </w:pPr>
            <w:r>
              <w:rPr>
                <w:sz w:val="19"/>
              </w:rPr>
              <w:t xml:space="preserve">MNLKT +78,49 / +78,62 m</w:t>
            </w:r>
          </w:p>
        </w:tc>
        <w:tc>
          <w:tcPr>
            <w:tcW w:type="dxa" w:w="1814"/>
          </w:tcPr>
          <w:p>
            <w:pPr>
              <w:spacing w:before="20" w:after="20" w:line="240" w:lineRule="auto"/>
              <w:jc w:val="left"/>
            </w:pPr>
            <w:r>
              <w:rPr>
                <w:sz w:val="19"/>
              </w:rPr>
              <w:t xml:space="preserve">Đỉnh +78,85 m đạt khi m ≥ 0,441</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 V</w:t>
            </w:r>
            <w:r>
              <w:rPr>
                <w:sz w:val="19"/>
                <w:vertAlign w:val="subscript"/>
              </w:rPr>
              <w:t xml:space="preserve">w</w:t>
            </w:r>
            <w:r>
              <w:rPr>
                <w:sz w:val="19"/>
              </w:rPr>
              <w:t xml:space="preserve"> = k</w:t>
            </w:r>
            <w:r>
              <w:rPr>
                <w:sz w:val="19"/>
                <w:vertAlign w:val="subscript"/>
              </w:rPr>
              <w:t xml:space="preserve">l</w:t>
            </w:r>
            <w:r>
              <w:rPr>
                <w:sz w:val="19"/>
              </w:rPr>
              <w:t xml:space="preserve">·V</w:t>
            </w:r>
            <w:r>
              <w:rPr>
                <w:sz w:val="19"/>
                <w:vertAlign w:val="subscript"/>
              </w:rPr>
              <w:t xml:space="preserve">l</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+79,07 m (NE); +78,66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Bất đẳng hướng thấm k</w:t>
            </w:r>
            <w:r>
              <w:rPr>
                <w:sz w:val="19"/>
                <w:vertAlign w:val="subscript"/>
              </w:rPr>
              <w:t xml:space="preserve">h</w:t>
            </w:r>
            <w:r>
              <w:rPr>
                <w:sz w:val="19"/>
              </w:rPr>
              <w:t xml:space="preserve">/k</w:t>
            </w:r>
            <w:r>
              <w:rPr>
                <w:sz w:val="19"/>
                <w:vertAlign w:val="subscript"/>
              </w:rPr>
              <w:t xml:space="preserve">v</w:t>
            </w:r>
            <w:r>
              <w:rPr>
                <w:sz w:val="19"/>
              </w:rPr>
              <w:t xml:space="preserve"> (1)</w:t>
            </w:r>
          </w:p>
        </w:tc>
        <w:tc>
          <w:tcPr>
            <w:tcW w:type="dxa" w:w="1814"/>
          </w:tcPr>
          <w:p>
            <w:pPr>
              <w:spacing w:before="20" w:after="20" w:line="240" w:lineRule="auto"/>
              <w:jc w:val="left"/>
            </w:pPr>
            <w:r>
              <w:rPr>
                <w:sz w:val="19"/>
              </w:rPr>
              <w:t xml:space="preserve">5 (TCVN 8216:2018, 11.2.2)</w:t>
            </w:r>
          </w:p>
        </w:tc>
        <w:tc>
          <w:tcPr>
            <w:tcW w:type="dxa" w:w="2948"/>
          </w:tcPr>
          <w:p>
            <w:pPr>
              <w:spacing w:before="20" w:after="20" w:line="240" w:lineRule="auto"/>
              <w:jc w:val="left"/>
            </w:pPr>
            <w:r>
              <w:rPr>
                <w:sz w:val="19"/>
              </w:rPr>
              <w:t xml:space="preserve">q tăng 44 ÷ 61%; K giảm ≤ 2,4% (Bảng PL10)</w:t>
            </w:r>
          </w:p>
        </w:tc>
        <w:tc>
          <w:tcPr>
            <w:tcW w:type="dxa" w:w="1814"/>
          </w:tcPr>
          <w:p>
            <w:pPr>
              <w:spacing w:before="20" w:after="20" w:line="240" w:lineRule="auto"/>
              <w:jc w:val="left"/>
            </w:pPr>
            <w:r>
              <w:rPr>
                <w:sz w:val="19"/>
              </w:rPr>
              <w:t xml:space="preserve">Vẫn đạt</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(ô 4 × 4 m, L = 4 ÷ 5,66 m) 1,4 ÷ 2,7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r>
        <w:trPr>
          <w:cantSplit w:val="true"/>
        </w:trPr>
        <w:tc>
          <w:tcPr>
            <w:tcW w:type="dxa" w:w="2495"/>
          </w:tcPr>
          <w:p>
            <w:pPr>
              <w:spacing w:before="20" w:after="20" w:line="240" w:lineRule="auto"/>
              <w:jc w:val="left"/>
            </w:pPr>
            <w:r>
              <w:rPr>
                <w:sz w:val="19"/>
              </w:rPr>
              <w:t xml:space="preserve">Lũ đến tăng k (0)</w:t>
            </w:r>
          </w:p>
        </w:tc>
        <w:tc>
          <w:tcPr>
            <w:tcW w:type="dxa" w:w="1814"/>
          </w:tcPr>
          <w:p>
            <w:pPr>
              <w:spacing w:before="20" w:after="20" w:line="240" w:lineRule="auto"/>
              <w:jc w:val="left"/>
            </w:pPr>
            <w:r>
              <w:rPr>
                <w:sz w:val="19"/>
              </w:rPr>
              <w:t xml:space="preserve">10 ÷ 30%</w:t>
            </w:r>
          </w:p>
        </w:tc>
        <w:tc>
          <w:tcPr>
            <w:tcW w:type="dxa" w:w="2948"/>
          </w:tcPr>
          <w:p>
            <w:pPr>
              <w:spacing w:before="20" w:after="20" w:line="240" w:lineRule="auto"/>
              <w:jc w:val="left"/>
            </w:pPr>
            <w:r>
              <w:rPr>
                <w:sz w:val="19"/>
              </w:rPr>
              <w:t xml:space="preserve">Z</w:t>
            </w:r>
            <w:r>
              <w:rPr>
                <w:sz w:val="19"/>
                <w:vertAlign w:val="subscript"/>
              </w:rPr>
              <w:t xml:space="preserve">max</w:t>
            </w:r>
            <w:r>
              <w:rPr>
                <w:sz w:val="19"/>
              </w:rPr>
              <w:t xml:space="preserve"> P = 0,2%: +78,89 ÷ +79,56 m (BCNCKT)</w:t>
            </w:r>
          </w:p>
        </w:tc>
        <w:tc>
          <w:tcPr>
            <w:tcW w:type="dxa" w:w="1814"/>
          </w:tcPr>
          <w:p>
            <w:pPr>
              <w:spacing w:before="20" w:after="20" w:line="240" w:lineRule="auto"/>
              <w:jc w:val="left"/>
            </w:pPr>
            <w:r>
              <w:rPr>
                <w:sz w:val="19"/>
              </w:rPr>
              <w:t xml:space="preserve">Vượt đỉnh đập khi k &gt; 9% (mục 4.6)</w:t>
            </w:r>
          </w:p>
        </w:tc>
      </w:tr>
    </w:tbl>
    <w:p>
      <w:pPr>
        <w:spacing w:after="40"/>
      </w:pPr>
    </w:p>
    <w:p>
      <w:pPr>
        <w:pStyle w:val="Chuthichbang"/>
        <w:keepNext/>
      </w:pPr>
      <w:bookmarkStart w:id="1129" w:name="_Toc3053"/>
      <w:r>
        <w:t xml:space="preserve">Bảng PL8 </w:t>
      </w:r>
      <w:r>
        <w:t xml:space="preserve">Kiểm tra hội tụ lưới và độ nhạy tham số α (MNLKT, mặt cắt sau sửa chữa)</w:t>
      </w:r>
      <w:bookmarkEnd w:id="1129"/>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30" w:name="_Toc3054"/>
      <w:r>
        <w:t xml:space="preserve">Bảng PL9 </w:t>
      </w:r>
      <w:r>
        <w:t xml:space="preserve">Hệ số ổn định mái đập sau sửa chữa theo hệ số động đất k</w:t>
      </w:r>
      <w:r>
        <w:rPr>
          <w:vertAlign w:val="subscript"/>
        </w:rPr>
        <w:t xml:space="preserve">h</w:t>
      </w:r>
      <w:r>
        <w:t xml:space="preserve"> (MNDBT)</w:t>
      </w:r>
      <w:bookmarkEnd w:id="1130"/>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pStyle w:val="Chuthichbang"/>
        <w:keepNext/>
      </w:pPr>
      <w:bookmarkStart w:id="1131" w:name="_Toc3055"/>
      <w:r>
        <w:t xml:space="preserve">Bảng PL10 </w:t>
      </w:r>
      <w:r>
        <w:t xml:space="preserve">Ảnh hưởng của bất đẳng hướng thấm k</w:t>
      </w:r>
      <w:r>
        <w:rPr>
          <w:vertAlign w:val="subscript"/>
        </w:rPr>
        <w:t xml:space="preserve">h</w:t>
      </w:r>
      <w:r>
        <w:t xml:space="preserve">/k</w:t>
      </w:r>
      <w:r>
        <w:rPr>
          <w:vertAlign w:val="subscript"/>
        </w:rPr>
        <w:t xml:space="preserve">v</w:t>
      </w:r>
      <w:r>
        <w:t xml:space="preserve"> = 5 (giá trị k</w:t>
      </w:r>
      <w:r>
        <w:rPr>
          <w:vertAlign w:val="subscript"/>
        </w:rPr>
        <w:t xml:space="preserve">h</w:t>
      </w:r>
      <w:r>
        <w:t xml:space="preserve">/k</w:t>
      </w:r>
      <w:r>
        <w:rPr>
          <w:vertAlign w:val="subscript"/>
        </w:rPr>
        <w:t xml:space="preserve">v</w:t>
      </w:r>
      <w:r>
        <w:t xml:space="preserve"> = 1 / = 5)</w:t>
      </w:r>
      <w:bookmarkEnd w:id="1131"/>
    </w:p>
    <w:tbl>
      <w:tblPr>
        <w:tblStyle w:val="TableGrid"/>
        <w:tblW w:type="auto" w:w="0"/>
        <w:jc w:val="center"/>
        <w:tblLayout w:type="fixed"/>
        <w:tblLook w:firstColumn="1" w:firstRow="1" w:lastColumn="0" w:lastRow="0" w:noHBand="0" w:noVBand="1" w:val="04A0"/>
      </w:tblPr>
      <w:tblGrid>
        <w:gridCol w:w="2700"/>
        <w:gridCol w:w="1700"/>
        <w:gridCol w:w="1700"/>
        <w:gridCol w:w="1450"/>
        <w:gridCol w:w="1450"/>
      </w:tblGrid>
      <w:tr>
        <w:trPr>
          <w:tblHeader w:val="true"/>
          <w:cantSplit w:val="true"/>
        </w:trPr>
        <w:tc>
          <w:tcPr>
            <w:tcW w:type="dxa" w:w="2700"/>
            <w:shd w:val="clear" w:color="auto" w:fill="F2F2F2"/>
          </w:tcPr>
          <w:p>
            <w:pPr>
              <w:spacing w:before="20" w:after="20" w:line="240" w:lineRule="auto"/>
              <w:jc w:val="center"/>
            </w:pPr>
            <w:r>
              <w:rPr>
                <w:b/>
                <w:sz w:val="20"/>
              </w:rPr>
              <w:t xml:space="preserve">Trường hợp</w:t>
            </w:r>
          </w:p>
        </w:tc>
        <w:tc>
          <w:tcPr>
            <w:tcW w:type="dxa" w:w="1700"/>
            <w:shd w:val="clear" w:color="auto" w:fill="F2F2F2"/>
          </w:tcPr>
          <w:p>
            <w:pPr>
              <w:spacing w:before="20" w:after="20" w:line="240" w:lineRule="auto"/>
              <w:jc w:val="center"/>
            </w:pPr>
            <w:r>
              <w:rPr>
                <w:b/>
                <w:sz w:val="20"/>
              </w:rPr>
              <w:t xml:space="preserve">q (10</w:t>
            </w:r>
            <w:r>
              <w:rPr>
                <w:b/>
                <w:sz w:val="20"/>
                <w:vertAlign w:val="superscript"/>
              </w:rPr>
              <w:t xml:space="preserve">-6</w:t>
            </w:r>
            <w:r>
              <w:rPr>
                <w:b/>
                <w:sz w:val="20"/>
              </w:rPr>
              <w:t xml:space="preserve"> m</w:t>
            </w:r>
            <w:r>
              <w:rPr>
                <w:b/>
                <w:sz w:val="20"/>
                <w:vertAlign w:val="superscript"/>
              </w:rPr>
              <w:t xml:space="preserve">3</w:t>
            </w:r>
            <w:r>
              <w:rPr>
                <w:b/>
                <w:sz w:val="20"/>
              </w:rPr>
              <w:t xml:space="preserve">/s/m)</w:t>
            </w:r>
          </w:p>
        </w:tc>
        <w:tc>
          <w:tcPr>
            <w:tcW w:type="dxa" w:w="1700"/>
            <w:shd w:val="clear" w:color="auto" w:fill="F2F2F2"/>
          </w:tcPr>
          <w:p>
            <w:pPr>
              <w:spacing w:before="20" w:after="20" w:line="240" w:lineRule="auto"/>
              <w:jc w:val="center"/>
            </w:pPr>
            <w:r>
              <w:rPr>
                <w:b/>
                <w:sz w:val="20"/>
              </w:rPr>
              <w:t xml:space="preserve">Z bão hòa tại tim (m)</w:t>
            </w:r>
          </w:p>
        </w:tc>
        <w:tc>
          <w:tcPr>
            <w:tcW w:type="dxa" w:w="1450"/>
            <w:shd w:val="clear" w:color="auto" w:fill="F2F2F2"/>
          </w:tcPr>
          <w:p>
            <w:pPr>
              <w:spacing w:before="20" w:after="20" w:line="240" w:lineRule="auto"/>
              <w:jc w:val="center"/>
            </w:pPr>
            <w:r>
              <w:rPr>
                <w:b/>
                <w:sz w:val="20"/>
              </w:rPr>
              <w:t xml:space="preserve">J tiếp xúc 95%</w:t>
            </w:r>
          </w:p>
        </w:tc>
        <w:tc>
          <w:tcPr>
            <w:tcW w:type="dxa" w:w="1450"/>
            <w:shd w:val="clear" w:color="auto" w:fill="F2F2F2"/>
          </w:tcPr>
          <w:p>
            <w:pPr>
              <w:spacing w:before="20" w:after="20" w:line="240" w:lineRule="auto"/>
              <w:jc w:val="center"/>
            </w:pPr>
            <w:r>
              <w:rPr>
                <w:b/>
                <w:sz w:val="20"/>
              </w:rPr>
              <w:t xml:space="preserve">J cửa ra 95%</w:t>
            </w:r>
          </w:p>
        </w:tc>
      </w:tr>
      <w:tr>
        <w:trPr>
          <w:cantSplit w:val="true"/>
        </w:trPr>
        <w:tc>
          <w:tcPr>
            <w:tcW w:type="dxa" w:w="2700"/>
          </w:tcPr>
          <w:p>
            <w:pPr>
              <w:spacing w:before="20" w:after="20" w:line="240" w:lineRule="auto"/>
              <w:jc w:val="left"/>
            </w:pPr>
            <w:r>
              <w:rPr>
                <w:sz w:val="20"/>
              </w:rPr>
              <w:t xml:space="preserve">Hiện trạng – MNDBT</w:t>
            </w:r>
          </w:p>
        </w:tc>
        <w:tc>
          <w:tcPr>
            <w:tcW w:type="dxa" w:w="1700"/>
          </w:tcPr>
          <w:p>
            <w:pPr>
              <w:spacing w:before="20" w:after="20" w:line="240" w:lineRule="auto"/>
              <w:jc w:val="center"/>
            </w:pPr>
            <w:r>
              <w:rPr>
                <w:sz w:val="20"/>
              </w:rPr>
              <w:t xml:space="preserve">6,22 / 9,07</w:t>
            </w:r>
          </w:p>
        </w:tc>
        <w:tc>
          <w:tcPr>
            <w:tcW w:type="dxa" w:w="1700"/>
          </w:tcPr>
          <w:p>
            <w:pPr>
              <w:spacing w:before="20" w:after="20" w:line="240" w:lineRule="auto"/>
              <w:jc w:val="center"/>
            </w:pPr>
            <w:r>
              <w:rPr>
                <w:sz w:val="20"/>
              </w:rPr>
              <w:t xml:space="preserve">65,99 / 68,45</w:t>
            </w:r>
          </w:p>
        </w:tc>
        <w:tc>
          <w:tcPr>
            <w:tcW w:type="dxa" w:w="1450"/>
          </w:tcPr>
          <w:p>
            <w:pPr>
              <w:spacing w:before="20" w:after="20" w:line="240" w:lineRule="auto"/>
              <w:jc w:val="center"/>
            </w:pPr>
            <w:r>
              <w:rPr>
                <w:sz w:val="20"/>
              </w:rPr>
              <w:t xml:space="preserve">1,04 / 0,64</w:t>
            </w:r>
          </w:p>
        </w:tc>
        <w:tc>
          <w:tcPr>
            <w:tcW w:type="dxa" w:w="1450"/>
          </w:tcPr>
          <w:p>
            <w:pPr>
              <w:spacing w:before="20" w:after="20" w:line="240" w:lineRule="auto"/>
              <w:jc w:val="center"/>
            </w:pPr>
            <w:r>
              <w:rPr>
                <w:sz w:val="20"/>
              </w:rPr>
              <w:t xml:space="preserve">0,054 / 0,069</w:t>
            </w:r>
          </w:p>
        </w:tc>
      </w:tr>
      <w:tr>
        <w:trPr>
          <w:cantSplit w:val="true"/>
        </w:trPr>
        <w:tc>
          <w:tcPr>
            <w:tcW w:type="dxa" w:w="2700"/>
          </w:tcPr>
          <w:p>
            <w:pPr>
              <w:spacing w:before="20" w:after="20" w:line="240" w:lineRule="auto"/>
              <w:jc w:val="left"/>
            </w:pPr>
            <w:r>
              <w:rPr>
                <w:sz w:val="20"/>
              </w:rPr>
              <w:t xml:space="preserve">Hiện trạng – MNLTK</w:t>
            </w:r>
          </w:p>
        </w:tc>
        <w:tc>
          <w:tcPr>
            <w:tcW w:type="dxa" w:w="1700"/>
          </w:tcPr>
          <w:p>
            <w:pPr>
              <w:spacing w:before="20" w:after="20" w:line="240" w:lineRule="auto"/>
              <w:jc w:val="center"/>
            </w:pPr>
            <w:r>
              <w:rPr>
                <w:sz w:val="20"/>
              </w:rPr>
              <w:t xml:space="preserve">7,73 / 12,09</w:t>
            </w:r>
          </w:p>
        </w:tc>
        <w:tc>
          <w:tcPr>
            <w:tcW w:type="dxa" w:w="1700"/>
          </w:tcPr>
          <w:p>
            <w:pPr>
              <w:spacing w:before="20" w:after="20" w:line="240" w:lineRule="auto"/>
              <w:jc w:val="center"/>
            </w:pPr>
            <w:r>
              <w:rPr>
                <w:sz w:val="20"/>
              </w:rPr>
              <w:t xml:space="preserve">71,66 / 73,17</w:t>
            </w:r>
          </w:p>
        </w:tc>
        <w:tc>
          <w:tcPr>
            <w:tcW w:type="dxa" w:w="1450"/>
          </w:tcPr>
          <w:p>
            <w:pPr>
              <w:spacing w:before="20" w:after="20" w:line="240" w:lineRule="auto"/>
              <w:jc w:val="center"/>
            </w:pPr>
            <w:r>
              <w:rPr>
                <w:sz w:val="20"/>
              </w:rPr>
              <w:t xml:space="preserve">1,17 / 0,62</w:t>
            </w:r>
          </w:p>
        </w:tc>
        <w:tc>
          <w:tcPr>
            <w:tcW w:type="dxa" w:w="1450"/>
          </w:tcPr>
          <w:p>
            <w:pPr>
              <w:spacing w:before="20" w:after="20" w:line="240" w:lineRule="auto"/>
              <w:jc w:val="center"/>
            </w:pPr>
            <w:r>
              <w:rPr>
                <w:sz w:val="20"/>
              </w:rPr>
              <w:t xml:space="preserve">0,065 / 0,088</w:t>
            </w:r>
          </w:p>
        </w:tc>
      </w:tr>
      <w:tr>
        <w:trPr>
          <w:cantSplit w:val="true"/>
        </w:trPr>
        <w:tc>
          <w:tcPr>
            <w:tcW w:type="dxa" w:w="2700"/>
          </w:tcPr>
          <w:p>
            <w:pPr>
              <w:spacing w:before="20" w:after="20" w:line="240" w:lineRule="auto"/>
              <w:jc w:val="left"/>
            </w:pPr>
            <w:r>
              <w:rPr>
                <w:sz w:val="20"/>
              </w:rPr>
              <w:t xml:space="preserve">Hiện trạng – MNLKT</w:t>
            </w:r>
          </w:p>
        </w:tc>
        <w:tc>
          <w:tcPr>
            <w:tcW w:type="dxa" w:w="1700"/>
          </w:tcPr>
          <w:p>
            <w:pPr>
              <w:spacing w:before="20" w:after="20" w:line="240" w:lineRule="auto"/>
              <w:jc w:val="center"/>
            </w:pPr>
            <w:r>
              <w:rPr>
                <w:sz w:val="20"/>
              </w:rPr>
              <w:t xml:space="preserve">8,31 / 13,35</w:t>
            </w:r>
          </w:p>
        </w:tc>
        <w:tc>
          <w:tcPr>
            <w:tcW w:type="dxa" w:w="1700"/>
          </w:tcPr>
          <w:p>
            <w:pPr>
              <w:spacing w:before="20" w:after="20" w:line="240" w:lineRule="auto"/>
              <w:jc w:val="center"/>
            </w:pPr>
            <w:r>
              <w:rPr>
                <w:sz w:val="20"/>
              </w:rPr>
              <w:t xml:space="preserve">73,93 / 74,56</w:t>
            </w:r>
          </w:p>
        </w:tc>
        <w:tc>
          <w:tcPr>
            <w:tcW w:type="dxa" w:w="1450"/>
          </w:tcPr>
          <w:p>
            <w:pPr>
              <w:spacing w:before="20" w:after="20" w:line="240" w:lineRule="auto"/>
              <w:jc w:val="center"/>
            </w:pPr>
            <w:r>
              <w:rPr>
                <w:sz w:val="20"/>
              </w:rPr>
              <w:t xml:space="preserve">1,19 / 0,60</w:t>
            </w:r>
          </w:p>
        </w:tc>
        <w:tc>
          <w:tcPr>
            <w:tcW w:type="dxa" w:w="1450"/>
          </w:tcPr>
          <w:p>
            <w:pPr>
              <w:spacing w:before="20" w:after="20" w:line="240" w:lineRule="auto"/>
              <w:jc w:val="center"/>
            </w:pPr>
            <w:r>
              <w:rPr>
                <w:sz w:val="20"/>
              </w:rPr>
              <w:t xml:space="preserve">0,069 / 0,096</w:t>
            </w:r>
          </w:p>
        </w:tc>
      </w:tr>
      <w:tr>
        <w:trPr>
          <w:cantSplit w:val="true"/>
        </w:trPr>
        <w:tc>
          <w:tcPr>
            <w:tcW w:type="dxa" w:w="2700"/>
          </w:tcPr>
          <w:p>
            <w:pPr>
              <w:spacing w:before="20" w:after="20" w:line="240" w:lineRule="auto"/>
              <w:jc w:val="left"/>
            </w:pPr>
            <w:r>
              <w:rPr>
                <w:sz w:val="20"/>
              </w:rPr>
              <w:t xml:space="preserve">Hiện trạng – MNDBT, thoát nước tắc</w:t>
            </w:r>
          </w:p>
        </w:tc>
        <w:tc>
          <w:tcPr>
            <w:tcW w:type="dxa" w:w="1700"/>
          </w:tcPr>
          <w:p>
            <w:pPr>
              <w:spacing w:before="20" w:after="20" w:line="240" w:lineRule="auto"/>
              <w:jc w:val="center"/>
            </w:pPr>
            <w:r>
              <w:rPr>
                <w:sz w:val="20"/>
              </w:rPr>
              <w:t xml:space="preserve">4,46 / 6,43</w:t>
            </w:r>
          </w:p>
        </w:tc>
        <w:tc>
          <w:tcPr>
            <w:tcW w:type="dxa" w:w="1700"/>
          </w:tcPr>
          <w:p>
            <w:pPr>
              <w:spacing w:before="20" w:after="20" w:line="240" w:lineRule="auto"/>
              <w:jc w:val="center"/>
            </w:pPr>
            <w:r>
              <w:rPr>
                <w:sz w:val="20"/>
              </w:rPr>
              <w:t xml:space="preserve">68,65 / 70,55</w:t>
            </w:r>
          </w:p>
        </w:tc>
        <w:tc>
          <w:tcPr>
            <w:tcW w:type="dxa" w:w="1450"/>
          </w:tcPr>
          <w:p>
            <w:pPr>
              <w:spacing w:before="20" w:after="20" w:line="240" w:lineRule="auto"/>
              <w:jc w:val="center"/>
            </w:pPr>
            <w:r>
              <w:rPr>
                <w:sz w:val="20"/>
              </w:rPr>
              <w:t xml:space="preserve">0,22 / 0,30</w:t>
            </w:r>
          </w:p>
        </w:tc>
        <w:tc>
          <w:tcPr>
            <w:tcW w:type="dxa" w:w="1450"/>
          </w:tcPr>
          <w:p>
            <w:pPr>
              <w:spacing w:before="20" w:after="20" w:line="240" w:lineRule="auto"/>
              <w:jc w:val="center"/>
            </w:pPr>
            <w:r>
              <w:rPr>
                <w:sz w:val="20"/>
              </w:rPr>
              <w:t xml:space="preserve">0,170 / 0,188</w:t>
            </w:r>
          </w:p>
        </w:tc>
      </w:tr>
      <w:tr>
        <w:trPr>
          <w:cantSplit w:val="true"/>
        </w:trPr>
        <w:tc>
          <w:tcPr>
            <w:tcW w:type="dxa" w:w="2700"/>
          </w:tcPr>
          <w:p>
            <w:pPr>
              <w:spacing w:before="20" w:after="20" w:line="240" w:lineRule="auto"/>
              <w:jc w:val="left"/>
            </w:pPr>
            <w:r>
              <w:rPr>
                <w:sz w:val="20"/>
              </w:rPr>
              <w:t xml:space="preserve">Sau sửa chữa – MNDBT</w:t>
            </w:r>
          </w:p>
        </w:tc>
        <w:tc>
          <w:tcPr>
            <w:tcW w:type="dxa" w:w="1700"/>
          </w:tcPr>
          <w:p>
            <w:pPr>
              <w:spacing w:before="20" w:after="20" w:line="240" w:lineRule="auto"/>
              <w:jc w:val="center"/>
            </w:pPr>
            <w:r>
              <w:rPr>
                <w:sz w:val="20"/>
              </w:rPr>
              <w:t xml:space="preserve">6,06 / 8,80</w:t>
            </w:r>
          </w:p>
        </w:tc>
        <w:tc>
          <w:tcPr>
            <w:tcW w:type="dxa" w:w="1700"/>
          </w:tcPr>
          <w:p>
            <w:pPr>
              <w:spacing w:before="20" w:after="20" w:line="240" w:lineRule="auto"/>
              <w:jc w:val="center"/>
            </w:pPr>
            <w:r>
              <w:rPr>
                <w:sz w:val="20"/>
              </w:rPr>
              <w:t xml:space="preserve">65,56 / 68,10</w:t>
            </w:r>
          </w:p>
        </w:tc>
        <w:tc>
          <w:tcPr>
            <w:tcW w:type="dxa" w:w="1450"/>
          </w:tcPr>
          <w:p>
            <w:pPr>
              <w:spacing w:before="20" w:after="20" w:line="240" w:lineRule="auto"/>
              <w:jc w:val="center"/>
            </w:pPr>
            <w:r>
              <w:rPr>
                <w:sz w:val="20"/>
              </w:rPr>
              <w:t xml:space="preserve">0,83 / 0,60</w:t>
            </w:r>
          </w:p>
        </w:tc>
        <w:tc>
          <w:tcPr>
            <w:tcW w:type="dxa" w:w="1450"/>
          </w:tcPr>
          <w:p>
            <w:pPr>
              <w:spacing w:before="20" w:after="20" w:line="240" w:lineRule="auto"/>
              <w:jc w:val="center"/>
            </w:pPr>
            <w:r>
              <w:rPr>
                <w:sz w:val="20"/>
              </w:rPr>
              <w:t xml:space="preserve">0,051 / 0,066</w:t>
            </w:r>
          </w:p>
        </w:tc>
      </w:tr>
      <w:tr>
        <w:trPr>
          <w:cantSplit w:val="true"/>
        </w:trPr>
        <w:tc>
          <w:tcPr>
            <w:tcW w:type="dxa" w:w="2700"/>
          </w:tcPr>
          <w:p>
            <w:pPr>
              <w:spacing w:before="20" w:after="20" w:line="240" w:lineRule="auto"/>
              <w:jc w:val="left"/>
            </w:pPr>
            <w:r>
              <w:rPr>
                <w:sz w:val="20"/>
              </w:rPr>
              <w:t xml:space="preserve">Sau sửa chữa – MNLTK</w:t>
            </w:r>
          </w:p>
        </w:tc>
        <w:tc>
          <w:tcPr>
            <w:tcW w:type="dxa" w:w="1700"/>
          </w:tcPr>
          <w:p>
            <w:pPr>
              <w:spacing w:before="20" w:after="20" w:line="240" w:lineRule="auto"/>
              <w:jc w:val="center"/>
            </w:pPr>
            <w:r>
              <w:rPr>
                <w:sz w:val="20"/>
              </w:rPr>
              <w:t xml:space="preserve">7,52 / 11,63</w:t>
            </w:r>
          </w:p>
        </w:tc>
        <w:tc>
          <w:tcPr>
            <w:tcW w:type="dxa" w:w="1700"/>
          </w:tcPr>
          <w:p>
            <w:pPr>
              <w:spacing w:before="20" w:after="20" w:line="240" w:lineRule="auto"/>
              <w:jc w:val="center"/>
            </w:pPr>
            <w:r>
              <w:rPr>
                <w:sz w:val="20"/>
              </w:rPr>
              <w:t xml:space="preserve">70,79 / 72,79</w:t>
            </w:r>
          </w:p>
        </w:tc>
        <w:tc>
          <w:tcPr>
            <w:tcW w:type="dxa" w:w="1450"/>
          </w:tcPr>
          <w:p>
            <w:pPr>
              <w:spacing w:before="20" w:after="20" w:line="240" w:lineRule="auto"/>
              <w:jc w:val="center"/>
            </w:pPr>
            <w:r>
              <w:rPr>
                <w:sz w:val="20"/>
              </w:rPr>
              <w:t xml:space="preserve">0,92 / 0,60</w:t>
            </w:r>
          </w:p>
        </w:tc>
        <w:tc>
          <w:tcPr>
            <w:tcW w:type="dxa" w:w="1450"/>
          </w:tcPr>
          <w:p>
            <w:pPr>
              <w:spacing w:before="20" w:after="20" w:line="240" w:lineRule="auto"/>
              <w:jc w:val="center"/>
            </w:pPr>
            <w:r>
              <w:rPr>
                <w:sz w:val="20"/>
              </w:rPr>
              <w:t xml:space="preserve">0,062 / 0,084</w:t>
            </w:r>
          </w:p>
        </w:tc>
      </w:tr>
      <w:tr>
        <w:trPr>
          <w:cantSplit w:val="true"/>
        </w:trPr>
        <w:tc>
          <w:tcPr>
            <w:tcW w:type="dxa" w:w="2700"/>
          </w:tcPr>
          <w:p>
            <w:pPr>
              <w:spacing w:before="20" w:after="20" w:line="240" w:lineRule="auto"/>
              <w:jc w:val="left"/>
            </w:pPr>
            <w:r>
              <w:rPr>
                <w:sz w:val="20"/>
              </w:rPr>
              <w:t xml:space="preserve">Sau sửa chữa – MNLKT</w:t>
            </w:r>
          </w:p>
        </w:tc>
        <w:tc>
          <w:tcPr>
            <w:tcW w:type="dxa" w:w="1700"/>
          </w:tcPr>
          <w:p>
            <w:pPr>
              <w:spacing w:before="20" w:after="20" w:line="240" w:lineRule="auto"/>
              <w:jc w:val="center"/>
            </w:pPr>
            <w:r>
              <w:rPr>
                <w:sz w:val="20"/>
              </w:rPr>
              <w:t xml:space="preserve">8,05 / 12,78</w:t>
            </w:r>
          </w:p>
        </w:tc>
        <w:tc>
          <w:tcPr>
            <w:tcW w:type="dxa" w:w="1700"/>
          </w:tcPr>
          <w:p>
            <w:pPr>
              <w:spacing w:before="20" w:after="20" w:line="240" w:lineRule="auto"/>
              <w:jc w:val="center"/>
            </w:pPr>
            <w:r>
              <w:rPr>
                <w:sz w:val="20"/>
              </w:rPr>
              <w:t xml:space="preserve">72,99 / 74,29</w:t>
            </w:r>
          </w:p>
        </w:tc>
        <w:tc>
          <w:tcPr>
            <w:tcW w:type="dxa" w:w="1450"/>
          </w:tcPr>
          <w:p>
            <w:pPr>
              <w:spacing w:before="20" w:after="20" w:line="240" w:lineRule="auto"/>
              <w:jc w:val="center"/>
            </w:pPr>
            <w:r>
              <w:rPr>
                <w:sz w:val="20"/>
              </w:rPr>
              <w:t xml:space="preserve">0,94 / 0,57</w:t>
            </w:r>
          </w:p>
        </w:tc>
        <w:tc>
          <w:tcPr>
            <w:tcW w:type="dxa" w:w="1450"/>
          </w:tcPr>
          <w:p>
            <w:pPr>
              <w:spacing w:before="20" w:after="20" w:line="240" w:lineRule="auto"/>
              <w:jc w:val="center"/>
            </w:pPr>
            <w:r>
              <w:rPr>
                <w:sz w:val="20"/>
              </w:rPr>
              <w:t xml:space="preserve">0,066 / 0,091</w:t>
            </w:r>
          </w:p>
        </w:tc>
      </w:tr>
      <w:tr>
        <w:trPr>
          <w:cantSplit w:val="true"/>
        </w:trPr>
        <w:tc>
          <w:tcPr>
            <w:tcW w:type="dxa" w:w="2700"/>
          </w:tcPr>
          <w:p>
            <w:pPr>
              <w:spacing w:before="20" w:after="20" w:line="240" w:lineRule="auto"/>
              <w:jc w:val="left"/>
            </w:pPr>
            <w:r>
              <w:rPr>
                <w:sz w:val="20"/>
              </w:rPr>
              <w:t xml:space="preserve">Sau sửa chữa – MNDBT, thoát nước tắc</w:t>
            </w:r>
          </w:p>
        </w:tc>
        <w:tc>
          <w:tcPr>
            <w:tcW w:type="dxa" w:w="1700"/>
          </w:tcPr>
          <w:p>
            <w:pPr>
              <w:spacing w:before="20" w:after="20" w:line="240" w:lineRule="auto"/>
              <w:jc w:val="center"/>
            </w:pPr>
            <w:r>
              <w:rPr>
                <w:sz w:val="20"/>
              </w:rPr>
              <w:t xml:space="preserve">4,36 / 6,27</w:t>
            </w:r>
          </w:p>
        </w:tc>
        <w:tc>
          <w:tcPr>
            <w:tcW w:type="dxa" w:w="1700"/>
          </w:tcPr>
          <w:p>
            <w:pPr>
              <w:spacing w:before="20" w:after="20" w:line="240" w:lineRule="auto"/>
              <w:jc w:val="center"/>
            </w:pPr>
            <w:r>
              <w:rPr>
                <w:sz w:val="20"/>
              </w:rPr>
              <w:t xml:space="preserve">68,31 / 70,25</w:t>
            </w:r>
          </w:p>
        </w:tc>
        <w:tc>
          <w:tcPr>
            <w:tcW w:type="dxa" w:w="1450"/>
          </w:tcPr>
          <w:p>
            <w:pPr>
              <w:spacing w:before="20" w:after="20" w:line="240" w:lineRule="auto"/>
              <w:jc w:val="center"/>
            </w:pPr>
            <w:r>
              <w:rPr>
                <w:sz w:val="20"/>
              </w:rPr>
              <w:t xml:space="preserve">0,21 / 0,28</w:t>
            </w:r>
          </w:p>
        </w:tc>
        <w:tc>
          <w:tcPr>
            <w:tcW w:type="dxa" w:w="1450"/>
          </w:tcPr>
          <w:p>
            <w:pPr>
              <w:spacing w:before="20" w:after="20" w:line="240" w:lineRule="auto"/>
              <w:jc w:val="center"/>
            </w:pPr>
            <w:r>
              <w:rPr>
                <w:sz w:val="20"/>
              </w:rPr>
              <w:t xml:space="preserve">0,164 / 0,182</w:t>
            </w:r>
          </w:p>
        </w:tc>
      </w:tr>
    </w:tbl>
    <w:p>
      <w:pPr>
        <w:spacing w:after="40"/>
      </w:pPr>
    </w:p>
    <w:p>
      <w:pPr>
        <w:pStyle w:val="Content"/>
        <w:spacing w:before="60"/>
      </w:pPr>
      <w:r>
        <w:t xml:space="preserve">Hệ số thấm theo phương ngang lấy bằng 5 lần phương đứng cho các lớp đất đắp và lớp tàn tích (TCVN 8216:2018 mục 11.2.2), giữ nguyên hệ số thấm tương đương k = (k</w:t>
      </w:r>
      <w:r>
        <w:rPr>
          <w:vertAlign w:val="subscript"/>
        </w:rPr>
        <w:t xml:space="preserve">h</w:t>
      </w:r>
      <w:r>
        <w:t xml:space="preserve">·k</w:t>
      </w:r>
      <w:r>
        <w:rPr>
          <w:vertAlign w:val="subscript"/>
        </w:rPr>
        <w:t xml:space="preserve">v</w:t>
      </w:r>
      <w:r>
        <w:t xml:space="preserve">)</w:t>
      </w:r>
      <w:r>
        <w:rPr>
          <w:vertAlign w:val="superscript"/>
        </w:rPr>
        <w:t xml:space="preserve">1/2</w:t>
      </w:r>
      <w:r>
        <w:t xml:space="preserve">. Hệ số ổn định sau sửa chữa TH1 ÷ TH10 khi k</w:t>
      </w:r>
      <w:r>
        <w:rPr>
          <w:vertAlign w:val="subscript"/>
        </w:rPr>
        <w:t xml:space="preserve">h</w:t>
      </w:r>
      <w:r>
        <w:t xml:space="preserve">/k</w:t>
      </w:r>
      <w:r>
        <w:rPr>
          <w:vertAlign w:val="subscript"/>
        </w:rPr>
        <w:t xml:space="preserve">v</w:t>
      </w:r>
      <w:r>
        <w:t xml:space="preserve"> = 5: 1,625; 1,595; 1,582; 1,470; 1,331; 1,624; 2,297; 1,498; 2,091; 1,734 (so với 1,647; 1,629; 1,621; 1,497; 1,349; 1,646; 2,296; 1,496; 2,066; 1,733).</w:t>
      </w:r>
    </w:p>
    <w:p>
      <w:pPr>
        <w:pStyle w:val="Chuthichbang"/>
        <w:keepNext/>
      </w:pPr>
      <w:bookmarkStart w:id="1132" w:name="_Toc3056"/>
      <w:r>
        <w:t xml:space="preserve">Bảng PL11 </w:t>
      </w:r>
      <w:r>
        <w:t xml:space="preserve">Kiểm tra tìm cung trượt nguy hiểm nhất sau sửa chữa (Bishop; Spencer trên cung tìm lại)</w:t>
      </w:r>
      <w:bookmarkEnd w:id="1132"/>
    </w:p>
    <w:tbl>
      <w:tblPr>
        <w:tblStyle w:val="TableGrid"/>
        <w:tblW w:type="auto" w:w="0"/>
        <w:jc w:val="center"/>
        <w:tblLayout w:type="fixed"/>
        <w:tblLook w:firstColumn="1" w:firstRow="1" w:lastColumn="0" w:lastRow="0" w:noHBand="0" w:noVBand="1" w:val="04A0"/>
      </w:tblPr>
      <w:tblGrid>
        <w:gridCol w:w="700"/>
        <w:gridCol w:w="1350"/>
        <w:gridCol w:w="1350"/>
        <w:gridCol w:w="1350"/>
        <w:gridCol w:w="1700"/>
        <w:gridCol w:w="1700"/>
        <w:gridCol w:w="850"/>
      </w:tblGrid>
      <w:tr>
        <w:trPr>
          <w:tblHeader w:val="true"/>
          <w:cantSplit w:val="true"/>
        </w:trPr>
        <w:tc>
          <w:tcPr>
            <w:tcW w:type="dxa" w:w="700"/>
            <w:shd w:val="clear" w:color="auto" w:fill="F2F2F2"/>
          </w:tcPr>
          <w:p>
            <w:pPr>
              <w:spacing w:before="20" w:after="20" w:line="240" w:lineRule="auto"/>
              <w:jc w:val="center"/>
            </w:pPr>
            <w:r>
              <w:rPr>
                <w:b/>
                <w:sz w:val="20"/>
              </w:rPr>
              <w:t xml:space="preserve">TH</w:t>
            </w:r>
          </w:p>
        </w:tc>
        <w:tc>
          <w:tcPr>
            <w:tcW w:type="dxa" w:w="1350"/>
            <w:shd w:val="clear" w:color="auto" w:fill="F2F2F2"/>
          </w:tcPr>
          <w:p>
            <w:pPr>
              <w:spacing w:before="20" w:after="20" w:line="240" w:lineRule="auto"/>
              <w:jc w:val="center"/>
            </w:pPr>
            <w:r>
              <w:rPr>
                <w:b/>
                <w:sz w:val="20"/>
              </w:rPr>
              <w:t xml:space="preserve">K cơ sở (Bảng 5.2)</w:t>
            </w:r>
          </w:p>
        </w:tc>
        <w:tc>
          <w:tcPr>
            <w:tcW w:type="dxa" w:w="1350"/>
            <w:shd w:val="clear" w:color="auto" w:fill="F2F2F2"/>
          </w:tcPr>
          <w:p>
            <w:pPr>
              <w:spacing w:before="20" w:after="20" w:line="240" w:lineRule="auto"/>
              <w:jc w:val="center"/>
            </w:pPr>
            <w:r>
              <w:rPr>
                <w:b/>
                <w:sz w:val="20"/>
              </w:rPr>
              <w:t xml:space="preserve">Miền mở rộng</w:t>
            </w:r>
          </w:p>
        </w:tc>
        <w:tc>
          <w:tcPr>
            <w:tcW w:type="dxa" w:w="1350"/>
            <w:shd w:val="clear" w:color="auto" w:fill="F2F2F2"/>
          </w:tcPr>
          <w:p>
            <w:pPr>
              <w:spacing w:before="20" w:after="20" w:line="240" w:lineRule="auto"/>
              <w:jc w:val="center"/>
            </w:pPr>
            <w:r>
              <w:rPr>
                <w:b/>
                <w:sz w:val="20"/>
              </w:rPr>
              <w:t xml:space="preserve">Lưới lồng nhau</w:t>
            </w:r>
          </w:p>
        </w:tc>
        <w:tc>
          <w:tcPr>
            <w:tcW w:type="dxa" w:w="1700"/>
            <w:shd w:val="clear" w:color="auto" w:fill="F2F2F2"/>
          </w:tcPr>
          <w:p>
            <w:pPr>
              <w:spacing w:before="20" w:after="20" w:line="240" w:lineRule="auto"/>
              <w:jc w:val="center"/>
            </w:pPr>
            <w:r>
              <w:rPr>
                <w:b/>
                <w:sz w:val="20"/>
              </w:rPr>
              <w:t xml:space="preserve">Nelder – Mead</w:t>
            </w:r>
          </w:p>
        </w:tc>
        <w:tc>
          <w:tcPr>
            <w:tcW w:type="dxa" w:w="1700"/>
            <w:shd w:val="clear" w:color="auto" w:fill="F2F2F2"/>
          </w:tcPr>
          <w:p>
            <w:pPr>
              <w:spacing w:before="20" w:after="20" w:line="240" w:lineRule="auto"/>
              <w:jc w:val="center"/>
            </w:pPr>
            <w:r>
              <w:rPr>
                <w:b/>
                <w:sz w:val="20"/>
              </w:rPr>
              <w:t xml:space="preserve">Spencer</w:t>
            </w:r>
          </w:p>
        </w:tc>
        <w:tc>
          <w:tcPr>
            <w:tcW w:type="dxa" w:w="850"/>
            <w:shd w:val="clear" w:color="auto" w:fill="F2F2F2"/>
          </w:tcPr>
          <w:p>
            <w:pPr>
              <w:spacing w:before="20" w:after="20" w:line="240" w:lineRule="auto"/>
              <w:jc w:val="center"/>
            </w:pPr>
            <w:r>
              <w:rPr>
                <w:b/>
                <w:sz w:val="20"/>
              </w:rPr>
              <w:t xml:space="preserve">[K]</w:t>
            </w:r>
          </w:p>
        </w:tc>
      </w:tr>
      <w:tr>
        <w:trPr>
          <w:cantSplit w:val="true"/>
        </w:trPr>
        <w:tc>
          <w:tcPr>
            <w:tcW w:type="dxa" w:w="700"/>
          </w:tcPr>
          <w:p>
            <w:pPr>
              <w:spacing w:before="20" w:after="20" w:line="240" w:lineRule="auto"/>
              <w:jc w:val="left"/>
            </w:pPr>
            <w:r>
              <w:rPr>
                <w:sz w:val="20"/>
              </w:rPr>
              <w:t xml:space="preserve">TH1</w:t>
            </w:r>
          </w:p>
        </w:tc>
        <w:tc>
          <w:tcPr>
            <w:tcW w:type="dxa" w:w="1350"/>
          </w:tcPr>
          <w:p>
            <w:pPr>
              <w:spacing w:before="20" w:after="20" w:line="240" w:lineRule="auto"/>
              <w:jc w:val="center"/>
            </w:pPr>
            <w:r>
              <w:rPr>
                <w:sz w:val="20"/>
              </w:rPr>
              <w:t xml:space="preserve">1,647</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(−0,41%)</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TH2</w:t>
            </w:r>
          </w:p>
        </w:tc>
        <w:tc>
          <w:tcPr>
            <w:tcW w:type="dxa" w:w="1350"/>
          </w:tcPr>
          <w:p>
            <w:pPr>
              <w:spacing w:before="20" w:after="20" w:line="240" w:lineRule="auto"/>
              <w:jc w:val="center"/>
            </w:pPr>
            <w:r>
              <w:rPr>
                <w:sz w:val="20"/>
              </w:rPr>
              <w:t xml:space="preserve">1,629</w:t>
            </w:r>
          </w:p>
        </w:tc>
        <w:tc>
          <w:tcPr>
            <w:tcW w:type="dxa" w:w="1350"/>
          </w:tcPr>
          <w:p>
            <w:pPr>
              <w:spacing w:before="20" w:after="20" w:line="240" w:lineRule="auto"/>
              <w:jc w:val="center"/>
            </w:pPr>
            <w:r>
              <w:rPr>
                <w:sz w:val="20"/>
              </w:rPr>
              <w:t xml:space="preserve">1,618</w:t>
            </w:r>
          </w:p>
        </w:tc>
        <w:tc>
          <w:tcPr>
            <w:tcW w:type="dxa" w:w="1350"/>
          </w:tcPr>
          <w:p>
            <w:pPr>
              <w:spacing w:before="20" w:after="20" w:line="240" w:lineRule="auto"/>
              <w:jc w:val="center"/>
            </w:pPr>
            <w:r>
              <w:rPr>
                <w:sz w:val="20"/>
              </w:rPr>
              <w:t xml:space="preserve">1,627</w:t>
            </w:r>
          </w:p>
        </w:tc>
        <w:tc>
          <w:tcPr>
            <w:tcW w:type="dxa" w:w="1700"/>
          </w:tcPr>
          <w:p>
            <w:pPr>
              <w:spacing w:before="20" w:after="20" w:line="240" w:lineRule="auto"/>
              <w:jc w:val="center"/>
            </w:pPr>
            <w:r>
              <w:rPr>
                <w:sz w:val="20"/>
              </w:rPr>
              <w:t xml:space="preserve">1,617 (−0,70%)</w:t>
            </w:r>
          </w:p>
        </w:tc>
        <w:tc>
          <w:tcPr>
            <w:tcW w:type="dxa" w:w="1700"/>
          </w:tcPr>
          <w:p>
            <w:pPr>
              <w:spacing w:before="20" w:after="20" w:line="240" w:lineRule="auto"/>
              <w:jc w:val="center"/>
            </w:pPr>
            <w:r>
              <w:rPr>
                <w:sz w:val="20"/>
              </w:rPr>
              <w:t xml:space="preserve">1,614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TH3</w:t>
            </w:r>
          </w:p>
        </w:tc>
        <w:tc>
          <w:tcPr>
            <w:tcW w:type="dxa" w:w="1350"/>
          </w:tcPr>
          <w:p>
            <w:pPr>
              <w:spacing w:before="20" w:after="20" w:line="240" w:lineRule="auto"/>
              <w:jc w:val="center"/>
            </w:pPr>
            <w:r>
              <w:rPr>
                <w:sz w:val="20"/>
              </w:rPr>
              <w:t xml:space="preserve">1,621</w:t>
            </w:r>
          </w:p>
        </w:tc>
        <w:tc>
          <w:tcPr>
            <w:tcW w:type="dxa" w:w="1350"/>
          </w:tcPr>
          <w:p>
            <w:pPr>
              <w:spacing w:before="20" w:after="20" w:line="240" w:lineRule="auto"/>
              <w:jc w:val="center"/>
            </w:pPr>
            <w:r>
              <w:rPr>
                <w:sz w:val="20"/>
              </w:rPr>
              <w:t xml:space="preserve">1,608</w:t>
            </w:r>
          </w:p>
        </w:tc>
        <w:tc>
          <w:tcPr>
            <w:tcW w:type="dxa" w:w="1350"/>
          </w:tcPr>
          <w:p>
            <w:pPr>
              <w:spacing w:before="20" w:after="20" w:line="240" w:lineRule="auto"/>
              <w:jc w:val="center"/>
            </w:pPr>
            <w:r>
              <w:rPr>
                <w:sz w:val="20"/>
              </w:rPr>
              <w:t xml:space="preserve">1,618</w:t>
            </w:r>
          </w:p>
        </w:tc>
        <w:tc>
          <w:tcPr>
            <w:tcW w:type="dxa" w:w="1700"/>
          </w:tcPr>
          <w:p>
            <w:pPr>
              <w:spacing w:before="20" w:after="20" w:line="240" w:lineRule="auto"/>
              <w:jc w:val="center"/>
            </w:pPr>
            <w:r>
              <w:rPr>
                <w:sz w:val="20"/>
              </w:rPr>
              <w:t xml:space="preserve">1,607 (−0,83%)</w:t>
            </w:r>
          </w:p>
        </w:tc>
        <w:tc>
          <w:tcPr>
            <w:tcW w:type="dxa" w:w="1700"/>
          </w:tcPr>
          <w:p>
            <w:pPr>
              <w:spacing w:before="20" w:after="20" w:line="240" w:lineRule="auto"/>
              <w:jc w:val="center"/>
            </w:pPr>
            <w:r>
              <w:rPr>
                <w:sz w:val="20"/>
              </w:rPr>
              <w:t xml:space="preserve">1,604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TH4</w:t>
            </w:r>
          </w:p>
        </w:tc>
        <w:tc>
          <w:tcPr>
            <w:tcW w:type="dxa" w:w="1350"/>
          </w:tcPr>
          <w:p>
            <w:pPr>
              <w:spacing w:before="20" w:after="20" w:line="240" w:lineRule="auto"/>
              <w:jc w:val="center"/>
            </w:pPr>
            <w:r>
              <w:rPr>
                <w:sz w:val="20"/>
              </w:rPr>
              <w:t xml:space="preserve">1,497</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1,499</w:t>
            </w:r>
          </w:p>
        </w:tc>
        <w:tc>
          <w:tcPr>
            <w:tcW w:type="dxa" w:w="1700"/>
          </w:tcPr>
          <w:p>
            <w:pPr>
              <w:spacing w:before="20" w:after="20" w:line="240" w:lineRule="auto"/>
              <w:jc w:val="center"/>
            </w:pPr>
            <w:r>
              <w:rPr>
                <w:sz w:val="20"/>
              </w:rPr>
              <w:t xml:space="preserve">1,491 (−0,39%)</w:t>
            </w:r>
          </w:p>
        </w:tc>
        <w:tc>
          <w:tcPr>
            <w:tcW w:type="dxa" w:w="1700"/>
          </w:tcPr>
          <w:p>
            <w:pPr>
              <w:spacing w:before="20" w:after="20" w:line="240" w:lineRule="auto"/>
              <w:jc w:val="center"/>
            </w:pPr>
            <w:r>
              <w:rPr>
                <w:sz w:val="20"/>
              </w:rPr>
              <w:t xml:space="preserve">1,489 (θ = −10,4°)</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TH5</w:t>
            </w:r>
          </w:p>
        </w:tc>
        <w:tc>
          <w:tcPr>
            <w:tcW w:type="dxa" w:w="1350"/>
          </w:tcPr>
          <w:p>
            <w:pPr>
              <w:spacing w:before="20" w:after="20" w:line="240" w:lineRule="auto"/>
              <w:jc w:val="center"/>
            </w:pPr>
            <w:r>
              <w:rPr>
                <w:sz w:val="20"/>
              </w:rPr>
              <w:t xml:space="preserve">1,349</w:t>
            </w:r>
          </w:p>
        </w:tc>
        <w:tc>
          <w:tcPr>
            <w:tcW w:type="dxa" w:w="1350"/>
          </w:tcPr>
          <w:p>
            <w:pPr>
              <w:spacing w:before="20" w:after="20" w:line="240" w:lineRule="auto"/>
              <w:jc w:val="center"/>
            </w:pPr>
            <w:r>
              <w:rPr>
                <w:sz w:val="20"/>
              </w:rPr>
              <w:t xml:space="preserve">1,348</w:t>
            </w:r>
          </w:p>
        </w:tc>
        <w:tc>
          <w:tcPr>
            <w:tcW w:type="dxa" w:w="1350"/>
          </w:tcPr>
          <w:p>
            <w:pPr>
              <w:spacing w:before="20" w:after="20" w:line="240" w:lineRule="auto"/>
              <w:jc w:val="center"/>
            </w:pPr>
            <w:r>
              <w:rPr>
                <w:sz w:val="20"/>
              </w:rPr>
              <w:t xml:space="preserve">1,353</w:t>
            </w:r>
          </w:p>
        </w:tc>
        <w:tc>
          <w:tcPr>
            <w:tcW w:type="dxa" w:w="1700"/>
          </w:tcPr>
          <w:p>
            <w:pPr>
              <w:spacing w:before="20" w:after="20" w:line="240" w:lineRule="auto"/>
              <w:jc w:val="center"/>
            </w:pPr>
            <w:r>
              <w:rPr>
                <w:sz w:val="20"/>
              </w:rPr>
              <w:t xml:space="preserve">1,347 (−0,12%)</w:t>
            </w:r>
          </w:p>
        </w:tc>
        <w:tc>
          <w:tcPr>
            <w:tcW w:type="dxa" w:w="1700"/>
          </w:tcPr>
          <w:p>
            <w:pPr>
              <w:spacing w:before="20" w:after="20" w:line="240" w:lineRule="auto"/>
              <w:jc w:val="center"/>
            </w:pPr>
            <w:r>
              <w:rPr>
                <w:sz w:val="20"/>
              </w:rPr>
              <w:t xml:space="preserve">1,346 (θ = −13,0°)</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TH6</w:t>
            </w:r>
          </w:p>
        </w:tc>
        <w:tc>
          <w:tcPr>
            <w:tcW w:type="dxa" w:w="1350"/>
          </w:tcPr>
          <w:p>
            <w:pPr>
              <w:spacing w:before="20" w:after="20" w:line="240" w:lineRule="auto"/>
              <w:jc w:val="center"/>
            </w:pPr>
            <w:r>
              <w:rPr>
                <w:sz w:val="20"/>
              </w:rPr>
              <w:t xml:space="preserve">1,646</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(−0,39%)</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TH7</w:t>
            </w:r>
          </w:p>
        </w:tc>
        <w:tc>
          <w:tcPr>
            <w:tcW w:type="dxa" w:w="1350"/>
          </w:tcPr>
          <w:p>
            <w:pPr>
              <w:spacing w:before="20" w:after="20" w:line="240" w:lineRule="auto"/>
              <w:jc w:val="center"/>
            </w:pPr>
            <w:r>
              <w:rPr>
                <w:sz w:val="20"/>
              </w:rPr>
              <w:t xml:space="preserve">2,296</w:t>
            </w:r>
          </w:p>
        </w:tc>
        <w:tc>
          <w:tcPr>
            <w:tcW w:type="dxa" w:w="1350"/>
          </w:tcPr>
          <w:p>
            <w:pPr>
              <w:spacing w:before="20" w:after="20" w:line="240" w:lineRule="auto"/>
              <w:jc w:val="center"/>
            </w:pPr>
            <w:r>
              <w:rPr>
                <w:sz w:val="20"/>
              </w:rPr>
              <w:t xml:space="preserve">2,292</w:t>
            </w:r>
          </w:p>
        </w:tc>
        <w:tc>
          <w:tcPr>
            <w:tcW w:type="dxa" w:w="1350"/>
          </w:tcPr>
          <w:p>
            <w:pPr>
              <w:spacing w:before="20" w:after="20" w:line="240" w:lineRule="auto"/>
              <w:jc w:val="center"/>
            </w:pPr>
            <w:r>
              <w:rPr>
                <w:sz w:val="20"/>
              </w:rPr>
              <w:t xml:space="preserve">2,292</w:t>
            </w:r>
          </w:p>
        </w:tc>
        <w:tc>
          <w:tcPr>
            <w:tcW w:type="dxa" w:w="1700"/>
          </w:tcPr>
          <w:p>
            <w:pPr>
              <w:spacing w:before="20" w:after="20" w:line="240" w:lineRule="auto"/>
              <w:jc w:val="center"/>
            </w:pPr>
            <w:r>
              <w:rPr>
                <w:sz w:val="20"/>
              </w:rPr>
              <w:t xml:space="preserve">2,283 (−0,57%)</w:t>
            </w:r>
          </w:p>
        </w:tc>
        <w:tc>
          <w:tcPr>
            <w:tcW w:type="dxa" w:w="1700"/>
          </w:tcPr>
          <w:p>
            <w:pPr>
              <w:spacing w:before="20" w:after="20" w:line="240" w:lineRule="auto"/>
              <w:jc w:val="center"/>
            </w:pPr>
            <w:r>
              <w:rPr>
                <w:sz w:val="20"/>
              </w:rPr>
              <w:t xml:space="preserve">2,279 (θ = −4,5°)</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TH8</w:t>
            </w:r>
          </w:p>
        </w:tc>
        <w:tc>
          <w:tcPr>
            <w:tcW w:type="dxa" w:w="1350"/>
          </w:tcPr>
          <w:p>
            <w:pPr>
              <w:spacing w:before="20" w:after="20" w:line="240" w:lineRule="auto"/>
              <w:jc w:val="center"/>
            </w:pPr>
            <w:r>
              <w:rPr>
                <w:sz w:val="20"/>
              </w:rPr>
              <w:t xml:space="preserve">1,496</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1,496</w:t>
            </w:r>
          </w:p>
        </w:tc>
        <w:tc>
          <w:tcPr>
            <w:tcW w:type="dxa" w:w="1700"/>
          </w:tcPr>
          <w:p>
            <w:pPr>
              <w:spacing w:before="20" w:after="20" w:line="240" w:lineRule="auto"/>
              <w:jc w:val="center"/>
            </w:pPr>
            <w:r>
              <w:rPr>
                <w:sz w:val="20"/>
              </w:rPr>
              <w:t xml:space="preserve">1,489 (−0,46%)</w:t>
            </w:r>
          </w:p>
        </w:tc>
        <w:tc>
          <w:tcPr>
            <w:tcW w:type="dxa" w:w="1700"/>
          </w:tcPr>
          <w:p>
            <w:pPr>
              <w:spacing w:before="20" w:after="20" w:line="240" w:lineRule="auto"/>
              <w:jc w:val="center"/>
            </w:pPr>
            <w:r>
              <w:rPr>
                <w:sz w:val="20"/>
              </w:rPr>
              <w:t xml:space="preserve">1,449 (θ = −7,4°)</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TH9</w:t>
            </w:r>
          </w:p>
        </w:tc>
        <w:tc>
          <w:tcPr>
            <w:tcW w:type="dxa" w:w="1350"/>
          </w:tcPr>
          <w:p>
            <w:pPr>
              <w:spacing w:before="20" w:after="20" w:line="240" w:lineRule="auto"/>
              <w:jc w:val="center"/>
            </w:pPr>
            <w:r>
              <w:rPr>
                <w:sz w:val="20"/>
              </w:rPr>
              <w:t xml:space="preserve">2,066</w:t>
            </w:r>
          </w:p>
        </w:tc>
        <w:tc>
          <w:tcPr>
            <w:tcW w:type="dxa" w:w="1350"/>
          </w:tcPr>
          <w:p>
            <w:pPr>
              <w:spacing w:before="20" w:after="20" w:line="240" w:lineRule="auto"/>
              <w:jc w:val="center"/>
            </w:pPr>
            <w:r>
              <w:rPr>
                <w:sz w:val="20"/>
              </w:rPr>
              <w:t xml:space="preserve">2,062</w:t>
            </w:r>
          </w:p>
        </w:tc>
        <w:tc>
          <w:tcPr>
            <w:tcW w:type="dxa" w:w="1350"/>
          </w:tcPr>
          <w:p>
            <w:pPr>
              <w:spacing w:before="20" w:after="20" w:line="240" w:lineRule="auto"/>
              <w:jc w:val="center"/>
            </w:pPr>
            <w:r>
              <w:rPr>
                <w:sz w:val="20"/>
              </w:rPr>
              <w:t xml:space="preserve">2,065</w:t>
            </w:r>
          </w:p>
        </w:tc>
        <w:tc>
          <w:tcPr>
            <w:tcW w:type="dxa" w:w="1700"/>
          </w:tcPr>
          <w:p>
            <w:pPr>
              <w:spacing w:before="20" w:after="20" w:line="240" w:lineRule="auto"/>
              <w:jc w:val="center"/>
            </w:pPr>
            <w:r>
              <w:rPr>
                <w:sz w:val="20"/>
              </w:rPr>
              <w:t xml:space="preserve">2,054 (−0,60%)</w:t>
            </w:r>
          </w:p>
        </w:tc>
        <w:tc>
          <w:tcPr>
            <w:tcW w:type="dxa" w:w="1700"/>
          </w:tcPr>
          <w:p>
            <w:pPr>
              <w:spacing w:before="20" w:after="20" w:line="240" w:lineRule="auto"/>
              <w:jc w:val="center"/>
            </w:pPr>
            <w:r>
              <w:rPr>
                <w:sz w:val="20"/>
              </w:rPr>
              <w:t xml:space="preserve">2,045 (θ = −4,6°)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TH10</w:t>
            </w:r>
          </w:p>
        </w:tc>
        <w:tc>
          <w:tcPr>
            <w:tcW w:type="dxa" w:w="1350"/>
          </w:tcPr>
          <w:p>
            <w:pPr>
              <w:spacing w:before="20" w:after="20" w:line="240" w:lineRule="auto"/>
              <w:jc w:val="center"/>
            </w:pPr>
            <w:r>
              <w:rPr>
                <w:sz w:val="20"/>
              </w:rPr>
              <w:t xml:space="preserve">1,733</w:t>
            </w:r>
          </w:p>
        </w:tc>
        <w:tc>
          <w:tcPr>
            <w:tcW w:type="dxa" w:w="1350"/>
          </w:tcPr>
          <w:p>
            <w:pPr>
              <w:spacing w:before="20" w:after="20" w:line="240" w:lineRule="auto"/>
              <w:jc w:val="center"/>
            </w:pPr>
            <w:r>
              <w:rPr>
                <w:sz w:val="20"/>
              </w:rPr>
              <w:t xml:space="preserve">1,730</w:t>
            </w:r>
          </w:p>
        </w:tc>
        <w:tc>
          <w:tcPr>
            <w:tcW w:type="dxa" w:w="1350"/>
          </w:tcPr>
          <w:p>
            <w:pPr>
              <w:spacing w:before="20" w:after="20" w:line="240" w:lineRule="auto"/>
              <w:jc w:val="center"/>
            </w:pPr>
            <w:r>
              <w:rPr>
                <w:sz w:val="20"/>
              </w:rPr>
              <w:t xml:space="preserve">1,730</w:t>
            </w:r>
          </w:p>
        </w:tc>
        <w:tc>
          <w:tcPr>
            <w:tcW w:type="dxa" w:w="1700"/>
          </w:tcPr>
          <w:p>
            <w:pPr>
              <w:spacing w:before="20" w:after="20" w:line="240" w:lineRule="auto"/>
              <w:jc w:val="center"/>
            </w:pPr>
            <w:r>
              <w:rPr>
                <w:sz w:val="20"/>
              </w:rPr>
              <w:t xml:space="preserve">1,724 (−0,47%)</w:t>
            </w:r>
          </w:p>
        </w:tc>
        <w:tc>
          <w:tcPr>
            <w:tcW w:type="dxa" w:w="1700"/>
          </w:tcPr>
          <w:p>
            <w:pPr>
              <w:spacing w:before="20" w:after="20" w:line="240" w:lineRule="auto"/>
              <w:jc w:val="center"/>
            </w:pPr>
            <w:r>
              <w:rPr>
                <w:sz w:val="20"/>
              </w:rPr>
              <w:t xml:space="preserve">1,723 (θ = −5,9°)</w:t>
            </w:r>
          </w:p>
        </w:tc>
        <w:tc>
          <w:tcPr>
            <w:tcW w:type="dxa" w:w="850"/>
          </w:tcPr>
          <w:p>
            <w:pPr>
              <w:spacing w:before="20" w:after="20" w:line="240" w:lineRule="auto"/>
              <w:jc w:val="center"/>
            </w:pPr>
            <w:r>
              <w:rPr>
                <w:sz w:val="20"/>
              </w:rPr>
              <w:t xml:space="preserve">1,17</w:t>
            </w:r>
          </w:p>
        </w:tc>
      </w:tr>
    </w:tbl>
    <w:p>
      <w:pPr>
        <w:spacing w:after="40"/>
      </w:pPr>
    </w:p>
    <w:p>
      <w:pPr>
        <w:pStyle w:val="Content"/>
        <w:spacing w:before="60"/>
      </w:pPr>
      <w:r>
        <w:t xml:space="preserve">Miền mở rộng: đáy cung tới cao trình +36 m (sâu hơn đáy mô hình cũ khoảng 7 m); lưới lồng nhau: chứa toàn bộ nút tâm, bán kính của lưới cơ sở và chia mịn gấp đôi; Nelder – Mead: tối ưu tọa độ tâm và bán kính từ 10 điểm xuất phát tốt nhất (chương trình kt</w:t>
      </w:r>
      <w:r>
        <w:t xml:space="preserve">_</w:t>
      </w:r>
      <w:r>
        <w:t xml:space="preserve">kiem</w:t>
      </w:r>
      <w:r>
        <w:t xml:space="preserve">_</w:t>
      </w:r>
      <w:r>
        <w:t xml:space="preserve">chung</w:t>
      </w:r>
      <w:r>
        <w:t xml:space="preserve">_</w:t>
      </w:r>
      <w:r>
        <w:t xml:space="preserve">12</w:t>
      </w:r>
      <w:r>
        <w:t xml:space="preserve">_</w:t>
      </w:r>
      <w:r>
        <w:t xml:space="preserve">10.py). K cơ sở là kết quả sau bước tinh chỉnh quanh tâm tốt nhất của lưới cơ sở; lưới lồng nhau chứa mọi nút của lưới cơ sở nhưng không chứa điểm đã tinh chỉnh nên có thể cho K lớn hơn K cơ sở (không quá 0,3%); giá trị nhỏ nhất của các cách tìm (cột Nelder – Mead) luôn nhỏ hơn K cơ sở và được dùng để kết luận.</w:t>
      </w:r>
    </w:p>
    <w:p>
      <w:pPr>
        <w:pStyle w:val="Heading2"/>
        <w:numPr>
          <w:ilvl w:val="0"/>
          <w:numId w:val="0"/>
        </w:numPr>
        <w:ind w:left="0" w:firstLine="0"/>
      </w:pPr>
      <w:bookmarkStart w:id="1039" w:name="_Toc1139"/>
      <w:r>
        <w:t xml:space="preserve">Phụ lục 7. Số liệu mưa lưu vực hồ Cà Giây</w:t>
      </w:r>
      <w:bookmarkEnd w:id="1039"/>
    </w:p>
    <w:p>
      <w:pPr>
        <w:pStyle w:val="Chuthichbang"/>
        <w:keepNext/>
      </w:pPr>
      <w:bookmarkStart w:id="1133" w:name="_Toc3057"/>
      <w:r>
        <w:t xml:space="preserve">Bảng PL12 </w:t>
      </w:r>
      <w:r>
        <w:t xml:space="preserve">Lượng mưa năm X</w:t>
      </w:r>
      <w:r>
        <w:rPr>
          <w:vertAlign w:val="subscript"/>
        </w:rPr>
        <w:t xml:space="preserve">năm</w:t>
      </w:r>
      <w:r>
        <w:t xml:space="preserve"> và lượng mưa 1 ngày lớn nhất X</w:t>
      </w:r>
      <w:r>
        <w:rPr>
          <w:vertAlign w:val="subscript"/>
        </w:rPr>
        <w:t xml:space="preserve">1max</w:t>
      </w:r>
      <w:r>
        <w:t xml:space="preserve"> của lưu vực (mm)</w:t>
      </w:r>
      <w:bookmarkEnd w:id="1133"/>
    </w:p>
    <w:tbl>
      <w:tblPr>
        <w:tblStyle w:val="TableGrid"/>
        <w:tblW w:type="auto" w:w="0"/>
        <w:jc w:val="center"/>
        <w:tblLayout w:type="fixed"/>
        <w:tblLook w:firstColumn="1" w:firstRow="1" w:lastColumn="0" w:lastRow="0" w:noHBand="0" w:noVBand="1" w:val="04A0"/>
      </w:tblPr>
      <w:tblGrid>
        <w:gridCol w:w="1000"/>
        <w:gridCol w:w="1500"/>
        <w:gridCol w:w="1500"/>
        <w:gridCol w:w="1000"/>
        <w:gridCol w:w="1500"/>
        <w:gridCol w:w="1500"/>
      </w:tblGrid>
      <w:tr>
        <w:trPr>
          <w:tblHeader w:val="true"/>
          <w:cantSplit w:val="true"/>
        </w:trPr>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r>
      <w:tr>
        <w:trPr>
          <w:cantSplit w:val="true"/>
        </w:trPr>
        <w:tc>
          <w:tcPr>
            <w:tcW w:type="dxa" w:w="1000"/>
          </w:tcPr>
          <w:p>
            <w:pPr>
              <w:spacing w:before="20" w:after="20" w:line="240" w:lineRule="auto"/>
              <w:jc w:val="center"/>
            </w:pPr>
            <w:r>
              <w:rPr>
                <w:sz w:val="20"/>
              </w:rPr>
              <w:t xml:space="preserve">1978</w:t>
            </w:r>
          </w:p>
        </w:tc>
        <w:tc>
          <w:tcPr>
            <w:tcW w:type="dxa" w:w="1500"/>
          </w:tcPr>
          <w:p>
            <w:pPr>
              <w:spacing w:before="20" w:after="20" w:line="240" w:lineRule="auto"/>
              <w:jc w:val="center"/>
            </w:pPr>
            <w:r>
              <w:rPr>
                <w:sz w:val="20"/>
              </w:rPr>
              <w:t xml:space="preserve">1354,3</w:t>
            </w:r>
          </w:p>
        </w:tc>
        <w:tc>
          <w:tcPr>
            <w:tcW w:type="dxa" w:w="1500"/>
          </w:tcPr>
          <w:p>
            <w:pPr>
              <w:spacing w:before="20" w:after="20" w:line="240" w:lineRule="auto"/>
              <w:jc w:val="center"/>
            </w:pPr>
            <w:r>
              <w:rPr>
                <w:sz w:val="20"/>
              </w:rPr>
              <w:t xml:space="preserve">110,3</w:t>
            </w:r>
          </w:p>
        </w:tc>
        <w:tc>
          <w:tcPr>
            <w:tcW w:type="dxa" w:w="1000"/>
          </w:tcPr>
          <w:p>
            <w:pPr>
              <w:spacing w:before="20" w:after="20" w:line="240" w:lineRule="auto"/>
              <w:jc w:val="center"/>
            </w:pPr>
            <w:r>
              <w:rPr>
                <w:sz w:val="20"/>
              </w:rPr>
              <w:t xml:space="preserve">2002</w:t>
            </w:r>
          </w:p>
        </w:tc>
        <w:tc>
          <w:tcPr>
            <w:tcW w:type="dxa" w:w="1500"/>
          </w:tcPr>
          <w:p>
            <w:pPr>
              <w:spacing w:before="20" w:after="20" w:line="240" w:lineRule="auto"/>
              <w:jc w:val="center"/>
            </w:pPr>
            <w:r>
              <w:rPr>
                <w:sz w:val="20"/>
              </w:rPr>
              <w:t xml:space="preserve">1112,3</w:t>
            </w:r>
          </w:p>
        </w:tc>
        <w:tc>
          <w:tcPr>
            <w:tcW w:type="dxa" w:w="1500"/>
          </w:tcPr>
          <w:p>
            <w:pPr>
              <w:spacing w:before="20" w:after="20" w:line="240" w:lineRule="auto"/>
              <w:jc w:val="center"/>
            </w:pPr>
            <w:r>
              <w:rPr>
                <w:sz w:val="20"/>
              </w:rPr>
              <w:t xml:space="preserve">121,8</w:t>
            </w:r>
          </w:p>
        </w:tc>
      </w:tr>
      <w:tr>
        <w:trPr>
          <w:cantSplit w:val="true"/>
        </w:trPr>
        <w:tc>
          <w:tcPr>
            <w:tcW w:type="dxa" w:w="1000"/>
          </w:tcPr>
          <w:p>
            <w:pPr>
              <w:spacing w:before="20" w:after="20" w:line="240" w:lineRule="auto"/>
              <w:jc w:val="center"/>
            </w:pPr>
            <w:r>
              <w:rPr>
                <w:sz w:val="20"/>
              </w:rPr>
              <w:t xml:space="preserve">1979</w:t>
            </w:r>
          </w:p>
        </w:tc>
        <w:tc>
          <w:tcPr>
            <w:tcW w:type="dxa" w:w="1500"/>
          </w:tcPr>
          <w:p>
            <w:pPr>
              <w:spacing w:before="20" w:after="20" w:line="240" w:lineRule="auto"/>
              <w:jc w:val="center"/>
            </w:pPr>
            <w:r>
              <w:rPr>
                <w:sz w:val="20"/>
              </w:rPr>
              <w:t xml:space="preserve">2133,0</w:t>
            </w:r>
          </w:p>
        </w:tc>
        <w:tc>
          <w:tcPr>
            <w:tcW w:type="dxa" w:w="1500"/>
          </w:tcPr>
          <w:p>
            <w:pPr>
              <w:spacing w:before="20" w:after="20" w:line="240" w:lineRule="auto"/>
              <w:jc w:val="center"/>
            </w:pPr>
            <w:r>
              <w:rPr>
                <w:sz w:val="20"/>
              </w:rPr>
              <w:t xml:space="preserve">145,1</w:t>
            </w:r>
          </w:p>
        </w:tc>
        <w:tc>
          <w:tcPr>
            <w:tcW w:type="dxa" w:w="1000"/>
          </w:tcPr>
          <w:p>
            <w:pPr>
              <w:spacing w:before="20" w:after="20" w:line="240" w:lineRule="auto"/>
              <w:jc w:val="center"/>
            </w:pPr>
            <w:r>
              <w:rPr>
                <w:sz w:val="20"/>
              </w:rPr>
              <w:t xml:space="preserve">2003</w:t>
            </w:r>
          </w:p>
        </w:tc>
        <w:tc>
          <w:tcPr>
            <w:tcW w:type="dxa" w:w="1500"/>
          </w:tcPr>
          <w:p>
            <w:pPr>
              <w:spacing w:before="20" w:after="20" w:line="240" w:lineRule="auto"/>
              <w:jc w:val="center"/>
            </w:pPr>
            <w:r>
              <w:rPr>
                <w:sz w:val="20"/>
              </w:rPr>
              <w:t xml:space="preserve">1230,4</w:t>
            </w:r>
          </w:p>
        </w:tc>
        <w:tc>
          <w:tcPr>
            <w:tcW w:type="dxa" w:w="1500"/>
          </w:tcPr>
          <w:p>
            <w:pPr>
              <w:spacing w:before="20" w:after="20" w:line="240" w:lineRule="auto"/>
              <w:jc w:val="center"/>
            </w:pPr>
            <w:r>
              <w:rPr>
                <w:sz w:val="20"/>
              </w:rPr>
              <w:t xml:space="preserve">280,4</w:t>
            </w:r>
          </w:p>
        </w:tc>
      </w:tr>
      <w:tr>
        <w:trPr>
          <w:cantSplit w:val="true"/>
        </w:trPr>
        <w:tc>
          <w:tcPr>
            <w:tcW w:type="dxa" w:w="1000"/>
          </w:tcPr>
          <w:p>
            <w:pPr>
              <w:spacing w:before="20" w:after="20" w:line="240" w:lineRule="auto"/>
              <w:jc w:val="center"/>
            </w:pPr>
            <w:r>
              <w:rPr>
                <w:sz w:val="20"/>
              </w:rPr>
              <w:t xml:space="preserve">1980</w:t>
            </w:r>
          </w:p>
        </w:tc>
        <w:tc>
          <w:tcPr>
            <w:tcW w:type="dxa" w:w="1500"/>
          </w:tcPr>
          <w:p>
            <w:pPr>
              <w:spacing w:before="20" w:after="20" w:line="240" w:lineRule="auto"/>
              <w:jc w:val="center"/>
            </w:pPr>
            <w:r>
              <w:rPr>
                <w:sz w:val="20"/>
              </w:rPr>
              <w:t xml:space="preserve">2232,8</w:t>
            </w:r>
          </w:p>
        </w:tc>
        <w:tc>
          <w:tcPr>
            <w:tcW w:type="dxa" w:w="1500"/>
          </w:tcPr>
          <w:p>
            <w:pPr>
              <w:spacing w:before="20" w:after="20" w:line="240" w:lineRule="auto"/>
              <w:jc w:val="center"/>
            </w:pPr>
            <w:r>
              <w:rPr>
                <w:sz w:val="20"/>
              </w:rPr>
              <w:t xml:space="preserve">122,5</w:t>
            </w:r>
          </w:p>
        </w:tc>
        <w:tc>
          <w:tcPr>
            <w:tcW w:type="dxa" w:w="1000"/>
          </w:tcPr>
          <w:p>
            <w:pPr>
              <w:spacing w:before="20" w:after="20" w:line="240" w:lineRule="auto"/>
              <w:jc w:val="center"/>
            </w:pPr>
            <w:r>
              <w:rPr>
                <w:sz w:val="20"/>
              </w:rPr>
              <w:t xml:space="preserve">2004</w:t>
            </w:r>
          </w:p>
        </w:tc>
        <w:tc>
          <w:tcPr>
            <w:tcW w:type="dxa" w:w="1500"/>
          </w:tcPr>
          <w:p>
            <w:pPr>
              <w:spacing w:before="20" w:after="20" w:line="240" w:lineRule="auto"/>
              <w:jc w:val="center"/>
            </w:pPr>
            <w:r>
              <w:rPr>
                <w:sz w:val="20"/>
              </w:rPr>
              <w:t xml:space="preserve">1029,2</w:t>
            </w:r>
          </w:p>
        </w:tc>
        <w:tc>
          <w:tcPr>
            <w:tcW w:type="dxa" w:w="1500"/>
          </w:tcPr>
          <w:p>
            <w:pPr>
              <w:spacing w:before="20" w:after="20" w:line="240" w:lineRule="auto"/>
              <w:jc w:val="center"/>
            </w:pPr>
            <w:r>
              <w:rPr>
                <w:sz w:val="20"/>
              </w:rPr>
              <w:t xml:space="preserve">87,8</w:t>
            </w:r>
          </w:p>
        </w:tc>
      </w:tr>
      <w:tr>
        <w:trPr>
          <w:cantSplit w:val="true"/>
        </w:trPr>
        <w:tc>
          <w:tcPr>
            <w:tcW w:type="dxa" w:w="1000"/>
          </w:tcPr>
          <w:p>
            <w:pPr>
              <w:spacing w:before="20" w:after="20" w:line="240" w:lineRule="auto"/>
              <w:jc w:val="center"/>
            </w:pPr>
            <w:r>
              <w:rPr>
                <w:sz w:val="20"/>
              </w:rPr>
              <w:t xml:space="preserve">1981</w:t>
            </w:r>
          </w:p>
        </w:tc>
        <w:tc>
          <w:tcPr>
            <w:tcW w:type="dxa" w:w="1500"/>
          </w:tcPr>
          <w:p>
            <w:pPr>
              <w:spacing w:before="20" w:after="20" w:line="240" w:lineRule="auto"/>
              <w:jc w:val="center"/>
            </w:pPr>
            <w:r>
              <w:rPr>
                <w:sz w:val="20"/>
              </w:rPr>
              <w:t xml:space="preserve">1924,8</w:t>
            </w:r>
          </w:p>
        </w:tc>
        <w:tc>
          <w:tcPr>
            <w:tcW w:type="dxa" w:w="1500"/>
          </w:tcPr>
          <w:p>
            <w:pPr>
              <w:spacing w:before="20" w:after="20" w:line="240" w:lineRule="auto"/>
              <w:jc w:val="center"/>
            </w:pPr>
            <w:r>
              <w:rPr>
                <w:sz w:val="20"/>
              </w:rPr>
              <w:t xml:space="preserve">97,0</w:t>
            </w:r>
          </w:p>
        </w:tc>
        <w:tc>
          <w:tcPr>
            <w:tcW w:type="dxa" w:w="1000"/>
          </w:tcPr>
          <w:p>
            <w:pPr>
              <w:spacing w:before="20" w:after="20" w:line="240" w:lineRule="auto"/>
              <w:jc w:val="center"/>
            </w:pPr>
            <w:r>
              <w:rPr>
                <w:sz w:val="20"/>
              </w:rPr>
              <w:t xml:space="preserve">2005</w:t>
            </w:r>
          </w:p>
        </w:tc>
        <w:tc>
          <w:tcPr>
            <w:tcW w:type="dxa" w:w="1500"/>
          </w:tcPr>
          <w:p>
            <w:pPr>
              <w:spacing w:before="20" w:after="20" w:line="240" w:lineRule="auto"/>
              <w:jc w:val="center"/>
            </w:pPr>
            <w:r>
              <w:rPr>
                <w:sz w:val="20"/>
              </w:rPr>
              <w:t xml:space="preserve">1242,2</w:t>
            </w:r>
          </w:p>
        </w:tc>
        <w:tc>
          <w:tcPr>
            <w:tcW w:type="dxa" w:w="1500"/>
          </w:tcPr>
          <w:p>
            <w:pPr>
              <w:spacing w:before="20" w:after="20" w:line="240" w:lineRule="auto"/>
              <w:jc w:val="center"/>
            </w:pPr>
            <w:r>
              <w:rPr>
                <w:sz w:val="20"/>
              </w:rPr>
              <w:t xml:space="preserve">92,7</w:t>
            </w:r>
          </w:p>
        </w:tc>
      </w:tr>
      <w:tr>
        <w:trPr>
          <w:cantSplit w:val="true"/>
        </w:trPr>
        <w:tc>
          <w:tcPr>
            <w:tcW w:type="dxa" w:w="1000"/>
          </w:tcPr>
          <w:p>
            <w:pPr>
              <w:spacing w:before="20" w:after="20" w:line="240" w:lineRule="auto"/>
              <w:jc w:val="center"/>
            </w:pPr>
            <w:r>
              <w:rPr>
                <w:sz w:val="20"/>
              </w:rPr>
              <w:t xml:space="preserve">1982</w:t>
            </w:r>
          </w:p>
        </w:tc>
        <w:tc>
          <w:tcPr>
            <w:tcW w:type="dxa" w:w="1500"/>
          </w:tcPr>
          <w:p>
            <w:pPr>
              <w:spacing w:before="20" w:after="20" w:line="240" w:lineRule="auto"/>
              <w:jc w:val="center"/>
            </w:pPr>
            <w:r>
              <w:rPr>
                <w:sz w:val="20"/>
              </w:rPr>
              <w:t xml:space="preserve">1557,5</w:t>
            </w:r>
          </w:p>
        </w:tc>
        <w:tc>
          <w:tcPr>
            <w:tcW w:type="dxa" w:w="1500"/>
          </w:tcPr>
          <w:p>
            <w:pPr>
              <w:spacing w:before="20" w:after="20" w:line="240" w:lineRule="auto"/>
              <w:jc w:val="center"/>
            </w:pPr>
            <w:r>
              <w:rPr>
                <w:sz w:val="20"/>
              </w:rPr>
              <w:t xml:space="preserve">245,0</w:t>
            </w:r>
          </w:p>
        </w:tc>
        <w:tc>
          <w:tcPr>
            <w:tcW w:type="dxa" w:w="1000"/>
          </w:tcPr>
          <w:p>
            <w:pPr>
              <w:spacing w:before="20" w:after="20" w:line="240" w:lineRule="auto"/>
              <w:jc w:val="center"/>
            </w:pPr>
            <w:r>
              <w:rPr>
                <w:sz w:val="20"/>
              </w:rPr>
              <w:t xml:space="preserve">2006</w:t>
            </w:r>
          </w:p>
        </w:tc>
        <w:tc>
          <w:tcPr>
            <w:tcW w:type="dxa" w:w="1500"/>
          </w:tcPr>
          <w:p>
            <w:pPr>
              <w:spacing w:before="20" w:after="20" w:line="240" w:lineRule="auto"/>
              <w:jc w:val="center"/>
            </w:pPr>
            <w:r>
              <w:rPr>
                <w:sz w:val="20"/>
              </w:rPr>
              <w:t xml:space="preserve">1333,1</w:t>
            </w:r>
          </w:p>
        </w:tc>
        <w:tc>
          <w:tcPr>
            <w:tcW w:type="dxa" w:w="1500"/>
          </w:tcPr>
          <w:p>
            <w:pPr>
              <w:spacing w:before="20" w:after="20" w:line="240" w:lineRule="auto"/>
              <w:jc w:val="center"/>
            </w:pPr>
            <w:r>
              <w:rPr>
                <w:sz w:val="20"/>
              </w:rPr>
              <w:t xml:space="preserve">89,6</w:t>
            </w:r>
          </w:p>
        </w:tc>
      </w:tr>
      <w:tr>
        <w:trPr>
          <w:cantSplit w:val="true"/>
        </w:trPr>
        <w:tc>
          <w:tcPr>
            <w:tcW w:type="dxa" w:w="1000"/>
          </w:tcPr>
          <w:p>
            <w:pPr>
              <w:spacing w:before="20" w:after="20" w:line="240" w:lineRule="auto"/>
              <w:jc w:val="center"/>
            </w:pPr>
            <w:r>
              <w:rPr>
                <w:sz w:val="20"/>
              </w:rPr>
              <w:t xml:space="preserve">1983</w:t>
            </w:r>
          </w:p>
        </w:tc>
        <w:tc>
          <w:tcPr>
            <w:tcW w:type="dxa" w:w="1500"/>
          </w:tcPr>
          <w:p>
            <w:pPr>
              <w:spacing w:before="20" w:after="20" w:line="240" w:lineRule="auto"/>
              <w:jc w:val="center"/>
            </w:pPr>
            <w:r>
              <w:rPr>
                <w:sz w:val="20"/>
              </w:rPr>
              <w:t xml:space="preserve">1439,2</w:t>
            </w:r>
          </w:p>
        </w:tc>
        <w:tc>
          <w:tcPr>
            <w:tcW w:type="dxa" w:w="1500"/>
          </w:tcPr>
          <w:p>
            <w:pPr>
              <w:spacing w:before="20" w:after="20" w:line="240" w:lineRule="auto"/>
              <w:jc w:val="center"/>
            </w:pPr>
            <w:r>
              <w:rPr>
                <w:sz w:val="20"/>
              </w:rPr>
              <w:t xml:space="preserve">168,5</w:t>
            </w:r>
          </w:p>
        </w:tc>
        <w:tc>
          <w:tcPr>
            <w:tcW w:type="dxa" w:w="1000"/>
          </w:tcPr>
          <w:p>
            <w:pPr>
              <w:spacing w:before="20" w:after="20" w:line="240" w:lineRule="auto"/>
              <w:jc w:val="center"/>
            </w:pPr>
            <w:r>
              <w:rPr>
                <w:sz w:val="20"/>
              </w:rPr>
              <w:t xml:space="preserve">2007</w:t>
            </w:r>
          </w:p>
        </w:tc>
        <w:tc>
          <w:tcPr>
            <w:tcW w:type="dxa" w:w="1500"/>
          </w:tcPr>
          <w:p>
            <w:pPr>
              <w:spacing w:before="20" w:after="20" w:line="240" w:lineRule="auto"/>
              <w:jc w:val="center"/>
            </w:pPr>
            <w:r>
              <w:rPr>
                <w:sz w:val="20"/>
              </w:rPr>
              <w:t xml:space="preserve">1700,6</w:t>
            </w:r>
          </w:p>
        </w:tc>
        <w:tc>
          <w:tcPr>
            <w:tcW w:type="dxa" w:w="1500"/>
          </w:tcPr>
          <w:p>
            <w:pPr>
              <w:spacing w:before="20" w:after="20" w:line="240" w:lineRule="auto"/>
              <w:jc w:val="center"/>
            </w:pPr>
            <w:r>
              <w:rPr>
                <w:sz w:val="20"/>
              </w:rPr>
              <w:t xml:space="preserve">124,3</w:t>
            </w:r>
          </w:p>
        </w:tc>
      </w:tr>
      <w:tr>
        <w:trPr>
          <w:cantSplit w:val="true"/>
        </w:trPr>
        <w:tc>
          <w:tcPr>
            <w:tcW w:type="dxa" w:w="1000"/>
          </w:tcPr>
          <w:p>
            <w:pPr>
              <w:spacing w:before="20" w:after="20" w:line="240" w:lineRule="auto"/>
              <w:jc w:val="center"/>
            </w:pPr>
            <w:r>
              <w:rPr>
                <w:sz w:val="20"/>
              </w:rPr>
              <w:t xml:space="preserve">1984</w:t>
            </w:r>
          </w:p>
        </w:tc>
        <w:tc>
          <w:tcPr>
            <w:tcW w:type="dxa" w:w="1500"/>
          </w:tcPr>
          <w:p>
            <w:pPr>
              <w:spacing w:before="20" w:after="20" w:line="240" w:lineRule="auto"/>
              <w:jc w:val="center"/>
            </w:pPr>
            <w:r>
              <w:rPr>
                <w:sz w:val="20"/>
              </w:rPr>
              <w:t xml:space="preserve">1523,2</w:t>
            </w:r>
          </w:p>
        </w:tc>
        <w:tc>
          <w:tcPr>
            <w:tcW w:type="dxa" w:w="1500"/>
          </w:tcPr>
          <w:p>
            <w:pPr>
              <w:spacing w:before="20" w:after="20" w:line="240" w:lineRule="auto"/>
              <w:jc w:val="center"/>
            </w:pPr>
            <w:r>
              <w:rPr>
                <w:sz w:val="20"/>
              </w:rPr>
              <w:t xml:space="preserve">70,4</w:t>
            </w:r>
          </w:p>
        </w:tc>
        <w:tc>
          <w:tcPr>
            <w:tcW w:type="dxa" w:w="1000"/>
          </w:tcPr>
          <w:p>
            <w:pPr>
              <w:spacing w:before="20" w:after="20" w:line="240" w:lineRule="auto"/>
              <w:jc w:val="center"/>
            </w:pPr>
            <w:r>
              <w:rPr>
                <w:sz w:val="20"/>
              </w:rPr>
              <w:t xml:space="preserve">2008</w:t>
            </w:r>
          </w:p>
        </w:tc>
        <w:tc>
          <w:tcPr>
            <w:tcW w:type="dxa" w:w="1500"/>
          </w:tcPr>
          <w:p>
            <w:pPr>
              <w:spacing w:before="20" w:after="20" w:line="240" w:lineRule="auto"/>
              <w:jc w:val="center"/>
            </w:pPr>
            <w:r>
              <w:rPr>
                <w:sz w:val="20"/>
              </w:rPr>
              <w:t xml:space="preserve">1562,1</w:t>
            </w:r>
          </w:p>
        </w:tc>
        <w:tc>
          <w:tcPr>
            <w:tcW w:type="dxa" w:w="1500"/>
          </w:tcPr>
          <w:p>
            <w:pPr>
              <w:spacing w:before="20" w:after="20" w:line="240" w:lineRule="auto"/>
              <w:jc w:val="center"/>
            </w:pPr>
            <w:r>
              <w:rPr>
                <w:sz w:val="20"/>
              </w:rPr>
              <w:t xml:space="preserve">162,7</w:t>
            </w:r>
          </w:p>
        </w:tc>
      </w:tr>
      <w:tr>
        <w:trPr>
          <w:cantSplit w:val="true"/>
        </w:trPr>
        <w:tc>
          <w:tcPr>
            <w:tcW w:type="dxa" w:w="1000"/>
          </w:tcPr>
          <w:p>
            <w:pPr>
              <w:spacing w:before="20" w:after="20" w:line="240" w:lineRule="auto"/>
              <w:jc w:val="center"/>
            </w:pPr>
            <w:r>
              <w:rPr>
                <w:sz w:val="20"/>
              </w:rPr>
              <w:t xml:space="preserve">1985</w:t>
            </w:r>
          </w:p>
        </w:tc>
        <w:tc>
          <w:tcPr>
            <w:tcW w:type="dxa" w:w="1500"/>
          </w:tcPr>
          <w:p>
            <w:pPr>
              <w:spacing w:before="20" w:after="20" w:line="240" w:lineRule="auto"/>
              <w:jc w:val="center"/>
            </w:pPr>
            <w:r>
              <w:rPr>
                <w:sz w:val="20"/>
              </w:rPr>
              <w:t xml:space="preserve">1040,1</w:t>
            </w:r>
          </w:p>
        </w:tc>
        <w:tc>
          <w:tcPr>
            <w:tcW w:type="dxa" w:w="1500"/>
          </w:tcPr>
          <w:p>
            <w:pPr>
              <w:spacing w:before="20" w:after="20" w:line="240" w:lineRule="auto"/>
              <w:jc w:val="center"/>
            </w:pPr>
            <w:r>
              <w:rPr>
                <w:sz w:val="20"/>
              </w:rPr>
              <w:t xml:space="preserve">68,3</w:t>
            </w:r>
          </w:p>
        </w:tc>
        <w:tc>
          <w:tcPr>
            <w:tcW w:type="dxa" w:w="1000"/>
          </w:tcPr>
          <w:p>
            <w:pPr>
              <w:spacing w:before="20" w:after="20" w:line="240" w:lineRule="auto"/>
              <w:jc w:val="center"/>
            </w:pPr>
            <w:r>
              <w:rPr>
                <w:sz w:val="20"/>
              </w:rPr>
              <w:t xml:space="preserve">2009</w:t>
            </w:r>
          </w:p>
        </w:tc>
        <w:tc>
          <w:tcPr>
            <w:tcW w:type="dxa" w:w="1500"/>
          </w:tcPr>
          <w:p>
            <w:pPr>
              <w:spacing w:before="20" w:after="20" w:line="240" w:lineRule="auto"/>
              <w:jc w:val="center"/>
            </w:pPr>
            <w:r>
              <w:rPr>
                <w:sz w:val="20"/>
              </w:rPr>
              <w:t xml:space="preserve">1331,0</w:t>
            </w:r>
          </w:p>
        </w:tc>
        <w:tc>
          <w:tcPr>
            <w:tcW w:type="dxa" w:w="1500"/>
          </w:tcPr>
          <w:p>
            <w:pPr>
              <w:spacing w:before="20" w:after="20" w:line="240" w:lineRule="auto"/>
              <w:jc w:val="center"/>
            </w:pPr>
            <w:r>
              <w:rPr>
                <w:sz w:val="20"/>
              </w:rPr>
              <w:t xml:space="preserve">103,4</w:t>
            </w:r>
          </w:p>
        </w:tc>
      </w:tr>
      <w:tr>
        <w:trPr>
          <w:cantSplit w:val="true"/>
        </w:trPr>
        <w:tc>
          <w:tcPr>
            <w:tcW w:type="dxa" w:w="1000"/>
          </w:tcPr>
          <w:p>
            <w:pPr>
              <w:spacing w:before="20" w:after="20" w:line="240" w:lineRule="auto"/>
              <w:jc w:val="center"/>
            </w:pPr>
            <w:r>
              <w:rPr>
                <w:sz w:val="20"/>
              </w:rPr>
              <w:t xml:space="preserve">1986</w:t>
            </w:r>
          </w:p>
        </w:tc>
        <w:tc>
          <w:tcPr>
            <w:tcW w:type="dxa" w:w="1500"/>
          </w:tcPr>
          <w:p>
            <w:pPr>
              <w:spacing w:before="20" w:after="20" w:line="240" w:lineRule="auto"/>
              <w:jc w:val="center"/>
            </w:pPr>
            <w:r>
              <w:rPr>
                <w:sz w:val="20"/>
              </w:rPr>
              <w:t xml:space="preserve">1443,2</w:t>
            </w:r>
          </w:p>
        </w:tc>
        <w:tc>
          <w:tcPr>
            <w:tcW w:type="dxa" w:w="1500"/>
          </w:tcPr>
          <w:p>
            <w:pPr>
              <w:spacing w:before="20" w:after="20" w:line="240" w:lineRule="auto"/>
              <w:jc w:val="center"/>
            </w:pPr>
            <w:r>
              <w:rPr>
                <w:sz w:val="20"/>
              </w:rPr>
              <w:t xml:space="preserve">147,1</w:t>
            </w:r>
          </w:p>
        </w:tc>
        <w:tc>
          <w:tcPr>
            <w:tcW w:type="dxa" w:w="1000"/>
          </w:tcPr>
          <w:p>
            <w:pPr>
              <w:spacing w:before="20" w:after="20" w:line="240" w:lineRule="auto"/>
              <w:jc w:val="center"/>
            </w:pPr>
            <w:r>
              <w:rPr>
                <w:sz w:val="20"/>
              </w:rPr>
              <w:t xml:space="preserve">2010</w:t>
            </w:r>
          </w:p>
        </w:tc>
        <w:tc>
          <w:tcPr>
            <w:tcW w:type="dxa" w:w="1500"/>
          </w:tcPr>
          <w:p>
            <w:pPr>
              <w:spacing w:before="20" w:after="20" w:line="240" w:lineRule="auto"/>
              <w:jc w:val="center"/>
            </w:pPr>
            <w:r>
              <w:rPr>
                <w:sz w:val="20"/>
              </w:rPr>
              <w:t xml:space="preserve">2299,1</w:t>
            </w:r>
          </w:p>
        </w:tc>
        <w:tc>
          <w:tcPr>
            <w:tcW w:type="dxa" w:w="1500"/>
          </w:tcPr>
          <w:p>
            <w:pPr>
              <w:spacing w:before="20" w:after="20" w:line="240" w:lineRule="auto"/>
              <w:jc w:val="center"/>
            </w:pPr>
            <w:r>
              <w:rPr>
                <w:sz w:val="20"/>
              </w:rPr>
              <w:t xml:space="preserve">234,4</w:t>
            </w:r>
          </w:p>
        </w:tc>
      </w:tr>
      <w:tr>
        <w:trPr>
          <w:cantSplit w:val="true"/>
        </w:trPr>
        <w:tc>
          <w:tcPr>
            <w:tcW w:type="dxa" w:w="1000"/>
          </w:tcPr>
          <w:p>
            <w:pPr>
              <w:spacing w:before="20" w:after="20" w:line="240" w:lineRule="auto"/>
              <w:jc w:val="center"/>
            </w:pPr>
            <w:r>
              <w:rPr>
                <w:sz w:val="20"/>
              </w:rPr>
              <w:t xml:space="preserve">1987</w:t>
            </w:r>
          </w:p>
        </w:tc>
        <w:tc>
          <w:tcPr>
            <w:tcW w:type="dxa" w:w="1500"/>
          </w:tcPr>
          <w:p>
            <w:pPr>
              <w:spacing w:before="20" w:after="20" w:line="240" w:lineRule="auto"/>
              <w:jc w:val="center"/>
            </w:pPr>
            <w:r>
              <w:rPr>
                <w:sz w:val="20"/>
              </w:rPr>
              <w:t xml:space="preserve">1237,7</w:t>
            </w:r>
          </w:p>
        </w:tc>
        <w:tc>
          <w:tcPr>
            <w:tcW w:type="dxa" w:w="1500"/>
          </w:tcPr>
          <w:p>
            <w:pPr>
              <w:spacing w:before="20" w:after="20" w:line="240" w:lineRule="auto"/>
              <w:jc w:val="center"/>
            </w:pPr>
            <w:r>
              <w:rPr>
                <w:sz w:val="20"/>
              </w:rPr>
              <w:t xml:space="preserve">170,6</w:t>
            </w:r>
          </w:p>
        </w:tc>
        <w:tc>
          <w:tcPr>
            <w:tcW w:type="dxa" w:w="1000"/>
          </w:tcPr>
          <w:p>
            <w:pPr>
              <w:spacing w:before="20" w:after="20" w:line="240" w:lineRule="auto"/>
              <w:jc w:val="center"/>
            </w:pPr>
            <w:r>
              <w:rPr>
                <w:sz w:val="20"/>
              </w:rPr>
              <w:t xml:space="preserve">2011</w:t>
            </w:r>
          </w:p>
        </w:tc>
        <w:tc>
          <w:tcPr>
            <w:tcW w:type="dxa" w:w="1500"/>
          </w:tcPr>
          <w:p>
            <w:pPr>
              <w:spacing w:before="20" w:after="20" w:line="240" w:lineRule="auto"/>
              <w:jc w:val="center"/>
            </w:pPr>
            <w:r>
              <w:rPr>
                <w:sz w:val="20"/>
              </w:rPr>
              <w:t xml:space="preserve">1881,7</w:t>
            </w:r>
          </w:p>
        </w:tc>
        <w:tc>
          <w:tcPr>
            <w:tcW w:type="dxa" w:w="1500"/>
          </w:tcPr>
          <w:p>
            <w:pPr>
              <w:spacing w:before="20" w:after="20" w:line="240" w:lineRule="auto"/>
              <w:jc w:val="center"/>
            </w:pPr>
            <w:r>
              <w:rPr>
                <w:sz w:val="20"/>
              </w:rPr>
              <w:t xml:space="preserve">85,7</w:t>
            </w:r>
          </w:p>
        </w:tc>
      </w:tr>
      <w:tr>
        <w:trPr>
          <w:cantSplit w:val="true"/>
        </w:trPr>
        <w:tc>
          <w:tcPr>
            <w:tcW w:type="dxa" w:w="1000"/>
          </w:tcPr>
          <w:p>
            <w:pPr>
              <w:spacing w:before="20" w:after="20" w:line="240" w:lineRule="auto"/>
              <w:jc w:val="center"/>
            </w:pPr>
            <w:r>
              <w:rPr>
                <w:sz w:val="20"/>
              </w:rPr>
              <w:t xml:space="preserve">1988</w:t>
            </w:r>
          </w:p>
        </w:tc>
        <w:tc>
          <w:tcPr>
            <w:tcW w:type="dxa" w:w="1500"/>
          </w:tcPr>
          <w:p>
            <w:pPr>
              <w:spacing w:before="20" w:after="20" w:line="240" w:lineRule="auto"/>
              <w:jc w:val="center"/>
            </w:pPr>
            <w:r>
              <w:rPr>
                <w:sz w:val="20"/>
              </w:rPr>
              <w:t xml:space="preserve">1088,7</w:t>
            </w:r>
          </w:p>
        </w:tc>
        <w:tc>
          <w:tcPr>
            <w:tcW w:type="dxa" w:w="1500"/>
          </w:tcPr>
          <w:p>
            <w:pPr>
              <w:spacing w:before="20" w:after="20" w:line="240" w:lineRule="auto"/>
              <w:jc w:val="center"/>
            </w:pPr>
            <w:r>
              <w:rPr>
                <w:sz w:val="20"/>
              </w:rPr>
              <w:t xml:space="preserve">70,0</w:t>
            </w:r>
          </w:p>
        </w:tc>
        <w:tc>
          <w:tcPr>
            <w:tcW w:type="dxa" w:w="1000"/>
          </w:tcPr>
          <w:p>
            <w:pPr>
              <w:spacing w:before="20" w:after="20" w:line="240" w:lineRule="auto"/>
              <w:jc w:val="center"/>
            </w:pPr>
            <w:r>
              <w:rPr>
                <w:sz w:val="20"/>
              </w:rPr>
              <w:t xml:space="preserve">2012</w:t>
            </w:r>
          </w:p>
        </w:tc>
        <w:tc>
          <w:tcPr>
            <w:tcW w:type="dxa" w:w="1500"/>
          </w:tcPr>
          <w:p>
            <w:pPr>
              <w:spacing w:before="20" w:after="20" w:line="240" w:lineRule="auto"/>
              <w:jc w:val="center"/>
            </w:pPr>
            <w:r>
              <w:rPr>
                <w:sz w:val="20"/>
              </w:rPr>
              <w:t xml:space="preserve">1781,9</w:t>
            </w:r>
          </w:p>
        </w:tc>
        <w:tc>
          <w:tcPr>
            <w:tcW w:type="dxa" w:w="1500"/>
          </w:tcPr>
          <w:p>
            <w:pPr>
              <w:spacing w:before="20" w:after="20" w:line="240" w:lineRule="auto"/>
              <w:jc w:val="center"/>
            </w:pPr>
            <w:r>
              <w:rPr>
                <w:sz w:val="20"/>
              </w:rPr>
              <w:t xml:space="preserve">116,5</w:t>
            </w:r>
          </w:p>
        </w:tc>
      </w:tr>
      <w:tr>
        <w:trPr>
          <w:cantSplit w:val="true"/>
        </w:trPr>
        <w:tc>
          <w:tcPr>
            <w:tcW w:type="dxa" w:w="1000"/>
          </w:tcPr>
          <w:p>
            <w:pPr>
              <w:spacing w:before="20" w:after="20" w:line="240" w:lineRule="auto"/>
              <w:jc w:val="center"/>
            </w:pPr>
            <w:r>
              <w:rPr>
                <w:sz w:val="20"/>
              </w:rPr>
              <w:t xml:space="preserve">1989</w:t>
            </w:r>
          </w:p>
        </w:tc>
        <w:tc>
          <w:tcPr>
            <w:tcW w:type="dxa" w:w="1500"/>
          </w:tcPr>
          <w:p>
            <w:pPr>
              <w:spacing w:before="20" w:after="20" w:line="240" w:lineRule="auto"/>
              <w:jc w:val="center"/>
            </w:pPr>
            <w:r>
              <w:rPr>
                <w:sz w:val="20"/>
              </w:rPr>
              <w:t xml:space="preserve">1468,7</w:t>
            </w:r>
          </w:p>
        </w:tc>
        <w:tc>
          <w:tcPr>
            <w:tcW w:type="dxa" w:w="1500"/>
          </w:tcPr>
          <w:p>
            <w:pPr>
              <w:spacing w:before="20" w:after="20" w:line="240" w:lineRule="auto"/>
              <w:jc w:val="center"/>
            </w:pPr>
            <w:r>
              <w:rPr>
                <w:sz w:val="20"/>
              </w:rPr>
              <w:t xml:space="preserve">102,5</w:t>
            </w:r>
          </w:p>
        </w:tc>
        <w:tc>
          <w:tcPr>
            <w:tcW w:type="dxa" w:w="1000"/>
          </w:tcPr>
          <w:p>
            <w:pPr>
              <w:spacing w:before="20" w:after="20" w:line="240" w:lineRule="auto"/>
              <w:jc w:val="center"/>
            </w:pPr>
            <w:r>
              <w:rPr>
                <w:sz w:val="20"/>
              </w:rPr>
              <w:t xml:space="preserve">2013</w:t>
            </w:r>
          </w:p>
        </w:tc>
        <w:tc>
          <w:tcPr>
            <w:tcW w:type="dxa" w:w="1500"/>
          </w:tcPr>
          <w:p>
            <w:pPr>
              <w:spacing w:before="20" w:after="20" w:line="240" w:lineRule="auto"/>
              <w:jc w:val="center"/>
            </w:pPr>
            <w:r>
              <w:rPr>
                <w:sz w:val="20"/>
              </w:rPr>
              <w:t xml:space="preserve">2187,3</w:t>
            </w:r>
          </w:p>
        </w:tc>
        <w:tc>
          <w:tcPr>
            <w:tcW w:type="dxa" w:w="1500"/>
          </w:tcPr>
          <w:p>
            <w:pPr>
              <w:spacing w:before="20" w:after="20" w:line="240" w:lineRule="auto"/>
              <w:jc w:val="center"/>
            </w:pPr>
            <w:r>
              <w:rPr>
                <w:sz w:val="20"/>
              </w:rPr>
              <w:t xml:space="preserve">122,5</w:t>
            </w:r>
          </w:p>
        </w:tc>
      </w:tr>
      <w:tr>
        <w:trPr>
          <w:cantSplit w:val="true"/>
        </w:trPr>
        <w:tc>
          <w:tcPr>
            <w:tcW w:type="dxa" w:w="1000"/>
          </w:tcPr>
          <w:p>
            <w:pPr>
              <w:spacing w:before="20" w:after="20" w:line="240" w:lineRule="auto"/>
              <w:jc w:val="center"/>
            </w:pPr>
            <w:r>
              <w:rPr>
                <w:sz w:val="20"/>
              </w:rPr>
              <w:t xml:space="preserve">1990</w:t>
            </w:r>
          </w:p>
        </w:tc>
        <w:tc>
          <w:tcPr>
            <w:tcW w:type="dxa" w:w="1500"/>
          </w:tcPr>
          <w:p>
            <w:pPr>
              <w:spacing w:before="20" w:after="20" w:line="240" w:lineRule="auto"/>
              <w:jc w:val="center"/>
            </w:pPr>
            <w:r>
              <w:rPr>
                <w:sz w:val="20"/>
              </w:rPr>
              <w:t xml:space="preserve">1593,4</w:t>
            </w:r>
          </w:p>
        </w:tc>
        <w:tc>
          <w:tcPr>
            <w:tcW w:type="dxa" w:w="1500"/>
          </w:tcPr>
          <w:p>
            <w:pPr>
              <w:spacing w:before="20" w:after="20" w:line="240" w:lineRule="auto"/>
              <w:jc w:val="center"/>
            </w:pPr>
            <w:r>
              <w:rPr>
                <w:sz w:val="20"/>
              </w:rPr>
              <w:t xml:space="preserve">108,5</w:t>
            </w:r>
          </w:p>
        </w:tc>
        <w:tc>
          <w:tcPr>
            <w:tcW w:type="dxa" w:w="1000"/>
          </w:tcPr>
          <w:p>
            <w:pPr>
              <w:spacing w:before="20" w:after="20" w:line="240" w:lineRule="auto"/>
              <w:jc w:val="center"/>
            </w:pPr>
            <w:r>
              <w:rPr>
                <w:sz w:val="20"/>
              </w:rPr>
              <w:t xml:space="preserve">2014</w:t>
            </w:r>
          </w:p>
        </w:tc>
        <w:tc>
          <w:tcPr>
            <w:tcW w:type="dxa" w:w="1500"/>
          </w:tcPr>
          <w:p>
            <w:pPr>
              <w:spacing w:before="20" w:after="20" w:line="240" w:lineRule="auto"/>
              <w:jc w:val="center"/>
            </w:pPr>
            <w:r>
              <w:rPr>
                <w:sz w:val="20"/>
              </w:rPr>
              <w:t xml:space="preserve">1788,4</w:t>
            </w:r>
          </w:p>
        </w:tc>
        <w:tc>
          <w:tcPr>
            <w:tcW w:type="dxa" w:w="1500"/>
          </w:tcPr>
          <w:p>
            <w:pPr>
              <w:spacing w:before="20" w:after="20" w:line="240" w:lineRule="auto"/>
              <w:jc w:val="center"/>
            </w:pPr>
            <w:r>
              <w:rPr>
                <w:sz w:val="20"/>
              </w:rPr>
              <w:t xml:space="preserve">118,3</w:t>
            </w:r>
          </w:p>
        </w:tc>
      </w:tr>
      <w:tr>
        <w:trPr>
          <w:cantSplit w:val="true"/>
        </w:trPr>
        <w:tc>
          <w:tcPr>
            <w:tcW w:type="dxa" w:w="1000"/>
          </w:tcPr>
          <w:p>
            <w:pPr>
              <w:spacing w:before="20" w:after="20" w:line="240" w:lineRule="auto"/>
              <w:jc w:val="center"/>
            </w:pPr>
            <w:r>
              <w:rPr>
                <w:sz w:val="20"/>
              </w:rPr>
              <w:t xml:space="preserve">1991</w:t>
            </w:r>
          </w:p>
        </w:tc>
        <w:tc>
          <w:tcPr>
            <w:tcW w:type="dxa" w:w="1500"/>
          </w:tcPr>
          <w:p>
            <w:pPr>
              <w:spacing w:before="20" w:after="20" w:line="240" w:lineRule="auto"/>
              <w:jc w:val="center"/>
            </w:pPr>
            <w:r>
              <w:rPr>
                <w:sz w:val="20"/>
              </w:rPr>
              <w:t xml:space="preserve">1167,9</w:t>
            </w:r>
          </w:p>
        </w:tc>
        <w:tc>
          <w:tcPr>
            <w:tcW w:type="dxa" w:w="1500"/>
          </w:tcPr>
          <w:p>
            <w:pPr>
              <w:spacing w:before="20" w:after="20" w:line="240" w:lineRule="auto"/>
              <w:jc w:val="center"/>
            </w:pPr>
            <w:r>
              <w:rPr>
                <w:sz w:val="20"/>
              </w:rPr>
              <w:t xml:space="preserve">119,4</w:t>
            </w:r>
          </w:p>
        </w:tc>
        <w:tc>
          <w:tcPr>
            <w:tcW w:type="dxa" w:w="1000"/>
          </w:tcPr>
          <w:p>
            <w:pPr>
              <w:spacing w:before="20" w:after="20" w:line="240" w:lineRule="auto"/>
              <w:jc w:val="center"/>
            </w:pPr>
            <w:r>
              <w:rPr>
                <w:sz w:val="20"/>
              </w:rPr>
              <w:t xml:space="preserve">2015</w:t>
            </w:r>
          </w:p>
        </w:tc>
        <w:tc>
          <w:tcPr>
            <w:tcW w:type="dxa" w:w="1500"/>
          </w:tcPr>
          <w:p>
            <w:pPr>
              <w:spacing w:before="20" w:after="20" w:line="240" w:lineRule="auto"/>
              <w:jc w:val="center"/>
            </w:pPr>
            <w:r>
              <w:rPr>
                <w:sz w:val="20"/>
              </w:rPr>
              <w:t xml:space="preserve">1201,3</w:t>
            </w:r>
          </w:p>
        </w:tc>
        <w:tc>
          <w:tcPr>
            <w:tcW w:type="dxa" w:w="1500"/>
          </w:tcPr>
          <w:p>
            <w:pPr>
              <w:spacing w:before="20" w:after="20" w:line="240" w:lineRule="auto"/>
              <w:jc w:val="center"/>
            </w:pPr>
            <w:r>
              <w:rPr>
                <w:sz w:val="20"/>
              </w:rPr>
              <w:t xml:space="preserve">120,3</w:t>
            </w:r>
          </w:p>
        </w:tc>
      </w:tr>
      <w:tr>
        <w:trPr>
          <w:cantSplit w:val="true"/>
        </w:trPr>
        <w:tc>
          <w:tcPr>
            <w:tcW w:type="dxa" w:w="1000"/>
          </w:tcPr>
          <w:p>
            <w:pPr>
              <w:spacing w:before="20" w:after="20" w:line="240" w:lineRule="auto"/>
              <w:jc w:val="center"/>
            </w:pPr>
            <w:r>
              <w:rPr>
                <w:sz w:val="20"/>
              </w:rPr>
              <w:t xml:space="preserve">1992</w:t>
            </w:r>
          </w:p>
        </w:tc>
        <w:tc>
          <w:tcPr>
            <w:tcW w:type="dxa" w:w="1500"/>
          </w:tcPr>
          <w:p>
            <w:pPr>
              <w:spacing w:before="20" w:after="20" w:line="240" w:lineRule="auto"/>
              <w:jc w:val="center"/>
            </w:pPr>
            <w:r>
              <w:rPr>
                <w:sz w:val="20"/>
              </w:rPr>
              <w:t xml:space="preserve">1159,7</w:t>
            </w:r>
          </w:p>
        </w:tc>
        <w:tc>
          <w:tcPr>
            <w:tcW w:type="dxa" w:w="1500"/>
          </w:tcPr>
          <w:p>
            <w:pPr>
              <w:spacing w:before="20" w:after="20" w:line="240" w:lineRule="auto"/>
              <w:jc w:val="center"/>
            </w:pPr>
            <w:r>
              <w:rPr>
                <w:sz w:val="20"/>
              </w:rPr>
              <w:t xml:space="preserve">96,2</w:t>
            </w:r>
          </w:p>
        </w:tc>
        <w:tc>
          <w:tcPr>
            <w:tcW w:type="dxa" w:w="1000"/>
          </w:tcPr>
          <w:p>
            <w:pPr>
              <w:spacing w:before="20" w:after="20" w:line="240" w:lineRule="auto"/>
              <w:jc w:val="center"/>
            </w:pPr>
            <w:r>
              <w:rPr>
                <w:sz w:val="20"/>
              </w:rPr>
              <w:t xml:space="preserve">2016</w:t>
            </w:r>
          </w:p>
        </w:tc>
        <w:tc>
          <w:tcPr>
            <w:tcW w:type="dxa" w:w="1500"/>
          </w:tcPr>
          <w:p>
            <w:pPr>
              <w:spacing w:before="20" w:after="20" w:line="240" w:lineRule="auto"/>
              <w:jc w:val="center"/>
            </w:pPr>
            <w:r>
              <w:rPr>
                <w:sz w:val="20"/>
              </w:rPr>
              <w:t xml:space="preserve">1480,8</w:t>
            </w:r>
          </w:p>
        </w:tc>
        <w:tc>
          <w:tcPr>
            <w:tcW w:type="dxa" w:w="1500"/>
          </w:tcPr>
          <w:p>
            <w:pPr>
              <w:spacing w:before="20" w:after="20" w:line="240" w:lineRule="auto"/>
              <w:jc w:val="center"/>
            </w:pPr>
            <w:r>
              <w:rPr>
                <w:sz w:val="20"/>
              </w:rPr>
              <w:t xml:space="preserve">119,9</w:t>
            </w:r>
          </w:p>
        </w:tc>
      </w:tr>
      <w:tr>
        <w:trPr>
          <w:cantSplit w:val="true"/>
        </w:trPr>
        <w:tc>
          <w:tcPr>
            <w:tcW w:type="dxa" w:w="1000"/>
          </w:tcPr>
          <w:p>
            <w:pPr>
              <w:spacing w:before="20" w:after="20" w:line="240" w:lineRule="auto"/>
              <w:jc w:val="center"/>
            </w:pPr>
            <w:r>
              <w:rPr>
                <w:sz w:val="20"/>
              </w:rPr>
              <w:t xml:space="preserve">1993</w:t>
            </w:r>
          </w:p>
        </w:tc>
        <w:tc>
          <w:tcPr>
            <w:tcW w:type="dxa" w:w="1500"/>
          </w:tcPr>
          <w:p>
            <w:pPr>
              <w:spacing w:before="20" w:after="20" w:line="240" w:lineRule="auto"/>
              <w:jc w:val="center"/>
            </w:pPr>
            <w:r>
              <w:rPr>
                <w:sz w:val="20"/>
              </w:rPr>
              <w:t xml:space="preserve">1332,8</w:t>
            </w:r>
          </w:p>
        </w:tc>
        <w:tc>
          <w:tcPr>
            <w:tcW w:type="dxa" w:w="1500"/>
          </w:tcPr>
          <w:p>
            <w:pPr>
              <w:spacing w:before="20" w:after="20" w:line="240" w:lineRule="auto"/>
              <w:jc w:val="center"/>
            </w:pPr>
            <w:r>
              <w:rPr>
                <w:sz w:val="20"/>
              </w:rPr>
              <w:t xml:space="preserve">90,8</w:t>
            </w:r>
          </w:p>
        </w:tc>
        <w:tc>
          <w:tcPr>
            <w:tcW w:type="dxa" w:w="1000"/>
          </w:tcPr>
          <w:p>
            <w:pPr>
              <w:spacing w:before="20" w:after="20" w:line="240" w:lineRule="auto"/>
              <w:jc w:val="center"/>
            </w:pPr>
            <w:r>
              <w:rPr>
                <w:sz w:val="20"/>
              </w:rPr>
              <w:t xml:space="preserve">2017</w:t>
            </w:r>
          </w:p>
        </w:tc>
        <w:tc>
          <w:tcPr>
            <w:tcW w:type="dxa" w:w="1500"/>
          </w:tcPr>
          <w:p>
            <w:pPr>
              <w:spacing w:before="20" w:after="20" w:line="240" w:lineRule="auto"/>
              <w:jc w:val="center"/>
            </w:pPr>
            <w:r>
              <w:rPr>
                <w:sz w:val="20"/>
              </w:rPr>
              <w:t xml:space="preserve">1873,5</w:t>
            </w:r>
          </w:p>
        </w:tc>
        <w:tc>
          <w:tcPr>
            <w:tcW w:type="dxa" w:w="1500"/>
          </w:tcPr>
          <w:p>
            <w:pPr>
              <w:spacing w:before="20" w:after="20" w:line="240" w:lineRule="auto"/>
              <w:jc w:val="center"/>
            </w:pPr>
            <w:r>
              <w:rPr>
                <w:sz w:val="20"/>
              </w:rPr>
              <w:t xml:space="preserve">102,7</w:t>
            </w:r>
          </w:p>
        </w:tc>
      </w:tr>
      <w:tr>
        <w:trPr>
          <w:cantSplit w:val="true"/>
        </w:trPr>
        <w:tc>
          <w:tcPr>
            <w:tcW w:type="dxa" w:w="1000"/>
          </w:tcPr>
          <w:p>
            <w:pPr>
              <w:spacing w:before="20" w:after="20" w:line="240" w:lineRule="auto"/>
              <w:jc w:val="center"/>
            </w:pPr>
            <w:r>
              <w:rPr>
                <w:sz w:val="20"/>
              </w:rPr>
              <w:t xml:space="preserve">1994</w:t>
            </w:r>
          </w:p>
        </w:tc>
        <w:tc>
          <w:tcPr>
            <w:tcW w:type="dxa" w:w="1500"/>
          </w:tcPr>
          <w:p>
            <w:pPr>
              <w:spacing w:before="20" w:after="20" w:line="240" w:lineRule="auto"/>
              <w:jc w:val="center"/>
            </w:pPr>
            <w:r>
              <w:rPr>
                <w:sz w:val="20"/>
              </w:rPr>
              <w:t xml:space="preserve">1664,9</w:t>
            </w:r>
          </w:p>
        </w:tc>
        <w:tc>
          <w:tcPr>
            <w:tcW w:type="dxa" w:w="1500"/>
          </w:tcPr>
          <w:p>
            <w:pPr>
              <w:spacing w:before="20" w:after="20" w:line="240" w:lineRule="auto"/>
              <w:jc w:val="center"/>
            </w:pPr>
            <w:r>
              <w:rPr>
                <w:sz w:val="20"/>
              </w:rPr>
              <w:t xml:space="preserve">184,5</w:t>
            </w:r>
          </w:p>
        </w:tc>
        <w:tc>
          <w:tcPr>
            <w:tcW w:type="dxa" w:w="1000"/>
          </w:tcPr>
          <w:p>
            <w:pPr>
              <w:spacing w:before="20" w:after="20" w:line="240" w:lineRule="auto"/>
              <w:jc w:val="center"/>
            </w:pPr>
            <w:r>
              <w:rPr>
                <w:sz w:val="20"/>
              </w:rPr>
              <w:t xml:space="preserve">2018</w:t>
            </w:r>
          </w:p>
        </w:tc>
        <w:tc>
          <w:tcPr>
            <w:tcW w:type="dxa" w:w="1500"/>
          </w:tcPr>
          <w:p>
            <w:pPr>
              <w:spacing w:before="20" w:after="20" w:line="240" w:lineRule="auto"/>
              <w:jc w:val="center"/>
            </w:pPr>
            <w:r>
              <w:rPr>
                <w:sz w:val="20"/>
              </w:rPr>
              <w:t xml:space="preserve">1322,2</w:t>
            </w:r>
          </w:p>
        </w:tc>
        <w:tc>
          <w:tcPr>
            <w:tcW w:type="dxa" w:w="1500"/>
          </w:tcPr>
          <w:p>
            <w:pPr>
              <w:spacing w:before="20" w:after="20" w:line="240" w:lineRule="auto"/>
              <w:jc w:val="center"/>
            </w:pPr>
            <w:r>
              <w:rPr>
                <w:sz w:val="20"/>
              </w:rPr>
              <w:t xml:space="preserve">115,0</w:t>
            </w:r>
          </w:p>
        </w:tc>
      </w:tr>
      <w:tr>
        <w:trPr>
          <w:cantSplit w:val="true"/>
        </w:trPr>
        <w:tc>
          <w:tcPr>
            <w:tcW w:type="dxa" w:w="1000"/>
          </w:tcPr>
          <w:p>
            <w:pPr>
              <w:spacing w:before="20" w:after="20" w:line="240" w:lineRule="auto"/>
              <w:jc w:val="center"/>
            </w:pPr>
            <w:r>
              <w:rPr>
                <w:sz w:val="20"/>
              </w:rPr>
              <w:t xml:space="preserve">1995</w:t>
            </w:r>
          </w:p>
        </w:tc>
        <w:tc>
          <w:tcPr>
            <w:tcW w:type="dxa" w:w="1500"/>
          </w:tcPr>
          <w:p>
            <w:pPr>
              <w:spacing w:before="20" w:after="20" w:line="240" w:lineRule="auto"/>
              <w:jc w:val="center"/>
            </w:pPr>
            <w:r>
              <w:rPr>
                <w:sz w:val="20"/>
              </w:rPr>
              <w:t xml:space="preserve">1359,2</w:t>
            </w:r>
          </w:p>
        </w:tc>
        <w:tc>
          <w:tcPr>
            <w:tcW w:type="dxa" w:w="1500"/>
          </w:tcPr>
          <w:p>
            <w:pPr>
              <w:spacing w:before="20" w:after="20" w:line="240" w:lineRule="auto"/>
              <w:jc w:val="center"/>
            </w:pPr>
            <w:r>
              <w:rPr>
                <w:sz w:val="20"/>
              </w:rPr>
              <w:t xml:space="preserve">200,0</w:t>
            </w:r>
          </w:p>
        </w:tc>
        <w:tc>
          <w:tcPr>
            <w:tcW w:type="dxa" w:w="1000"/>
          </w:tcPr>
          <w:p>
            <w:pPr>
              <w:spacing w:before="20" w:after="20" w:line="240" w:lineRule="auto"/>
              <w:jc w:val="center"/>
            </w:pPr>
            <w:r>
              <w:rPr>
                <w:sz w:val="20"/>
              </w:rPr>
              <w:t xml:space="preserve">2019</w:t>
            </w:r>
          </w:p>
        </w:tc>
        <w:tc>
          <w:tcPr>
            <w:tcW w:type="dxa" w:w="1500"/>
          </w:tcPr>
          <w:p>
            <w:pPr>
              <w:spacing w:before="20" w:after="20" w:line="240" w:lineRule="auto"/>
              <w:jc w:val="center"/>
            </w:pPr>
            <w:r>
              <w:rPr>
                <w:sz w:val="20"/>
              </w:rPr>
              <w:t xml:space="preserve">1040,4</w:t>
            </w:r>
          </w:p>
        </w:tc>
        <w:tc>
          <w:tcPr>
            <w:tcW w:type="dxa" w:w="1500"/>
          </w:tcPr>
          <w:p>
            <w:pPr>
              <w:spacing w:before="20" w:after="20" w:line="240" w:lineRule="auto"/>
              <w:jc w:val="center"/>
            </w:pPr>
            <w:r>
              <w:rPr>
                <w:sz w:val="20"/>
              </w:rPr>
              <w:t xml:space="preserve">53,8</w:t>
            </w:r>
          </w:p>
        </w:tc>
      </w:tr>
      <w:tr>
        <w:trPr>
          <w:cantSplit w:val="true"/>
        </w:trPr>
        <w:tc>
          <w:tcPr>
            <w:tcW w:type="dxa" w:w="1000"/>
          </w:tcPr>
          <w:p>
            <w:pPr>
              <w:spacing w:before="20" w:after="20" w:line="240" w:lineRule="auto"/>
              <w:jc w:val="center"/>
            </w:pPr>
            <w:r>
              <w:rPr>
                <w:sz w:val="20"/>
              </w:rPr>
              <w:t xml:space="preserve">1996</w:t>
            </w:r>
          </w:p>
        </w:tc>
        <w:tc>
          <w:tcPr>
            <w:tcW w:type="dxa" w:w="1500"/>
          </w:tcPr>
          <w:p>
            <w:pPr>
              <w:spacing w:before="20" w:after="20" w:line="240" w:lineRule="auto"/>
              <w:jc w:val="center"/>
            </w:pPr>
            <w:r>
              <w:rPr>
                <w:sz w:val="20"/>
              </w:rPr>
              <w:t xml:space="preserve">1562,8</w:t>
            </w:r>
          </w:p>
        </w:tc>
        <w:tc>
          <w:tcPr>
            <w:tcW w:type="dxa" w:w="1500"/>
          </w:tcPr>
          <w:p>
            <w:pPr>
              <w:spacing w:before="20" w:after="20" w:line="240" w:lineRule="auto"/>
              <w:jc w:val="center"/>
            </w:pPr>
            <w:r>
              <w:rPr>
                <w:sz w:val="20"/>
              </w:rPr>
              <w:t xml:space="preserve">119,6</w:t>
            </w:r>
          </w:p>
        </w:tc>
        <w:tc>
          <w:tcPr>
            <w:tcW w:type="dxa" w:w="1000"/>
          </w:tcPr>
          <w:p>
            <w:pPr>
              <w:spacing w:before="20" w:after="20" w:line="240" w:lineRule="auto"/>
              <w:jc w:val="center"/>
            </w:pPr>
            <w:r>
              <w:rPr>
                <w:sz w:val="20"/>
              </w:rPr>
              <w:t xml:space="preserve">2020</w:t>
            </w:r>
          </w:p>
        </w:tc>
        <w:tc>
          <w:tcPr>
            <w:tcW w:type="dxa" w:w="1500"/>
          </w:tcPr>
          <w:p>
            <w:pPr>
              <w:spacing w:before="20" w:after="20" w:line="240" w:lineRule="auto"/>
              <w:jc w:val="center"/>
            </w:pPr>
            <w:r>
              <w:rPr>
                <w:sz w:val="20"/>
              </w:rPr>
              <w:t xml:space="preserve">1319,6</w:t>
            </w:r>
          </w:p>
        </w:tc>
        <w:tc>
          <w:tcPr>
            <w:tcW w:type="dxa" w:w="1500"/>
          </w:tcPr>
          <w:p>
            <w:pPr>
              <w:spacing w:before="20" w:after="20" w:line="240" w:lineRule="auto"/>
              <w:jc w:val="center"/>
            </w:pPr>
            <w:r>
              <w:rPr>
                <w:sz w:val="20"/>
              </w:rPr>
              <w:t xml:space="preserve">102,1</w:t>
            </w:r>
          </w:p>
        </w:tc>
      </w:tr>
      <w:tr>
        <w:trPr>
          <w:cantSplit w:val="true"/>
        </w:trPr>
        <w:tc>
          <w:tcPr>
            <w:tcW w:type="dxa" w:w="1000"/>
          </w:tcPr>
          <w:p>
            <w:pPr>
              <w:spacing w:before="20" w:after="20" w:line="240" w:lineRule="auto"/>
              <w:jc w:val="center"/>
            </w:pPr>
            <w:r>
              <w:rPr>
                <w:sz w:val="20"/>
              </w:rPr>
              <w:t xml:space="preserve">1997</w:t>
            </w:r>
          </w:p>
        </w:tc>
        <w:tc>
          <w:tcPr>
            <w:tcW w:type="dxa" w:w="1500"/>
          </w:tcPr>
          <w:p>
            <w:pPr>
              <w:spacing w:before="20" w:after="20" w:line="240" w:lineRule="auto"/>
              <w:jc w:val="center"/>
            </w:pPr>
            <w:r>
              <w:rPr>
                <w:sz w:val="20"/>
              </w:rPr>
              <w:t xml:space="preserve">1494,4</w:t>
            </w:r>
          </w:p>
        </w:tc>
        <w:tc>
          <w:tcPr>
            <w:tcW w:type="dxa" w:w="1500"/>
          </w:tcPr>
          <w:p>
            <w:pPr>
              <w:spacing w:before="20" w:after="20" w:line="240" w:lineRule="auto"/>
              <w:jc w:val="center"/>
            </w:pPr>
            <w:r>
              <w:rPr>
                <w:sz w:val="20"/>
              </w:rPr>
              <w:t xml:space="preserve">181,8</w:t>
            </w:r>
          </w:p>
        </w:tc>
        <w:tc>
          <w:tcPr>
            <w:tcW w:type="dxa" w:w="1000"/>
          </w:tcPr>
          <w:p>
            <w:pPr>
              <w:spacing w:before="20" w:after="20" w:line="240" w:lineRule="auto"/>
              <w:jc w:val="center"/>
            </w:pPr>
            <w:r>
              <w:rPr>
                <w:sz w:val="20"/>
              </w:rPr>
              <w:t xml:space="preserve">2021</w:t>
            </w:r>
          </w:p>
        </w:tc>
        <w:tc>
          <w:tcPr>
            <w:tcW w:type="dxa" w:w="1500"/>
          </w:tcPr>
          <w:p>
            <w:pPr>
              <w:spacing w:before="20" w:after="20" w:line="240" w:lineRule="auto"/>
              <w:jc w:val="center"/>
            </w:pPr>
            <w:r>
              <w:rPr>
                <w:sz w:val="20"/>
              </w:rPr>
              <w:t xml:space="preserve">2140,1</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1998</w:t>
            </w:r>
          </w:p>
        </w:tc>
        <w:tc>
          <w:tcPr>
            <w:tcW w:type="dxa" w:w="1500"/>
          </w:tcPr>
          <w:p>
            <w:pPr>
              <w:spacing w:before="20" w:after="20" w:line="240" w:lineRule="auto"/>
              <w:jc w:val="center"/>
            </w:pPr>
            <w:r>
              <w:rPr>
                <w:sz w:val="20"/>
              </w:rPr>
              <w:t xml:space="preserve">1561,5</w:t>
            </w:r>
          </w:p>
        </w:tc>
        <w:tc>
          <w:tcPr>
            <w:tcW w:type="dxa" w:w="1500"/>
          </w:tcPr>
          <w:p>
            <w:pPr>
              <w:spacing w:before="20" w:after="20" w:line="240" w:lineRule="auto"/>
              <w:jc w:val="center"/>
            </w:pPr>
            <w:r>
              <w:rPr>
                <w:sz w:val="20"/>
              </w:rPr>
              <w:t xml:space="preserve">116,4</w:t>
            </w:r>
          </w:p>
        </w:tc>
        <w:tc>
          <w:tcPr>
            <w:tcW w:type="dxa" w:w="1000"/>
          </w:tcPr>
          <w:p>
            <w:pPr>
              <w:spacing w:before="20" w:after="20" w:line="240" w:lineRule="auto"/>
              <w:jc w:val="center"/>
            </w:pPr>
            <w:r>
              <w:rPr>
                <w:sz w:val="20"/>
              </w:rPr>
              <w:t xml:space="preserve">2022</w:t>
            </w:r>
          </w:p>
        </w:tc>
        <w:tc>
          <w:tcPr>
            <w:tcW w:type="dxa" w:w="1500"/>
          </w:tcPr>
          <w:p>
            <w:pPr>
              <w:spacing w:before="20" w:after="20" w:line="240" w:lineRule="auto"/>
              <w:jc w:val="center"/>
            </w:pPr>
            <w:r>
              <w:rPr>
                <w:sz w:val="20"/>
              </w:rPr>
              <w:t xml:space="preserve">1813,6</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1999</w:t>
            </w:r>
          </w:p>
        </w:tc>
        <w:tc>
          <w:tcPr>
            <w:tcW w:type="dxa" w:w="1500"/>
          </w:tcPr>
          <w:p>
            <w:pPr>
              <w:spacing w:before="20" w:after="20" w:line="240" w:lineRule="auto"/>
              <w:jc w:val="center"/>
            </w:pPr>
            <w:r>
              <w:rPr>
                <w:sz w:val="20"/>
              </w:rPr>
              <w:t xml:space="preserve">1676,3</w:t>
            </w:r>
          </w:p>
        </w:tc>
        <w:tc>
          <w:tcPr>
            <w:tcW w:type="dxa" w:w="1500"/>
          </w:tcPr>
          <w:p>
            <w:pPr>
              <w:spacing w:before="20" w:after="20" w:line="240" w:lineRule="auto"/>
              <w:jc w:val="center"/>
            </w:pPr>
            <w:r>
              <w:rPr>
                <w:sz w:val="20"/>
              </w:rPr>
              <w:t xml:space="preserve">103,0</w:t>
            </w:r>
          </w:p>
        </w:tc>
        <w:tc>
          <w:tcPr>
            <w:tcW w:type="dxa" w:w="1000"/>
          </w:tcPr>
          <w:p>
            <w:pPr>
              <w:spacing w:before="20" w:after="20" w:line="240" w:lineRule="auto"/>
              <w:jc w:val="center"/>
            </w:pPr>
            <w:r>
              <w:rPr>
                <w:sz w:val="20"/>
              </w:rPr>
              <w:t xml:space="preserve">2023</w:t>
            </w:r>
          </w:p>
        </w:tc>
        <w:tc>
          <w:tcPr>
            <w:tcW w:type="dxa" w:w="1500"/>
          </w:tcPr>
          <w:p>
            <w:pPr>
              <w:spacing w:before="20" w:after="20" w:line="240" w:lineRule="auto"/>
              <w:jc w:val="center"/>
            </w:pPr>
            <w:r>
              <w:rPr>
                <w:sz w:val="20"/>
              </w:rPr>
              <w:t xml:space="preserve">1028,4</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2000</w:t>
            </w:r>
          </w:p>
        </w:tc>
        <w:tc>
          <w:tcPr>
            <w:tcW w:type="dxa" w:w="1500"/>
          </w:tcPr>
          <w:p>
            <w:pPr>
              <w:spacing w:before="20" w:after="20" w:line="240" w:lineRule="auto"/>
              <w:jc w:val="center"/>
            </w:pPr>
            <w:r>
              <w:rPr>
                <w:sz w:val="20"/>
              </w:rPr>
              <w:t xml:space="preserve">1633,6</w:t>
            </w:r>
          </w:p>
        </w:tc>
        <w:tc>
          <w:tcPr>
            <w:tcW w:type="dxa" w:w="1500"/>
          </w:tcPr>
          <w:p>
            <w:pPr>
              <w:spacing w:before="20" w:after="20" w:line="240" w:lineRule="auto"/>
              <w:jc w:val="center"/>
            </w:pPr>
            <w:r>
              <w:rPr>
                <w:sz w:val="20"/>
              </w:rPr>
              <w:t xml:space="preserve">148,9</w:t>
            </w:r>
          </w:p>
        </w:tc>
        <w:tc>
          <w:tcPr>
            <w:tcW w:type="dxa" w:w="1000"/>
          </w:tcPr>
          <w:p>
            <w:pPr>
              <w:spacing w:before="20" w:after="20" w:line="240" w:lineRule="auto"/>
              <w:jc w:val="center"/>
            </w:pPr>
            <w:r>
              <w:rPr>
                <w:sz w:val="20"/>
              </w:rPr>
              <w:t xml:space="preserve">2024</w:t>
            </w:r>
          </w:p>
        </w:tc>
        <w:tc>
          <w:tcPr>
            <w:tcW w:type="dxa" w:w="1500"/>
          </w:tcPr>
          <w:p>
            <w:pPr>
              <w:spacing w:before="20" w:after="20" w:line="240" w:lineRule="auto"/>
              <w:jc w:val="center"/>
            </w:pPr>
            <w:r>
              <w:rPr>
                <w:sz w:val="20"/>
              </w:rPr>
              <w:t xml:space="preserve">1051,7</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2001</w:t>
            </w:r>
          </w:p>
        </w:tc>
        <w:tc>
          <w:tcPr>
            <w:tcW w:type="dxa" w:w="1500"/>
          </w:tcPr>
          <w:p>
            <w:pPr>
              <w:spacing w:before="20" w:after="20" w:line="240" w:lineRule="auto"/>
              <w:jc w:val="center"/>
            </w:pPr>
            <w:r>
              <w:rPr>
                <w:sz w:val="20"/>
              </w:rPr>
              <w:t xml:space="preserve">1099,2</w:t>
            </w:r>
          </w:p>
        </w:tc>
        <w:tc>
          <w:tcPr>
            <w:tcW w:type="dxa" w:w="1500"/>
          </w:tcPr>
          <w:p>
            <w:pPr>
              <w:spacing w:before="20" w:after="20" w:line="240" w:lineRule="auto"/>
              <w:jc w:val="center"/>
            </w:pPr>
            <w:r>
              <w:rPr>
                <w:sz w:val="20"/>
              </w:rPr>
              <w:t xml:space="preserve">94,1</w:t>
            </w:r>
          </w:p>
        </w:tc>
        <w:tc>
          <w:tcPr>
            <w:tcW w:type="dxa" w:w="1000"/>
          </w:tcPr>
          <w:p>
            <w:pPr>
              <w:spacing w:before="20" w:after="20" w:line="240" w:lineRule="auto"/>
              <w:jc w:val="center"/>
            </w:pPr>
          </w:p>
        </w:tc>
        <w:tc>
          <w:tcPr>
            <w:tcW w:type="dxa" w:w="1500"/>
          </w:tcPr>
          <w:p>
            <w:pPr>
              <w:spacing w:before="20" w:after="20" w:line="240" w:lineRule="auto"/>
              <w:jc w:val="center"/>
            </w:pPr>
          </w:p>
        </w:tc>
        <w:tc>
          <w:tcPr>
            <w:tcW w:type="dxa" w:w="1500"/>
          </w:tcPr>
          <w:p>
            <w:pPr>
              <w:spacing w:before="20" w:after="20" w:line="240" w:lineRule="auto"/>
              <w:jc w:val="center"/>
            </w:pPr>
          </w:p>
        </w:tc>
      </w:tr>
    </w:tbl>
    <w:p>
      <w:pPr>
        <w:spacing w:after="40"/>
      </w:pPr>
    </w:p>
    <w:p>
      <w:pPr>
        <w:pStyle w:val="Content"/>
        <w:spacing w:before="60"/>
      </w:pPr>
      <w:r>
        <w:t xml:space="preserve">Nguồn: lượng mưa năm – QTVH [1] Bảng 2-9 (quy về lưu vực từ các trạm Đại Ninh, Sông Lũy); X</w:t>
      </w:r>
      <w:r>
        <w:rPr>
          <w:vertAlign w:val="subscript"/>
        </w:rPr>
        <w:t xml:space="preserve">1max</w:t>
      </w:r>
      <w:r>
        <w:t xml:space="preserve"> – báo cáo KTTV [7] Bảng 3-13 (1978 ÷ 2020). Kết quả phân tích ở mục 4.6.1.</w:t>
      </w: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 Id="rId52" Type="http://schemas.openxmlformats.org/officeDocument/2006/relationships/image" Target="media/image37.jpg"/><Relationship Id="rId53"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