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88" w:lineRule="auto"/>
        <w:jc w:val="left"/>
      </w:pPr>
      <w:r>
        <w:rPr>
          <w:rFonts w:ascii="Times New Roman" w:hAnsi="Times New Roman" w:eastAsia="Times New Roman"/>
          <w:b/>
          <w:i/>
          <w:sz w:val="26"/>
        </w:rPr>
        <w:t>2.3. Đánh giá an toàn phòng lũ</w:t>
      </w:r>
    </w:p>
    <w:p>
      <w:pPr>
        <w:spacing w:before="240" w:after="120" w:line="288" w:lineRule="auto"/>
        <w:jc w:val="left"/>
      </w:pPr>
      <w:r>
        <w:rPr>
          <w:rFonts w:ascii="Times New Roman" w:hAnsi="Times New Roman" w:eastAsia="Times New Roman"/>
          <w:b/>
          <w:i/>
          <w:sz w:val="26"/>
        </w:rPr>
        <w:t>2.3.1 Công thức tính toán</w:t>
      </w:r>
    </w:p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Theo TCVN 8216:2018, cao trình đỉnh đập lấy giá trị lớn nhất trong ba trường hợp:</w:t>
      </w:r>
    </w:p>
    <w:p>
      <w:pPr>
        <w:spacing w:before="80" w:after="80" w:line="288" w:lineRule="auto"/>
        <w:tabs>
          <w:tab w:val="center" w:pos="4535"/>
          <w:tab w:val="right" w:pos="9071"/>
        </w:tabs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/>
          </w:rPr>
          <m:t xml:space="preserve">MNDBT</m:t>
        </m:r>
        <m:r>
          <w:rPr>
            <w:rFonts w:ascii="Cambria Math" w:hAnsi="Cambria Math"/>
          </w:rPr>
          <m:t xml:space="preserve"> + Δh + 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sl</m:t>
            </m:r>
          </m:sub>
        </m:sSub>
        <m:r>
          <w:rPr>
            <w:rFonts w:ascii="Cambria Math" w:hAnsi="Cambria Math"/>
          </w:rPr>
          <m:t xml:space="preserve"> + a</m:t>
        </m:r>
      </m:oMath>
      <w:r>
        <w:rPr>
          <w:rFonts w:ascii="Times New Roman" w:hAnsi="Times New Roman" w:eastAsia="Times New Roman"/>
          <w:b w:val="0"/>
          <w:i w:val="0"/>
          <w:sz w:val="26"/>
        </w:rPr>
        <w:tab/>
        <w:t>(2-5)</w:t>
      </w:r>
    </w:p>
    <w:p>
      <w:pPr>
        <w:spacing w:before="80" w:after="80" w:line="288" w:lineRule="auto"/>
        <w:tabs>
          <w:tab w:val="center" w:pos="4535"/>
          <w:tab w:val="right" w:pos="9071"/>
        </w:tabs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/>
          </w:rPr>
          <m:t xml:space="preserve">MNLTK</m:t>
        </m:r>
        <m:r>
          <w:rPr>
            <w:rFonts w:ascii="Cambria Math" w:hAnsi="Cambria Math"/>
          </w:rPr>
          <m:t xml:space="preserve"> + Δh′ + </m:t>
        </m:r>
        <m:sSub>
          <m:e>
            <m:r>
              <w:rPr>
                <w:rFonts w:ascii="Cambria Math" w:hAnsi="Cambria Math"/>
              </w:rPr>
              <m:t xml:space="preserve">h′</m:t>
            </m:r>
          </m:e>
          <m:sub>
            <m:r>
              <w:rPr>
                <w:rFonts w:ascii="Cambria Math" w:hAnsi="Cambria Math"/>
              </w:rPr>
              <m:t xml:space="preserve">sl</m:t>
            </m:r>
          </m:sub>
        </m:sSub>
        <m:r>
          <w:rPr>
            <w:rFonts w:ascii="Cambria Math" w:hAnsi="Cambria Math"/>
          </w:rPr>
          <m:t xml:space="preserve"> + a′</m:t>
        </m:r>
      </m:oMath>
      <w:r>
        <w:rPr>
          <w:rFonts w:ascii="Times New Roman" w:hAnsi="Times New Roman" w:eastAsia="Times New Roman"/>
          <w:b w:val="0"/>
          <w:i w:val="0"/>
          <w:sz w:val="26"/>
        </w:rPr>
        <w:tab/>
        <w:t>(2-6)</w:t>
      </w:r>
    </w:p>
    <w:p>
      <w:pPr>
        <w:spacing w:before="80" w:after="80" w:line="288" w:lineRule="auto"/>
        <w:tabs>
          <w:tab w:val="center" w:pos="4535"/>
          <w:tab w:val="right" w:pos="9071"/>
        </w:tabs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Z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/>
          </w:rPr>
          <m:t xml:space="preserve">MNLKT</m:t>
        </m:r>
        <m:r>
          <w:rPr>
            <w:rFonts w:ascii="Cambria Math" w:hAnsi="Cambria Math"/>
          </w:rPr>
          <m:t xml:space="preserve"> + a″</m:t>
        </m:r>
      </m:oMath>
      <w:r>
        <w:rPr>
          <w:rFonts w:ascii="Times New Roman" w:hAnsi="Times New Roman" w:eastAsia="Times New Roman"/>
          <w:b w:val="0"/>
          <w:i w:val="0"/>
          <w:sz w:val="26"/>
        </w:rPr>
        <w:tab/>
        <w:t>(2-7)</w:t>
      </w:r>
    </w:p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Trong đó: Δh, Δh′ – độ dềnh do gió (m); h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sl</w:t>
      </w:r>
      <w:r>
        <w:rPr>
          <w:rFonts w:ascii="Times New Roman" w:hAnsi="Times New Roman" w:eastAsia="Times New Roman"/>
          <w:b w:val="0"/>
          <w:i w:val="0"/>
          <w:sz w:val="26"/>
        </w:rPr>
        <w:t>, h′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sl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chiều cao sóng leo có mức bảo đảm 1% (m), ứng với vận tốc gió tính toán lớn nhất có tần suất P = 4% khi hồ ở MNDBT và vận tốc gió bình quân lớn nhất P = 50% khi hồ ở MNLTK (TCVN 8216:2018, Bảng 4 – công trình cấp II); khi hồ ở MNLKT không xét sóng do gió; a, a′, a″ – độ vượt cao an toàn, theo TCVN 8216:2018 Bảng 3 với đập cấp II: a = 0,7 m; a′ = 0,5 m; a″ = 0,2 m.</w:t>
      </w:r>
    </w:p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Độ dềnh do gió và chiều cao sóng leo được tính theo TCVN 8421:2010:</w:t>
      </w:r>
    </w:p>
    <w:p>
      <w:pPr>
        <w:spacing w:before="80" w:after="80" w:line="288" w:lineRule="auto"/>
        <w:tabs>
          <w:tab w:val="center" w:pos="4535"/>
          <w:tab w:val="right" w:pos="9071"/>
        </w:tabs>
      </w:pPr>
      <w:r>
        <w:tab/>
      </w:r>
      <m:oMath>
        <m:r>
          <w:rPr>
            <w:rFonts w:ascii="Cambria Math" w:hAnsi="Cambria Math"/>
          </w:rPr>
          <m:t xml:space="preserve">Δh = 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w</m:t>
            </m:r>
          </m:sub>
        </m:sSub>
        <m:r>
          <w:rPr>
            <w:rFonts w:ascii="Cambria Math" w:hAnsi="Cambria Math"/>
          </w:rPr>
          <m:t xml:space="preserve">·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·D</m:t>
            </m:r>
          </m:num>
          <m:den>
            <m:r>
              <w:rPr>
                <w:rFonts w:ascii="Cambria Math" w:hAnsi="Cambria Math"/>
              </w:rPr>
              <m:t xml:space="preserve">g·H</m:t>
            </m:r>
          </m:den>
        </m:f>
        <m:r>
          <w:rPr>
            <w:rFonts w:ascii="Cambria Math" w:hAnsi="Cambria Math"/>
          </w:rPr>
          <m:t xml:space="preserve">·</m:t>
        </m:r>
        <m:r>
          <m:rPr>
            <m:sty m:val="p"/>
          </m:rP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 α</m:t>
        </m:r>
      </m:oMath>
      <w:r>
        <w:rPr>
          <w:rFonts w:ascii="Times New Roman" w:hAnsi="Times New Roman" w:eastAsia="Times New Roman"/>
          <w:b w:val="0"/>
          <w:i w:val="0"/>
          <w:sz w:val="26"/>
        </w:rPr>
        <w:tab/>
        <w:t>(2-8)</w:t>
      </w:r>
    </w:p>
    <w:p>
      <w:pPr>
        <w:spacing w:before="80" w:after="80" w:line="288" w:lineRule="auto"/>
        <w:tabs>
          <w:tab w:val="center" w:pos="4535"/>
          <w:tab w:val="right" w:pos="9071"/>
        </w:tabs>
      </w:pPr>
      <w:r>
        <w:tab/>
      </w:r>
      <m:oMath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sl1%</m:t>
            </m:r>
          </m:sub>
        </m:sSub>
        <m:r>
          <w:rPr>
            <w:rFonts w:ascii="Cambria Math" w:hAnsi="Cambria Math"/>
          </w:rPr>
          <m:t xml:space="preserve"> = 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sp</m:t>
            </m:r>
          </m:sub>
        </m:sSub>
        <m: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run</m:t>
            </m:r>
          </m:sub>
        </m:sSub>
        <m: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α</m:t>
            </m:r>
          </m:sub>
        </m:sSub>
        <m:r>
          <w:rPr>
            <w:rFonts w:ascii="Cambria Math" w:hAnsi="Cambria Math"/>
          </w:rPr>
          <m:t xml:space="preserve">·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1%</m:t>
            </m:r>
          </m:sub>
        </m:sSub>
        <m:r>
          <w:rPr>
            <w:rFonts w:ascii="Cambria Math" w:hAnsi="Cambria Math"/>
          </w:rPr>
          <m:t xml:space="preserve"> ;     </m:t>
        </m:r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1%</m:t>
            </m:r>
          </m:sub>
        </m:sSub>
        <m:r>
          <w:rPr>
            <w:rFonts w:ascii="Cambria Math" w:hAnsi="Cambria Math"/>
          </w:rPr>
          <m:t xml:space="preserve"> = 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1%</m:t>
            </m:r>
          </m:sub>
        </m:sSub>
        <m:r>
          <w:rPr>
            <w:rFonts w:ascii="Cambria Math" w:hAnsi="Cambria Math"/>
          </w:rPr>
          <m:t xml:space="preserve">·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h</m:t>
            </m:r>
          </m:e>
        </m:bar>
      </m:oMath>
      <w:r>
        <w:rPr>
          <w:rFonts w:ascii="Times New Roman" w:hAnsi="Times New Roman" w:eastAsia="Times New Roman"/>
          <w:b w:val="0"/>
          <w:i w:val="0"/>
          <w:sz w:val="26"/>
        </w:rPr>
        <w:tab/>
        <w:t>(2-9)</w:t>
      </w:r>
    </w:p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Trong đó: V – vận tốc gió tính toán ở độ cao 10 m trên mặt nước, V = V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w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fl</w:t>
      </w:r>
      <w:r>
        <w:rPr>
          <w:rFonts w:ascii="Times New Roman" w:hAnsi="Times New Roman" w:eastAsia="Times New Roman"/>
          <w:b w:val="0"/>
          <w:i w:val="0"/>
          <w:sz w:val="26"/>
        </w:rPr>
        <w:t>·k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l</w:t>
      </w:r>
      <w:r>
        <w:rPr>
          <w:rFonts w:ascii="Times New Roman" w:hAnsi="Times New Roman" w:eastAsia="Times New Roman"/>
          <w:b w:val="0"/>
          <w:i w:val="0"/>
          <w:sz w:val="26"/>
        </w:rPr>
        <w:t>·V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l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(TCVN 8421:2010, Phụ lục A, A.3.3), với V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l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vận tốc gió quan trắc ở trạm Phan Thiết (Bảng 1.4),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l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1,10 ÷ 1,09 – hệ số quy đổi về mặt nước cho địa hình dạng A (vùng ven biển trống trải, Bảng A3),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fl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hệ số quy đổi số liệu phong tiêu, lấy bằng 1 (thiên an toàn); D – đà gió (m); H – chiều sâu nước trước đập (m); α – góc giữa hướng gió và pháp tuyến mái thượng lưu;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w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hệ số tra Bảng A2 theo vận tốc gió (V = 20; 30; 40; 50 m/s: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w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2,1; 3,0; 3,9; 4,8·10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-6</w:t>
      </w:r>
      <w:r>
        <w:rPr>
          <w:rFonts w:ascii="Times New Roman" w:hAnsi="Times New Roman" w:eastAsia="Times New Roman"/>
          <w:b w:val="0"/>
          <w:i w:val="0"/>
          <w:sz w:val="26"/>
        </w:rPr>
        <w:t>; bảng không có giá trị khi V &lt; 20 m/s nên lấy 2,1·10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-6</w:t>
      </w:r>
      <w:r>
        <w:rPr>
          <w:rFonts w:ascii="Times New Roman" w:hAnsi="Times New Roman" w:eastAsia="Times New Roman"/>
          <w:b w:val="0"/>
          <w:i w:val="0"/>
          <w:sz w:val="26"/>
        </w:rPr>
        <w:t>); h̄ – chiều cao sóng trung bình;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hệ số theo gD/V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(Hình 2 của tiêu chuẩn);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r</w:t>
      </w:r>
      <w:r>
        <w:rPr>
          <w:rFonts w:ascii="Times New Roman" w:hAnsi="Times New Roman" w:eastAsia="Times New Roman"/>
          <w:b w:val="0"/>
          <w:i w:val="0"/>
          <w:sz w:val="26"/>
        </w:rPr>
        <w:t>,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p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hệ số nhám và thấm của lớp gia cố mái theo độ nhám tương đối Δ/h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(mái gia cố đá xây, Δ = 0,02 m);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sp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hệ số theo vận tốc gió và hệ số mái (m = 3);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run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hệ số theo độ thoải sóng λ̄/h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(Hình 10); 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α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hệ số giảm sóng leo theo góc α (Bảng 9: 0° – 1,00; 20° – 0,96; 40° – 0,87; 60° – 0,76).</w:t>
      </w:r>
    </w:p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Chiều cao h̄ và chu kỳ τ̄ của sóng trung bình ở vùng nước sâu (H &gt; 0,5λ̄, bước sóng λ̄ = g·τ̄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>/(2π)) được tiêu chuẩn cho bằng đồ thị (đường bao trên, Hình 1) theo gD/V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– điều kiện đà gió và gt/V – điều kiện thời gian gió thổi t, lấy giá trị nhỏ hơn. Với t = 6 giờ, gt/V = 10.425 ÷ 25.346: sóng gần phát triển hoàn toàn, đồ thị cho giá trị lớn hơn nhiều so với điều kiện đà gió (gD/V</w:t>
      </w:r>
      <w:r>
        <w:rPr>
          <w:rFonts w:ascii="Times New Roman" w:hAnsi="Times New Roman" w:eastAsia="Times New Roman"/>
          <w:b w:val="0"/>
          <w:i w:val="0"/>
          <w:sz w:val="26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71 ÷ 425) nên đà gió quyết định. Đường bao theo đà gió được tính bằng công thức xấp xỉ của Krưlốp:</w:t>
      </w:r>
    </w:p>
    <w:p>
      <w:pPr>
        <w:spacing w:before="80" w:after="80" w:line="288" w:lineRule="auto"/>
        <w:tabs>
          <w:tab w:val="center" w:pos="4535"/>
          <w:tab w:val="right" w:pos="9071"/>
        </w:tabs>
      </w:pPr>
      <w:r>
        <w:tab/>
      </w:r>
      <m:oMath>
        <m:f>
          <m:num>
            <m:r>
              <w:rPr>
                <w:rFonts w:ascii="Cambria Math" w:hAnsi="Cambria Math"/>
              </w:rPr>
              <m:t xml:space="preserve">g·</m:t>
            </m:r>
            <m:bar>
              <m:barPr>
                <m:pos m:val="top"/>
              </m:bar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bar>
          </m:num>
          <m:den>
            <m:sSup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</w:rPr>
          <m:t xml:space="preserve"> = 0,16·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1 − 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 + 0,006·</m:t>
                    </m:r>
                    <m:rad>
                      <m:radPr>
                        <m:degHide m:val="1"/>
                      </m:radPr>
                      <m:deg/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gD</m:t>
                            </m:r>
                          </m:num>
                          <m:den>
                            <m:sSup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</m:t>
                                </m:r>
                              </m:sup>
                            </m:sSup>
                          </m:den>
                        </m:f>
                      </m:e>
                    </m:rad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−2</m:t>
                </m:r>
              </m:sup>
            </m:sSup>
          </m:e>
        </m:d>
        <m:r>
          <w:rPr>
            <w:rFonts w:ascii="Cambria Math" w:hAnsi="Cambria Math"/>
          </w:rPr>
          <m:t xml:space="preserve"> ;     </m:t>
        </m:r>
        <m:f>
          <m:num>
            <m:r>
              <w:rPr>
                <w:rFonts w:ascii="Cambria Math" w:hAnsi="Cambria Math"/>
              </w:rPr>
              <m:t xml:space="preserve">g·</m:t>
            </m:r>
            <m:bar>
              <m:barPr>
                <m:pos m:val="top"/>
              </m:barPr>
              <m:e>
                <m:r>
                  <w:rPr>
                    <w:rFonts w:ascii="Cambria Math" w:hAnsi="Cambria Math"/>
                  </w:rPr>
                  <m:t xml:space="preserve">τ</m:t>
                </m:r>
              </m:e>
            </m:bar>
          </m:num>
          <m:den>
            <m:r>
              <w:rPr>
                <w:rFonts w:ascii="Cambria Math" w:hAnsi="Cambria Math"/>
              </w:rPr>
              <m:t xml:space="preserve">V</m:t>
            </m:r>
          </m:den>
        </m:f>
        <m:r>
          <w:rPr>
            <w:rFonts w:ascii="Cambria Math" w:hAnsi="Cambria Math"/>
          </w:rPr>
          <m:t xml:space="preserve"> = 19,1·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g·</m:t>
                    </m:r>
                    <m:bar>
                      <m:barPr>
                        <m:pos m:val="top"/>
                      </m:barPr>
                      <m:e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</m:e>
                    </m:ba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 xml:space="preserve">0,625</m:t>
            </m:r>
          </m:sup>
        </m:sSup>
      </m:oMath>
      <w:r>
        <w:rPr>
          <w:rFonts w:ascii="Times New Roman" w:hAnsi="Times New Roman" w:eastAsia="Times New Roman"/>
          <w:b w:val="0"/>
          <w:i w:val="0"/>
          <w:sz w:val="26"/>
        </w:rPr>
        <w:tab/>
        <w:t>(2-10)</w:t>
      </w:r>
    </w:p>
    <w:p>
      <w:pPr>
        <w:spacing w:before="240" w:after="120" w:line="288" w:lineRule="auto"/>
        <w:jc w:val="left"/>
      </w:pPr>
      <w:r>
        <w:rPr>
          <w:rFonts w:ascii="Times New Roman" w:hAnsi="Times New Roman" w:eastAsia="Times New Roman"/>
          <w:b/>
          <w:i/>
          <w:sz w:val="26"/>
        </w:rPr>
        <w:t>2.3.2 Kết quả tính toán</w:t>
      </w:r>
    </w:p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Mực nước tính toán: MNDBT = +74,70 m; MNLTK = +77,43 m và MNLKT = +78,39 m – kết quả điều tiết lũ khi các cửa van vận hành bình thường (mục 2.2.3). Tuyến đập có phương vị N96,2°E nên pháp tuyến mái thượng lưu hướng N6,2°E (lòng hồ ở phía Bắc). Sóng được tính cho các hướng gió thổi vào mái thượng lưu với góc tới không quá 60°: Bắc (6,2°), Đông Bắc (38,8°) và Tây Bắc (51,2°); các hướng Đông, Tây gần song song với tuyến đập (góc tới 84 ÷ 96°), các hướng Nam thổi từ phía hạ lưu nên không gây sóng leo lên mái thượng lưu. Đà gió lấy D = 2.970 m khi hồ ở MNDBT và 3.025 m khi hồ ở MNLTK, dùng chung cho mọi hướng (thiên an toàn). Kết quả tính chi tiết với gió hướng Bắc cho trong Bảng 2.4, tổng hợp theo hướng gió trong Bảng 2.5.</w:t>
      </w:r>
    </w:p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Chiều sâu nước trước đập H tính từ cao trình đáy lòng hồ +59,0 m – cao trình thấp nhất của quan hệ Z ~ F ~ W theo bình đồ khảo sát 2022 (F = 0), không phải cao trình đáy đập +54,0 m dùng để tính chiều cao đập 24,5 m. Với sóng nước sâu, H chỉ ảnh hưởng đến độ dềnh Δh (tỷ lệ nghịch với H): lấy đáy +59,0 m cho H nhỏ hơn nên Δh lớn hơn – thiên an toàn; nếu lấy đáy +54,0 m thì Δh giảm 1 ÷ 3 mm, cao trình đỉnh yêu cầu không đổi.</w:t>
      </w:r>
    </w:p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Mái thượng lưu có hai đoạn: m = 3,0 từ đỉnh đến cơ +68,0 m và m = 3,5 dưới cơ. Sóng leo được tính với m = 3,0 vì cơ nằm dưới MNDBT 6,70 m và dưới MNLTK 9,43 m, sâu hơn vùng chịu tác động của sóng (0,5λ̄ = 2,9 ÷ 6,4 m – cùng tiêu chí sóng nước sâu của TCVN 8421:2010), nên sóng chỉ vỗ và leo trên đoạn mái m = 3,0; mặt khác mái càng thoải thì sóng leo càng thấp, nên dùng m = 3,0 là thiên an toàn.</w:t>
      </w:r>
    </w:p>
    <w:p>
      <w:pPr>
        <w:keepNext/>
        <w:spacing w:before="120" w:after="120" w:line="288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Bảng 2.4 Kết quả tính cao trình đỉnh đập theo ba trường hợp – gió hướng Bắc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1"/>
        <w:gridCol w:w="2100"/>
        <w:gridCol w:w="2100"/>
        <w:gridCol w:w="1500"/>
      </w:tblGrid>
      <w:tr>
        <w:trPr>
          <w:tblHeader w:val="true"/>
          <w:cantSplit w:val="true"/>
        </w:trPr>
        <w:tc>
          <w:tcPr>
            <w:tcW w:type="dxa" w:w="3371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Đại lượng</w:t>
            </w:r>
          </w:p>
        </w:tc>
        <w:tc>
          <w:tcPr>
            <w:tcW w:type="dxa" w:w="210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: MNDBT</w:t>
            </w:r>
          </w:p>
        </w:tc>
        <w:tc>
          <w:tcPr>
            <w:tcW w:type="dxa" w:w="210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: MNLTK</w:t>
            </w:r>
          </w:p>
        </w:tc>
        <w:tc>
          <w:tcPr>
            <w:tcW w:type="dxa" w:w="150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3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: MNLKT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Mực nước tính toán (m)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+74,70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+77,43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+78,39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tốc gió 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l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w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(m/s)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13,8 / 15,18 (P = 4%)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7,6 / 8,36 (P = 50%)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Góc tới α (°) ; 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α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6,2 ; 0,99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6,2 ; 0,99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Đà gió D (m)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2.970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3.025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Chiều sâu nước trước đập H (m)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15,70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18,43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gD/V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w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perscript"/>
              </w:rPr>
              <w:t>2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126,4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424,6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Chiều cao sóng trung bình h̄ (m)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0,460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0,237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 kỳ τ̄ (s) / bước sóng λ̄ (m)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2,53 / 9,99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1,94 / 5,88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1%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; h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1%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(m)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2,09 ; 0,962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2,13 ; 0,504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; 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p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; 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sp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; k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run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0,90 ; 0,80 ; 1,31 ; 1,50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0,83 ; 0,73 ; 1,00 ; 1,56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Sóng leo h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sl1%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(m)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1,331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0,475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Độ dềnh do gió Δh (m)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0,009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0,002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Độ vượt cao an toàn (m)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0,70</w:t>
            </w:r>
          </w:p>
        </w:tc>
        <w:tc>
          <w:tcPr>
            <w:tcW w:type="dxa" w:w="2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0,50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0,20</w:t>
            </w:r>
          </w:p>
        </w:tc>
      </w:tr>
      <w:tr>
        <w:trPr>
          <w:cantSplit w:val="true"/>
        </w:trPr>
        <w:tc>
          <w:tcPr>
            <w:tcW w:type="dxa" w:w="3371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 trình đỉnh yêu cầu (m)</w:t>
            </w:r>
          </w:p>
        </w:tc>
        <w:tc>
          <w:tcPr>
            <w:tcW w:type="dxa" w:w="21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+76,74</w:t>
            </w:r>
          </w:p>
        </w:tc>
        <w:tc>
          <w:tcPr>
            <w:tcW w:type="dxa" w:w="21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+78,41</w:t>
            </w:r>
          </w:p>
        </w:tc>
        <w:tc>
          <w:tcPr>
            <w:tcW w:type="dxa" w:w="15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+78,59</w:t>
            </w:r>
          </w:p>
        </w:tc>
      </w:tr>
    </w:tbl>
    <w:p>
      <w:pPr>
        <w:keepNext/>
        <w:spacing w:before="120" w:after="120" w:line="288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Bảng 2.5 Cao trình đỉnh đập yêu cầu theo hướng gió (m)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850"/>
        <w:gridCol w:w="700"/>
        <w:gridCol w:w="1500"/>
        <w:gridCol w:w="1350"/>
        <w:gridCol w:w="850"/>
        <w:gridCol w:w="850"/>
        <w:gridCol w:w="850"/>
        <w:gridCol w:w="850"/>
      </w:tblGrid>
      <w:tr>
        <w:trPr>
          <w:tblHeader w:val="true"/>
          <w:cantSplit w:val="true"/>
        </w:trPr>
        <w:tc>
          <w:tcPr>
            <w:tcW w:type="dxa" w:w="1271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Hướng gió</w:t>
            </w:r>
          </w:p>
        </w:tc>
        <w:tc>
          <w:tcPr>
            <w:tcW w:type="dxa" w:w="8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Góc tới α (°)</w:t>
            </w:r>
          </w:p>
        </w:tc>
        <w:tc>
          <w:tcPr>
            <w:tcW w:type="dxa" w:w="70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α</w:t>
            </w:r>
          </w:p>
        </w:tc>
        <w:tc>
          <w:tcPr>
            <w:tcW w:type="dxa" w:w="150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w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 P = 4% / 50% (m/s)</w:t>
            </w:r>
          </w:p>
        </w:tc>
        <w:tc>
          <w:tcPr>
            <w:tcW w:type="dxa" w:w="13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sl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 / h′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sl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 (m)</w:t>
            </w:r>
          </w:p>
        </w:tc>
        <w:tc>
          <w:tcPr>
            <w:tcW w:type="dxa" w:w="8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1</w:t>
            </w:r>
          </w:p>
        </w:tc>
        <w:tc>
          <w:tcPr>
            <w:tcW w:type="dxa" w:w="8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2</w:t>
            </w:r>
          </w:p>
        </w:tc>
        <w:tc>
          <w:tcPr>
            <w:tcW w:type="dxa" w:w="8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3</w:t>
            </w:r>
          </w:p>
        </w:tc>
        <w:tc>
          <w:tcPr>
            <w:tcW w:type="dxa" w:w="8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Z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  <w:vertAlign w:val="subscript"/>
              </w:rPr>
              <w:t>đ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 = max</w:t>
            </w:r>
          </w:p>
        </w:tc>
      </w:tr>
      <w:tr>
        <w:trPr>
          <w:cantSplit w:val="true"/>
        </w:trPr>
        <w:tc>
          <w:tcPr>
            <w:tcW w:type="dxa" w:w="12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Bắc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6,2</w:t>
            </w:r>
          </w:p>
        </w:tc>
        <w:tc>
          <w:tcPr>
            <w:tcW w:type="dxa" w:w="7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0,99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15,2 / 8,4</w:t>
            </w:r>
          </w:p>
        </w:tc>
        <w:tc>
          <w:tcPr>
            <w:tcW w:type="dxa" w:w="13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1,33 / 0,47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76,74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78,41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78,59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78,59</w:t>
            </w:r>
          </w:p>
        </w:tc>
      </w:tr>
      <w:tr>
        <w:trPr>
          <w:cantSplit w:val="true"/>
        </w:trPr>
        <w:tc>
          <w:tcPr>
            <w:tcW w:type="dxa" w:w="12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Đông Bắc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38,8</w:t>
            </w:r>
          </w:p>
        </w:tc>
        <w:tc>
          <w:tcPr>
            <w:tcW w:type="dxa" w:w="7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0,88</w:t>
            </w:r>
          </w:p>
        </w:tc>
        <w:tc>
          <w:tcPr>
            <w:tcW w:type="dxa" w:w="15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20,3 / 13,1</w:t>
            </w:r>
          </w:p>
        </w:tc>
        <w:tc>
          <w:tcPr>
            <w:tcW w:type="dxa" w:w="13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1,90 / 0,94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77,31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78,87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78,59</w:t>
            </w:r>
          </w:p>
        </w:tc>
        <w:tc>
          <w:tcPr>
            <w:tcW w:type="dxa" w:w="8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78,87</w:t>
            </w:r>
          </w:p>
        </w:tc>
      </w:tr>
      <w:tr>
        <w:trPr>
          <w:cantSplit w:val="true"/>
        </w:trPr>
        <w:tc>
          <w:tcPr>
            <w:tcW w:type="dxa" w:w="1271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Tây Bắc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51,2</w:t>
            </w:r>
          </w:p>
        </w:tc>
        <w:tc>
          <w:tcPr>
            <w:tcW w:type="dxa" w:w="7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0,81</w:t>
            </w:r>
          </w:p>
        </w:tc>
        <w:tc>
          <w:tcPr>
            <w:tcW w:type="dxa" w:w="15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17,1 / 9,8</w:t>
            </w:r>
          </w:p>
        </w:tc>
        <w:tc>
          <w:tcPr>
            <w:tcW w:type="dxa" w:w="13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1,34 / 0,53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76,75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78,46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78,59</w:t>
            </w:r>
          </w:p>
        </w:tc>
        <w:tc>
          <w:tcPr>
            <w:tcW w:type="dxa" w:w="8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78,59</w:t>
            </w:r>
          </w:p>
        </w:tc>
      </w:tr>
    </w:tbl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Trị số lớn nhất là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+78,87 m ứng với gió hướng Đông Bắc: dù góc tới lớn hơn (k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α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0,88), vận tốc gió bình quân lớn nhất hướng Đông Bắc lớn hơn hướng Bắc (V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50%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11,9 so với 7,6 m/s) nên sóng leo lớn hơn (h′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sl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0,94 so với 0,47 m). Như vậy cao trình đỉnh đập yêu cầu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đ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max(Z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6"/>
        </w:rPr>
        <w:t>;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6"/>
        </w:rPr>
        <w:t>;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3</w:t>
      </w:r>
      <w:r>
        <w:rPr>
          <w:rFonts w:ascii="Times New Roman" w:hAnsi="Times New Roman" w:eastAsia="Times New Roman"/>
          <w:b w:val="0"/>
          <w:i w:val="0"/>
          <w:sz w:val="26"/>
        </w:rPr>
        <w:t>) = +78,87 m.</w:t>
      </w:r>
    </w:p>
    <w:p>
      <w:pPr>
        <w:keepNext/>
        <w:spacing w:before="120" w:after="120" w:line="288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Bảng 2.6 Đánh giá cao trình đỉnh đập theo TCVN 8216:2018 điều 10.1.5 (m)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1"/>
        <w:gridCol w:w="1150"/>
        <w:gridCol w:w="1100"/>
        <w:gridCol w:w="1350"/>
        <w:gridCol w:w="1150"/>
        <w:gridCol w:w="1150"/>
      </w:tblGrid>
      <w:tr>
        <w:trPr>
          <w:tblHeader w:val="true"/>
          <w:cantSplit w:val="true"/>
        </w:trPr>
        <w:tc>
          <w:tcPr>
            <w:tcW w:type="dxa" w:w="3171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Điều kiện</w:t>
            </w:r>
          </w:p>
        </w:tc>
        <w:tc>
          <w:tcPr>
            <w:tcW w:type="dxa" w:w="11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Yêu cầu</w:t>
            </w:r>
          </w:p>
        </w:tc>
        <w:tc>
          <w:tcPr>
            <w:tcW w:type="dxa" w:w="110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Hiện trạng</w:t>
            </w:r>
          </w:p>
        </w:tc>
        <w:tc>
          <w:tcPr>
            <w:tcW w:type="dxa" w:w="13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Đánh giá</w:t>
            </w:r>
          </w:p>
        </w:tc>
        <w:tc>
          <w:tcPr>
            <w:tcW w:type="dxa" w:w="11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Sau sửa chữa</w:t>
            </w:r>
          </w:p>
        </w:tc>
        <w:tc>
          <w:tcPr>
            <w:tcW w:type="dxa" w:w="1150"/>
            <w:shd w:val="clear" w:color="auto" w:fill="F2F2F2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Đánh giá</w:t>
            </w:r>
          </w:p>
        </w:tc>
      </w:tr>
      <w:tr>
        <w:trPr>
          <w:cantSplit w:val="true"/>
        </w:trPr>
        <w:tc>
          <w:tcPr>
            <w:tcW w:type="dxa" w:w="31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Đỉnh tường chắn sóng ≥ Z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đ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= max(Z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Z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Z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  <w:vertAlign w:val="subscript"/>
              </w:rPr>
              <w:t>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11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≥ +78,87</w:t>
            </w:r>
          </w:p>
        </w:tc>
        <w:tc>
          <w:tcPr>
            <w:tcW w:type="dxa" w:w="1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+79,40</w:t>
            </w:r>
          </w:p>
        </w:tc>
        <w:tc>
          <w:tcPr>
            <w:tcW w:type="dxa" w:w="13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Đạt</w:t>
            </w:r>
          </w:p>
        </w:tc>
        <w:tc>
          <w:tcPr>
            <w:tcW w:type="dxa" w:w="11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+79,40</w:t>
            </w:r>
          </w:p>
        </w:tc>
        <w:tc>
          <w:tcPr>
            <w:tcW w:type="dxa" w:w="11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3171"/>
          </w:tcPr>
          <w:p>
            <w:pPr>
              <w:keepNext/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Đỉnh đập (không kể tường) ≥ MNLKT + 0,3 m</w:t>
            </w:r>
          </w:p>
        </w:tc>
        <w:tc>
          <w:tcPr>
            <w:tcW w:type="dxa" w:w="11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≥ +78,69</w:t>
            </w:r>
          </w:p>
        </w:tc>
        <w:tc>
          <w:tcPr>
            <w:tcW w:type="dxa" w:w="110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+78,50</w:t>
            </w:r>
          </w:p>
        </w:tc>
        <w:tc>
          <w:tcPr>
            <w:tcW w:type="dxa" w:w="13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đạt (thiếu 0,19 m)</w:t>
            </w:r>
          </w:p>
        </w:tc>
        <w:tc>
          <w:tcPr>
            <w:tcW w:type="dxa" w:w="11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+78,85</w:t>
            </w:r>
          </w:p>
        </w:tc>
        <w:tc>
          <w:tcPr>
            <w:tcW w:type="dxa" w:w="1150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Đạt (dư 0,16 m)</w:t>
            </w:r>
          </w:p>
        </w:tc>
      </w:tr>
      <w:tr>
        <w:trPr>
          <w:cantSplit w:val="true"/>
        </w:trPr>
        <w:tc>
          <w:tcPr>
            <w:tcW w:type="dxa" w:w="3171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Tường cao hơn đỉnh đập ≤ 1,2 m</w:t>
            </w:r>
          </w:p>
        </w:tc>
        <w:tc>
          <w:tcPr>
            <w:tcW w:type="dxa" w:w="11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≤ 1,20</w:t>
            </w:r>
          </w:p>
        </w:tc>
        <w:tc>
          <w:tcPr>
            <w:tcW w:type="dxa" w:w="110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0,90</w:t>
            </w:r>
          </w:p>
        </w:tc>
        <w:tc>
          <w:tcPr>
            <w:tcW w:type="dxa" w:w="13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Đạt</w:t>
            </w:r>
          </w:p>
        </w:tc>
        <w:tc>
          <w:tcPr>
            <w:tcW w:type="dxa" w:w="11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0,55</w:t>
            </w:r>
          </w:p>
        </w:tc>
        <w:tc>
          <w:tcPr>
            <w:tcW w:type="dxa" w:w="115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Đạt</w:t>
            </w:r>
          </w:p>
        </w:tc>
      </w:tr>
    </w:tbl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Đập Cà Giây có tường chắn sóng thẳng đứng phía thượng lưu (đỉnh +79,40 m) liên kết với bộ phận chống thấm nên theo TCVN 8216:2018 điều 10.1.5 độ vượt cao được tính đến đỉnh tường: +79,40 m ≥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đ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+78,87 m – tường chắn sóng hiện trạng đủ chắn sóng (dự trữ 0,53 m); đồng thời đỉnh đập (không kể tường) phải cao hơn MNLKT tối thiểu 0,3 m, tức không thấp hơn +78,69 m, và tường không cao hơn đỉnh đập quá 1,2 m (Bảng 2.6).</w:t>
      </w:r>
    </w:p>
    <w:p>
      <w:pPr>
        <w:spacing w:before="120" w:after="0" w:line="288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Cao trình đỉnh đập hiện trạng +78,50 m (theo hồ sơ thiết kế; khảo sát đo được +78,32 ÷ +78,44 m) thấp hơn yêu cầu 0,19 m (0,25 ÷ 0,37 m theo số liệu khảo sát): đập hiện trạng chưa bảo đảm an toàn phòng lũ về cao trình đỉnh, cần nâng đỉnh đập lên tối thiểu +78,69 m. Với cao trình đỉnh đập sau sửa chữa +78,85 m: cao hơn MNLKT 0,46 m (≥ 0,3 m), tường chắn sóng cao hơn đỉnh đập 0,55 m (≤ 1,2 m) – đạt yêu cầu. Vì Z</w:t>
      </w:r>
      <w:r>
        <w:rPr>
          <w:rFonts w:ascii="Times New Roman" w:hAnsi="Times New Roman" w:eastAsia="Times New Roman"/>
          <w:b w:val="0"/>
          <w:i w:val="0"/>
          <w:sz w:val="26"/>
          <w:vertAlign w:val="subscript"/>
        </w:rPr>
        <w:t>đ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+78,87 m cao hơn đỉnh đập +78,85 m nên tường chắn sóng là bộ phận bắt buộc, phải được giữ lại và duy trì khi sửa chữa.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