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jc w:val="center"/>
      </w:pPr>
      <w:r>
        <w:rPr>
          <w:rFonts w:ascii="Times New Roman" w:hAnsi="Times New Roman" w:eastAsia="Times New Roman"/>
          <w:b/>
          <w:i w:val="0"/>
          <w:sz w:val="26"/>
        </w:rPr>
        <w:t>KẾT QUẢ TÍNH THẤM SAU SỬA CHỮA – MẶT CẮT LÒNG SÔNG VÀ MẶT CẮT SƯỜN ĐỒI</w:t>
      </w:r>
    </w:p>
    <w:p>
      <w:pPr>
        <w:spacing w:before="120" w:after="0" w:line="288" w:lineRule="auto"/>
        <w:jc w:val="center"/>
      </w:pPr>
      <w:r>
        <w:rPr>
          <w:rFonts w:ascii="Times New Roman" w:hAnsi="Times New Roman" w:eastAsia="Times New Roman"/>
          <w:b w:val="0"/>
          <w:i/>
          <w:sz w:val="22"/>
        </w:rPr>
        <w:t>Thông số đầu vào thống nhất: đỉnh đập trước nâng cấp +78,50 m, sau sửa chữa +78,85 m; cơ thượng lưu, hạ lưu +68,0 m; MNDBT +74,70 m, MNLTK +77,61 m, MNLKT +78,51 m.</w:t>
      </w:r>
    </w:p>
    <w:p>
      <w:pPr>
        <w:keepNext/>
        <w:spacing w:before="120" w:after="120" w:line="288" w:lineRule="auto"/>
        <w:jc w:val="center"/>
      </w:pPr>
      <w:r>
        <w:rPr>
          <w:rFonts w:ascii="Times New Roman" w:hAnsi="Times New Roman" w:eastAsia="Times New Roman"/>
          <w:b w:val="0"/>
          <w:i/>
          <w:sz w:val="24"/>
        </w:rPr>
        <w:t>Bảng 5.1 Kết quả tính thấm mặt cắt lòng sông sau sửa chữa</w:t>
      </w:r>
    </w:p>
    <w:tbl>
      <w:tblPr>
        <w:tblStyle w:val="TableGrid"/>
        <w:tblW w:type="auto" w:w="0"/>
        <w:jc w:val="center"/>
        <w:tblLayout w:type="fixed"/>
        <w:tblLook w:firstColumn="1" w:firstRow="1" w:lastColumn="0" w:lastRow="0" w:noHBand="0" w:noVBand="1" w:val="04A0"/>
      </w:tblPr>
      <w:tblGrid>
        <w:gridCol w:w="1836"/>
        <w:gridCol w:w="1180"/>
        <w:gridCol w:w="1180"/>
        <w:gridCol w:w="1336"/>
        <w:gridCol w:w="1324"/>
        <w:gridCol w:w="1113"/>
        <w:gridCol w:w="1102"/>
      </w:tblGrid>
      <w:tr>
        <w:trPr>
          <w:tblHeader w:val="true"/>
          <w:cantSplit w:val="true"/>
        </w:trPr>
        <w:tc>
          <w:tcPr>
            <w:tcW w:type="dxa" w:w="1836"/>
            <w:shd w:val="clear" w:color="auto" w:fill="F2F2F2"/>
          </w:tcPr>
          <w:p>
            <w:pPr>
              <w:spacing w:before="20" w:after="20" w:line="240" w:lineRule="auto"/>
              <w:jc w:val="center"/>
            </w:pPr>
            <w:r>
              <w:rPr>
                <w:rFonts w:ascii="Times New Roman" w:hAnsi="Times New Roman" w:eastAsia="Times New Roman"/>
                <w:b/>
                <w:i w:val="0"/>
                <w:sz w:val="20"/>
              </w:rPr>
              <w:t>Trường hợp</w:t>
            </w:r>
          </w:p>
        </w:tc>
        <w:tc>
          <w:tcPr>
            <w:tcW w:type="dxa" w:w="1180"/>
            <w:shd w:val="clear" w:color="auto" w:fill="F2F2F2"/>
          </w:tcPr>
          <w:p>
            <w:pPr>
              <w:spacing w:before="20" w:after="20" w:line="240" w:lineRule="auto"/>
              <w:jc w:val="center"/>
            </w:pPr>
            <w:r>
              <w:rPr>
                <w:rFonts w:ascii="Times New Roman" w:hAnsi="Times New Roman" w:eastAsia="Times New Roman"/>
                <w:b/>
                <w:i w:val="0"/>
                <w:sz w:val="20"/>
              </w:rPr>
              <w:t>q hiện trạng (m</w:t>
            </w:r>
            <w:r>
              <w:rPr>
                <w:rFonts w:ascii="Times New Roman" w:hAnsi="Times New Roman" w:eastAsia="Times New Roman"/>
                <w:b/>
                <w:i w:val="0"/>
                <w:sz w:val="20"/>
                <w:vertAlign w:val="superscript"/>
              </w:rPr>
              <w:t>3</w:t>
            </w:r>
            <w:r>
              <w:rPr>
                <w:rFonts w:ascii="Times New Roman" w:hAnsi="Times New Roman" w:eastAsia="Times New Roman"/>
                <w:b/>
                <w:i w:val="0"/>
                <w:sz w:val="20"/>
              </w:rPr>
              <w:t>/s/m)</w:t>
            </w:r>
          </w:p>
        </w:tc>
        <w:tc>
          <w:tcPr>
            <w:tcW w:type="dxa" w:w="1180"/>
            <w:shd w:val="clear" w:color="auto" w:fill="F2F2F2"/>
          </w:tcPr>
          <w:p>
            <w:pPr>
              <w:spacing w:before="20" w:after="20" w:line="240" w:lineRule="auto"/>
              <w:jc w:val="center"/>
            </w:pPr>
            <w:r>
              <w:rPr>
                <w:rFonts w:ascii="Times New Roman" w:hAnsi="Times New Roman" w:eastAsia="Times New Roman"/>
                <w:b/>
                <w:i w:val="0"/>
                <w:sz w:val="20"/>
              </w:rPr>
              <w:t>q sau SC (m</w:t>
            </w:r>
            <w:r>
              <w:rPr>
                <w:rFonts w:ascii="Times New Roman" w:hAnsi="Times New Roman" w:eastAsia="Times New Roman"/>
                <w:b/>
                <w:i w:val="0"/>
                <w:sz w:val="20"/>
                <w:vertAlign w:val="superscript"/>
              </w:rPr>
              <w:t>3</w:t>
            </w:r>
            <w:r>
              <w:rPr>
                <w:rFonts w:ascii="Times New Roman" w:hAnsi="Times New Roman" w:eastAsia="Times New Roman"/>
                <w:b/>
                <w:i w:val="0"/>
                <w:sz w:val="20"/>
              </w:rPr>
              <w:t>/s/m)</w:t>
            </w:r>
          </w:p>
        </w:tc>
        <w:tc>
          <w:tcPr>
            <w:tcW w:type="dxa" w:w="1336"/>
            <w:shd w:val="clear" w:color="auto" w:fill="F2F2F2"/>
          </w:tcPr>
          <w:p>
            <w:pPr>
              <w:spacing w:before="20" w:after="20" w:line="240" w:lineRule="auto"/>
              <w:jc w:val="center"/>
            </w:pPr>
            <w:r>
              <w:rPr>
                <w:rFonts w:ascii="Times New Roman" w:hAnsi="Times New Roman" w:eastAsia="Times New Roman"/>
                <w:b/>
                <w:i w:val="0"/>
                <w:sz w:val="20"/>
              </w:rPr>
              <w:t>J tiếp xúc ống khói TB / 95%</w:t>
            </w:r>
          </w:p>
        </w:tc>
        <w:tc>
          <w:tcPr>
            <w:tcW w:type="dxa" w:w="1324"/>
            <w:shd w:val="clear" w:color="auto" w:fill="F2F2F2"/>
          </w:tcPr>
          <w:p>
            <w:pPr>
              <w:spacing w:before="20" w:after="20" w:line="240" w:lineRule="auto"/>
              <w:jc w:val="center"/>
            </w:pPr>
            <w:r>
              <w:rPr>
                <w:rFonts w:ascii="Times New Roman" w:hAnsi="Times New Roman" w:eastAsia="Times New Roman"/>
                <w:b/>
                <w:i w:val="0"/>
                <w:sz w:val="20"/>
              </w:rPr>
              <w:t>J cửa ra TB / 95%</w:t>
            </w:r>
          </w:p>
        </w:tc>
        <w:tc>
          <w:tcPr>
            <w:tcW w:type="dxa" w:w="1113"/>
            <w:shd w:val="clear" w:color="auto" w:fill="F2F2F2"/>
          </w:tcPr>
          <w:p>
            <w:pPr>
              <w:spacing w:before="20" w:after="20" w:line="240" w:lineRule="auto"/>
              <w:jc w:val="center"/>
            </w:pPr>
            <w:r>
              <w:rPr>
                <w:rFonts w:ascii="Times New Roman" w:hAnsi="Times New Roman" w:eastAsia="Times New Roman"/>
                <w:b/>
                <w:i w:val="0"/>
                <w:sz w:val="20"/>
              </w:rPr>
              <w:t>J chân khay TB / 95%</w:t>
            </w:r>
          </w:p>
        </w:tc>
        <w:tc>
          <w:tcPr>
            <w:tcW w:type="dxa" w:w="1102"/>
            <w:shd w:val="clear" w:color="auto" w:fill="F2F2F2"/>
          </w:tcPr>
          <w:p>
            <w:pPr>
              <w:spacing w:before="20" w:after="20" w:line="240" w:lineRule="auto"/>
              <w:jc w:val="center"/>
            </w:pPr>
            <w:r>
              <w:rPr>
                <w:rFonts w:ascii="Times New Roman" w:hAnsi="Times New Roman" w:eastAsia="Times New Roman"/>
                <w:b/>
                <w:i w:val="0"/>
                <w:sz w:val="20"/>
              </w:rPr>
              <w:t>Z bão hòa tại tim (m)</w:t>
            </w:r>
          </w:p>
        </w:tc>
      </w:tr>
      <w:tr>
        <w:trPr>
          <w:cantSplit w:val="true"/>
        </w:trPr>
        <w:tc>
          <w:tcPr>
            <w:tcW w:type="dxa" w:w="1836"/>
          </w:tcPr>
          <w:p>
            <w:pPr>
              <w:spacing w:before="20" w:after="20" w:line="240" w:lineRule="auto"/>
              <w:jc w:val="left"/>
            </w:pPr>
            <w:r>
              <w:rPr>
                <w:rFonts w:ascii="Times New Roman" w:hAnsi="Times New Roman" w:eastAsia="Times New Roman"/>
                <w:b w:val="0"/>
                <w:i w:val="0"/>
                <w:sz w:val="20"/>
              </w:rPr>
              <w:t>MNDBT +74,70</w:t>
            </w:r>
          </w:p>
        </w:tc>
        <w:tc>
          <w:tcPr>
            <w:tcW w:type="dxa" w:w="1180"/>
          </w:tcPr>
          <w:p>
            <w:pPr>
              <w:spacing w:before="20" w:after="20" w:line="240" w:lineRule="auto"/>
              <w:jc w:val="center"/>
            </w:pPr>
            <w:r>
              <w:rPr>
                <w:rFonts w:ascii="Times New Roman" w:hAnsi="Times New Roman" w:eastAsia="Times New Roman"/>
                <w:b w:val="0"/>
                <w:i w:val="0"/>
                <w:sz w:val="20"/>
              </w:rPr>
              <w:t>6,19·10</w:t>
            </w:r>
            <w:r>
              <w:rPr>
                <w:rFonts w:ascii="Times New Roman" w:hAnsi="Times New Roman" w:eastAsia="Times New Roman"/>
                <w:b w:val="0"/>
                <w:i w:val="0"/>
                <w:sz w:val="20"/>
                <w:vertAlign w:val="superscript"/>
              </w:rPr>
              <w:t>-6</w:t>
            </w:r>
          </w:p>
        </w:tc>
        <w:tc>
          <w:tcPr>
            <w:tcW w:type="dxa" w:w="1180"/>
          </w:tcPr>
          <w:p>
            <w:pPr>
              <w:spacing w:before="20" w:after="20" w:line="240" w:lineRule="auto"/>
              <w:jc w:val="center"/>
            </w:pPr>
            <w:r>
              <w:rPr>
                <w:rFonts w:ascii="Times New Roman" w:hAnsi="Times New Roman" w:eastAsia="Times New Roman"/>
                <w:b w:val="0"/>
                <w:i w:val="0"/>
                <w:sz w:val="20"/>
              </w:rPr>
              <w:t>6,08·10</w:t>
            </w:r>
            <w:r>
              <w:rPr>
                <w:rFonts w:ascii="Times New Roman" w:hAnsi="Times New Roman" w:eastAsia="Times New Roman"/>
                <w:b w:val="0"/>
                <w:i w:val="0"/>
                <w:sz w:val="20"/>
                <w:vertAlign w:val="superscript"/>
              </w:rPr>
              <w:t>-6</w:t>
            </w:r>
          </w:p>
        </w:tc>
        <w:tc>
          <w:tcPr>
            <w:tcW w:type="dxa" w:w="1336"/>
          </w:tcPr>
          <w:p>
            <w:pPr>
              <w:spacing w:before="20" w:after="20" w:line="240" w:lineRule="auto"/>
              <w:jc w:val="center"/>
            </w:pPr>
            <w:r>
              <w:rPr>
                <w:rFonts w:ascii="Times New Roman" w:hAnsi="Times New Roman" w:eastAsia="Times New Roman"/>
                <w:b w:val="0"/>
                <w:i w:val="0"/>
                <w:sz w:val="20"/>
              </w:rPr>
              <w:t>0,76 / 0,83</w:t>
            </w:r>
          </w:p>
        </w:tc>
        <w:tc>
          <w:tcPr>
            <w:tcW w:type="dxa" w:w="1324"/>
          </w:tcPr>
          <w:p>
            <w:pPr>
              <w:spacing w:before="20" w:after="20" w:line="240" w:lineRule="auto"/>
              <w:jc w:val="center"/>
            </w:pPr>
            <w:r>
              <w:rPr>
                <w:rFonts w:ascii="Times New Roman" w:hAnsi="Times New Roman" w:eastAsia="Times New Roman"/>
                <w:b w:val="0"/>
                <w:i w:val="0"/>
                <w:sz w:val="20"/>
              </w:rPr>
              <w:t>0,017 / 0,051</w:t>
            </w:r>
          </w:p>
        </w:tc>
        <w:tc>
          <w:tcPr>
            <w:tcW w:type="dxa" w:w="1113"/>
          </w:tcPr>
          <w:p>
            <w:pPr>
              <w:spacing w:before="20" w:after="20" w:line="240" w:lineRule="auto"/>
              <w:jc w:val="center"/>
            </w:pPr>
            <w:r>
              <w:rPr>
                <w:rFonts w:ascii="Times New Roman" w:hAnsi="Times New Roman" w:eastAsia="Times New Roman"/>
                <w:b w:val="0"/>
                <w:i w:val="0"/>
                <w:sz w:val="20"/>
              </w:rPr>
              <w:t>0,25 / 0,29</w:t>
            </w:r>
          </w:p>
        </w:tc>
        <w:tc>
          <w:tcPr>
            <w:tcW w:type="dxa" w:w="1102"/>
          </w:tcPr>
          <w:p>
            <w:pPr>
              <w:spacing w:before="20" w:after="20" w:line="240" w:lineRule="auto"/>
              <w:jc w:val="center"/>
            </w:pPr>
            <w:r>
              <w:rPr>
                <w:rFonts w:ascii="Times New Roman" w:hAnsi="Times New Roman" w:eastAsia="Times New Roman"/>
                <w:b w:val="0"/>
                <w:i w:val="0"/>
                <w:sz w:val="20"/>
              </w:rPr>
              <w:t>65,60</w:t>
            </w:r>
          </w:p>
        </w:tc>
      </w:tr>
      <w:tr>
        <w:trPr>
          <w:cantSplit w:val="true"/>
        </w:trPr>
        <w:tc>
          <w:tcPr>
            <w:tcW w:type="dxa" w:w="1836"/>
          </w:tcPr>
          <w:p>
            <w:pPr>
              <w:spacing w:before="20" w:after="20" w:line="240" w:lineRule="auto"/>
              <w:jc w:val="left"/>
            </w:pPr>
            <w:r>
              <w:rPr>
                <w:rFonts w:ascii="Times New Roman" w:hAnsi="Times New Roman" w:eastAsia="Times New Roman"/>
                <w:b w:val="0"/>
                <w:i w:val="0"/>
                <w:sz w:val="20"/>
              </w:rPr>
              <w:t>MNLTK +77,61</w:t>
            </w:r>
          </w:p>
        </w:tc>
        <w:tc>
          <w:tcPr>
            <w:tcW w:type="dxa" w:w="1180"/>
          </w:tcPr>
          <w:p>
            <w:pPr>
              <w:spacing w:before="20" w:after="20" w:line="240" w:lineRule="auto"/>
              <w:jc w:val="center"/>
            </w:pPr>
            <w:r>
              <w:rPr>
                <w:rFonts w:ascii="Times New Roman" w:hAnsi="Times New Roman" w:eastAsia="Times New Roman"/>
                <w:b w:val="0"/>
                <w:i w:val="0"/>
                <w:sz w:val="20"/>
              </w:rPr>
              <w:t>7,67·10</w:t>
            </w:r>
            <w:r>
              <w:rPr>
                <w:rFonts w:ascii="Times New Roman" w:hAnsi="Times New Roman" w:eastAsia="Times New Roman"/>
                <w:b w:val="0"/>
                <w:i w:val="0"/>
                <w:sz w:val="20"/>
                <w:vertAlign w:val="superscript"/>
              </w:rPr>
              <w:t>-6</w:t>
            </w:r>
          </w:p>
        </w:tc>
        <w:tc>
          <w:tcPr>
            <w:tcW w:type="dxa" w:w="1180"/>
          </w:tcPr>
          <w:p>
            <w:pPr>
              <w:spacing w:before="20" w:after="20" w:line="240" w:lineRule="auto"/>
              <w:jc w:val="center"/>
            </w:pPr>
            <w:r>
              <w:rPr>
                <w:rFonts w:ascii="Times New Roman" w:hAnsi="Times New Roman" w:eastAsia="Times New Roman"/>
                <w:b w:val="0"/>
                <w:i w:val="0"/>
                <w:sz w:val="20"/>
              </w:rPr>
              <w:t>7,53·10</w:t>
            </w:r>
            <w:r>
              <w:rPr>
                <w:rFonts w:ascii="Times New Roman" w:hAnsi="Times New Roman" w:eastAsia="Times New Roman"/>
                <w:b w:val="0"/>
                <w:i w:val="0"/>
                <w:sz w:val="20"/>
                <w:vertAlign w:val="superscript"/>
              </w:rPr>
              <w:t>-6</w:t>
            </w:r>
          </w:p>
        </w:tc>
        <w:tc>
          <w:tcPr>
            <w:tcW w:type="dxa" w:w="1336"/>
          </w:tcPr>
          <w:p>
            <w:pPr>
              <w:spacing w:before="20" w:after="20" w:line="240" w:lineRule="auto"/>
              <w:jc w:val="center"/>
            </w:pPr>
            <w:r>
              <w:rPr>
                <w:rFonts w:ascii="Times New Roman" w:hAnsi="Times New Roman" w:eastAsia="Times New Roman"/>
                <w:b w:val="0"/>
                <w:i w:val="0"/>
                <w:sz w:val="20"/>
              </w:rPr>
              <w:t>0,83 / 0,92</w:t>
            </w:r>
          </w:p>
        </w:tc>
        <w:tc>
          <w:tcPr>
            <w:tcW w:type="dxa" w:w="1324"/>
          </w:tcPr>
          <w:p>
            <w:pPr>
              <w:spacing w:before="20" w:after="20" w:line="240" w:lineRule="auto"/>
              <w:jc w:val="center"/>
            </w:pPr>
            <w:r>
              <w:rPr>
                <w:rFonts w:ascii="Times New Roman" w:hAnsi="Times New Roman" w:eastAsia="Times New Roman"/>
                <w:b w:val="0"/>
                <w:i w:val="0"/>
                <w:sz w:val="20"/>
              </w:rPr>
              <w:t>0,021 / 0,062</w:t>
            </w:r>
          </w:p>
        </w:tc>
        <w:tc>
          <w:tcPr>
            <w:tcW w:type="dxa" w:w="1113"/>
          </w:tcPr>
          <w:p>
            <w:pPr>
              <w:spacing w:before="20" w:after="20" w:line="240" w:lineRule="auto"/>
              <w:jc w:val="center"/>
            </w:pPr>
            <w:r>
              <w:rPr>
                <w:rFonts w:ascii="Times New Roman" w:hAnsi="Times New Roman" w:eastAsia="Times New Roman"/>
                <w:b w:val="0"/>
                <w:i w:val="0"/>
                <w:sz w:val="20"/>
              </w:rPr>
              <w:t>0,32 / 0,38</w:t>
            </w:r>
          </w:p>
        </w:tc>
        <w:tc>
          <w:tcPr>
            <w:tcW w:type="dxa" w:w="1102"/>
          </w:tcPr>
          <w:p>
            <w:pPr>
              <w:spacing w:before="20" w:after="20" w:line="240" w:lineRule="auto"/>
              <w:jc w:val="center"/>
            </w:pPr>
            <w:r>
              <w:rPr>
                <w:rFonts w:ascii="Times New Roman" w:hAnsi="Times New Roman" w:eastAsia="Times New Roman"/>
                <w:b w:val="0"/>
                <w:i w:val="0"/>
                <w:sz w:val="20"/>
              </w:rPr>
              <w:t>70,80</w:t>
            </w:r>
          </w:p>
        </w:tc>
      </w:tr>
      <w:tr>
        <w:trPr>
          <w:cantSplit w:val="true"/>
        </w:trPr>
        <w:tc>
          <w:tcPr>
            <w:tcW w:type="dxa" w:w="1836"/>
          </w:tcPr>
          <w:p>
            <w:pPr>
              <w:spacing w:before="20" w:after="20" w:line="240" w:lineRule="auto"/>
              <w:jc w:val="left"/>
            </w:pPr>
            <w:r>
              <w:rPr>
                <w:rFonts w:ascii="Times New Roman" w:hAnsi="Times New Roman" w:eastAsia="Times New Roman"/>
                <w:b w:val="0"/>
                <w:i w:val="0"/>
                <w:sz w:val="20"/>
              </w:rPr>
              <w:t>MNLKT +78,51</w:t>
            </w:r>
          </w:p>
        </w:tc>
        <w:tc>
          <w:tcPr>
            <w:tcW w:type="dxa" w:w="1180"/>
          </w:tcPr>
          <w:p>
            <w:pPr>
              <w:spacing w:before="20" w:after="20" w:line="240" w:lineRule="auto"/>
              <w:jc w:val="center"/>
            </w:pPr>
            <w:r>
              <w:rPr>
                <w:rFonts w:ascii="Times New Roman" w:hAnsi="Times New Roman" w:eastAsia="Times New Roman"/>
                <w:b w:val="0"/>
                <w:i w:val="0"/>
                <w:sz w:val="20"/>
              </w:rPr>
              <w:t>8,26·10</w:t>
            </w:r>
            <w:r>
              <w:rPr>
                <w:rFonts w:ascii="Times New Roman" w:hAnsi="Times New Roman" w:eastAsia="Times New Roman"/>
                <w:b w:val="0"/>
                <w:i w:val="0"/>
                <w:sz w:val="20"/>
                <w:vertAlign w:val="superscript"/>
              </w:rPr>
              <w:t>-6</w:t>
            </w:r>
          </w:p>
        </w:tc>
        <w:tc>
          <w:tcPr>
            <w:tcW w:type="dxa" w:w="1180"/>
          </w:tcPr>
          <w:p>
            <w:pPr>
              <w:spacing w:before="20" w:after="20" w:line="240" w:lineRule="auto"/>
              <w:jc w:val="center"/>
            </w:pPr>
            <w:r>
              <w:rPr>
                <w:rFonts w:ascii="Times New Roman" w:hAnsi="Times New Roman" w:eastAsia="Times New Roman"/>
                <w:b w:val="0"/>
                <w:i w:val="0"/>
                <w:sz w:val="20"/>
              </w:rPr>
              <w:t>8,03·10</w:t>
            </w:r>
            <w:r>
              <w:rPr>
                <w:rFonts w:ascii="Times New Roman" w:hAnsi="Times New Roman" w:eastAsia="Times New Roman"/>
                <w:b w:val="0"/>
                <w:i w:val="0"/>
                <w:sz w:val="20"/>
                <w:vertAlign w:val="superscript"/>
              </w:rPr>
              <w:t>-6</w:t>
            </w:r>
          </w:p>
        </w:tc>
        <w:tc>
          <w:tcPr>
            <w:tcW w:type="dxa" w:w="1336"/>
          </w:tcPr>
          <w:p>
            <w:pPr>
              <w:spacing w:before="20" w:after="20" w:line="240" w:lineRule="auto"/>
              <w:jc w:val="center"/>
            </w:pPr>
            <w:r>
              <w:rPr>
                <w:rFonts w:ascii="Times New Roman" w:hAnsi="Times New Roman" w:eastAsia="Times New Roman"/>
                <w:b w:val="0"/>
                <w:i w:val="0"/>
                <w:sz w:val="20"/>
              </w:rPr>
              <w:t>0,85 / 0,94</w:t>
            </w:r>
          </w:p>
        </w:tc>
        <w:tc>
          <w:tcPr>
            <w:tcW w:type="dxa" w:w="1324"/>
          </w:tcPr>
          <w:p>
            <w:pPr>
              <w:spacing w:before="20" w:after="20" w:line="240" w:lineRule="auto"/>
              <w:jc w:val="center"/>
            </w:pPr>
            <w:r>
              <w:rPr>
                <w:rFonts w:ascii="Times New Roman" w:hAnsi="Times New Roman" w:eastAsia="Times New Roman"/>
                <w:b w:val="0"/>
                <w:i w:val="0"/>
                <w:sz w:val="20"/>
              </w:rPr>
              <w:t>0,022 / 0,066</w:t>
            </w:r>
          </w:p>
        </w:tc>
        <w:tc>
          <w:tcPr>
            <w:tcW w:type="dxa" w:w="1113"/>
          </w:tcPr>
          <w:p>
            <w:pPr>
              <w:spacing w:before="20" w:after="20" w:line="240" w:lineRule="auto"/>
              <w:jc w:val="center"/>
            </w:pPr>
            <w:r>
              <w:rPr>
                <w:rFonts w:ascii="Times New Roman" w:hAnsi="Times New Roman" w:eastAsia="Times New Roman"/>
                <w:b w:val="0"/>
                <w:i w:val="0"/>
                <w:sz w:val="20"/>
              </w:rPr>
              <w:t>0,33 / 0,40</w:t>
            </w:r>
          </w:p>
        </w:tc>
        <w:tc>
          <w:tcPr>
            <w:tcW w:type="dxa" w:w="1102"/>
          </w:tcPr>
          <w:p>
            <w:pPr>
              <w:spacing w:before="20" w:after="20" w:line="240" w:lineRule="auto"/>
              <w:jc w:val="center"/>
            </w:pPr>
            <w:r>
              <w:rPr>
                <w:rFonts w:ascii="Times New Roman" w:hAnsi="Times New Roman" w:eastAsia="Times New Roman"/>
                <w:b w:val="0"/>
                <w:i w:val="0"/>
                <w:sz w:val="20"/>
              </w:rPr>
              <w:t>72,79</w:t>
            </w:r>
          </w:p>
        </w:tc>
      </w:tr>
      <w:tr>
        <w:trPr>
          <w:cantSplit w:val="true"/>
        </w:trPr>
        <w:tc>
          <w:tcPr>
            <w:tcW w:type="dxa" w:w="1836"/>
          </w:tcPr>
          <w:p>
            <w:pPr>
              <w:spacing w:before="20" w:after="20" w:line="240" w:lineRule="auto"/>
              <w:jc w:val="left"/>
            </w:pPr>
            <w:r>
              <w:rPr>
                <w:rFonts w:ascii="Times New Roman" w:hAnsi="Times New Roman" w:eastAsia="Times New Roman"/>
                <w:b w:val="0"/>
                <w:i w:val="0"/>
                <w:sz w:val="20"/>
              </w:rPr>
              <w:t>MNDBT, thoát nước bị tắc</w:t>
            </w:r>
          </w:p>
        </w:tc>
        <w:tc>
          <w:tcPr>
            <w:tcW w:type="dxa" w:w="1180"/>
          </w:tcPr>
          <w:p>
            <w:pPr>
              <w:spacing w:before="20" w:after="20" w:line="240" w:lineRule="auto"/>
              <w:jc w:val="center"/>
            </w:pPr>
            <w:r>
              <w:rPr>
                <w:rFonts w:ascii="Times New Roman" w:hAnsi="Times New Roman" w:eastAsia="Times New Roman"/>
                <w:b w:val="0"/>
                <w:i w:val="0"/>
                <w:sz w:val="20"/>
              </w:rPr>
              <w:t>4,44·10</w:t>
            </w:r>
            <w:r>
              <w:rPr>
                <w:rFonts w:ascii="Times New Roman" w:hAnsi="Times New Roman" w:eastAsia="Times New Roman"/>
                <w:b w:val="0"/>
                <w:i w:val="0"/>
                <w:sz w:val="20"/>
                <w:vertAlign w:val="superscript"/>
              </w:rPr>
              <w:t>-6</w:t>
            </w:r>
          </w:p>
        </w:tc>
        <w:tc>
          <w:tcPr>
            <w:tcW w:type="dxa" w:w="1180"/>
          </w:tcPr>
          <w:p>
            <w:pPr>
              <w:spacing w:before="20" w:after="20" w:line="240" w:lineRule="auto"/>
              <w:jc w:val="center"/>
            </w:pPr>
            <w:r>
              <w:rPr>
                <w:rFonts w:ascii="Times New Roman" w:hAnsi="Times New Roman" w:eastAsia="Times New Roman"/>
                <w:b w:val="0"/>
                <w:i w:val="0"/>
                <w:sz w:val="20"/>
              </w:rPr>
              <w:t>4,37·10</w:t>
            </w:r>
            <w:r>
              <w:rPr>
                <w:rFonts w:ascii="Times New Roman" w:hAnsi="Times New Roman" w:eastAsia="Times New Roman"/>
                <w:b w:val="0"/>
                <w:i w:val="0"/>
                <w:sz w:val="20"/>
                <w:vertAlign w:val="superscript"/>
              </w:rPr>
              <w:t>-6</w:t>
            </w:r>
          </w:p>
        </w:tc>
        <w:tc>
          <w:tcPr>
            <w:tcW w:type="dxa" w:w="1336"/>
          </w:tcPr>
          <w:p>
            <w:pPr>
              <w:spacing w:before="20" w:after="20" w:line="240" w:lineRule="auto"/>
              <w:jc w:val="center"/>
            </w:pPr>
            <w:r>
              <w:rPr>
                <w:rFonts w:ascii="Times New Roman" w:hAnsi="Times New Roman" w:eastAsia="Times New Roman"/>
                <w:b w:val="0"/>
                <w:i w:val="0"/>
                <w:sz w:val="20"/>
              </w:rPr>
              <w:t>0,17 / 0,21</w:t>
            </w:r>
          </w:p>
        </w:tc>
        <w:tc>
          <w:tcPr>
            <w:tcW w:type="dxa" w:w="1324"/>
          </w:tcPr>
          <w:p>
            <w:pPr>
              <w:spacing w:before="20" w:after="20" w:line="240" w:lineRule="auto"/>
              <w:jc w:val="center"/>
            </w:pPr>
            <w:r>
              <w:rPr>
                <w:rFonts w:ascii="Times New Roman" w:hAnsi="Times New Roman" w:eastAsia="Times New Roman"/>
                <w:b w:val="0"/>
                <w:i w:val="0"/>
                <w:sz w:val="20"/>
              </w:rPr>
              <w:t>0,054 / 0,164</w:t>
            </w:r>
          </w:p>
        </w:tc>
        <w:tc>
          <w:tcPr>
            <w:tcW w:type="dxa" w:w="1113"/>
          </w:tcPr>
          <w:p>
            <w:pPr>
              <w:spacing w:before="20" w:after="20" w:line="240" w:lineRule="auto"/>
              <w:jc w:val="center"/>
            </w:pPr>
            <w:r>
              <w:rPr>
                <w:rFonts w:ascii="Times New Roman" w:hAnsi="Times New Roman" w:eastAsia="Times New Roman"/>
                <w:b w:val="0"/>
                <w:i w:val="0"/>
                <w:sz w:val="20"/>
              </w:rPr>
              <w:t>0,18 / 0,19</w:t>
            </w:r>
          </w:p>
        </w:tc>
        <w:tc>
          <w:tcPr>
            <w:tcW w:type="dxa" w:w="1102"/>
          </w:tcPr>
          <w:p>
            <w:pPr>
              <w:spacing w:before="20" w:after="20" w:line="240" w:lineRule="auto"/>
              <w:jc w:val="center"/>
            </w:pPr>
            <w:r>
              <w:rPr>
                <w:rFonts w:ascii="Times New Roman" w:hAnsi="Times New Roman" w:eastAsia="Times New Roman"/>
                <w:b w:val="0"/>
                <w:i w:val="0"/>
                <w:sz w:val="20"/>
              </w:rPr>
              <w:t>68,34</w:t>
            </w:r>
          </w:p>
        </w:tc>
      </w:tr>
    </w:tbl>
    <w:p>
      <w:pPr>
        <w:spacing w:before="120" w:after="0" w:line="288" w:lineRule="auto"/>
        <w:ind w:firstLine="567"/>
        <w:jc w:val="both"/>
      </w:pPr>
      <w:r>
        <w:rPr>
          <w:rFonts w:ascii="Times New Roman" w:hAnsi="Times New Roman" w:eastAsia="Times New Roman"/>
          <w:b w:val="0"/>
          <w:i w:val="0"/>
          <w:sz w:val="26"/>
        </w:rPr>
        <w:t>So với hiện trạng, lưu lượng thấm giảm 1,6 ÷ 2,8%; gradien thấm ở mọi bộ phận nhỏ hơn giá trị cho phép (tiếp xúc ống khói ≤ 0,94 &lt; 2,0; cửa ra ≤ 0,16 &lt; 0,85).</w:t>
      </w:r>
    </w:p>
    <w:p>
      <w:pPr>
        <w:keepNext/>
        <w:spacing w:before="120" w:after="120" w:line="288" w:lineRule="auto"/>
        <w:jc w:val="center"/>
      </w:pPr>
      <w:r>
        <w:rPr>
          <w:rFonts w:ascii="Times New Roman" w:hAnsi="Times New Roman" w:eastAsia="Times New Roman"/>
          <w:b w:val="0"/>
          <w:i/>
          <w:sz w:val="24"/>
        </w:rPr>
        <w:t>Bảng 5.2 Kết quả tính thấm mặt cắt sườn đồi sau sửa chữa</w:t>
      </w:r>
    </w:p>
    <w:tbl>
      <w:tblPr>
        <w:tblStyle w:val="TableGrid"/>
        <w:tblW w:type="auto" w:w="0"/>
        <w:jc w:val="center"/>
        <w:tblLayout w:type="fixed"/>
        <w:tblLook w:firstColumn="1" w:firstRow="1" w:lastColumn="0" w:lastRow="0" w:noHBand="0" w:noVBand="1" w:val="04A0"/>
      </w:tblPr>
      <w:tblGrid>
        <w:gridCol w:w="1836"/>
        <w:gridCol w:w="1180"/>
        <w:gridCol w:w="1180"/>
        <w:gridCol w:w="1336"/>
        <w:gridCol w:w="1324"/>
        <w:gridCol w:w="1113"/>
        <w:gridCol w:w="1102"/>
      </w:tblGrid>
      <w:tr>
        <w:trPr>
          <w:tblHeader w:val="true"/>
          <w:cantSplit w:val="true"/>
        </w:trPr>
        <w:tc>
          <w:tcPr>
            <w:tcW w:type="dxa" w:w="1836"/>
            <w:shd w:val="clear" w:color="auto" w:fill="F2F2F2"/>
          </w:tcPr>
          <w:p>
            <w:pPr>
              <w:spacing w:before="20" w:after="20" w:line="240" w:lineRule="auto"/>
              <w:jc w:val="center"/>
            </w:pPr>
            <w:r>
              <w:rPr>
                <w:rFonts w:ascii="Times New Roman" w:hAnsi="Times New Roman" w:eastAsia="Times New Roman"/>
                <w:b/>
                <w:i w:val="0"/>
                <w:sz w:val="20"/>
              </w:rPr>
              <w:t>Trường hợp</w:t>
            </w:r>
          </w:p>
        </w:tc>
        <w:tc>
          <w:tcPr>
            <w:tcW w:type="dxa" w:w="1180"/>
            <w:shd w:val="clear" w:color="auto" w:fill="F2F2F2"/>
          </w:tcPr>
          <w:p>
            <w:pPr>
              <w:spacing w:before="20" w:after="20" w:line="240" w:lineRule="auto"/>
              <w:jc w:val="center"/>
            </w:pPr>
            <w:r>
              <w:rPr>
                <w:rFonts w:ascii="Times New Roman" w:hAnsi="Times New Roman" w:eastAsia="Times New Roman"/>
                <w:b/>
                <w:i w:val="0"/>
                <w:sz w:val="20"/>
              </w:rPr>
              <w:t>q hiện trạng (m</w:t>
            </w:r>
            <w:r>
              <w:rPr>
                <w:rFonts w:ascii="Times New Roman" w:hAnsi="Times New Roman" w:eastAsia="Times New Roman"/>
                <w:b/>
                <w:i w:val="0"/>
                <w:sz w:val="20"/>
                <w:vertAlign w:val="superscript"/>
              </w:rPr>
              <w:t>3</w:t>
            </w:r>
            <w:r>
              <w:rPr>
                <w:rFonts w:ascii="Times New Roman" w:hAnsi="Times New Roman" w:eastAsia="Times New Roman"/>
                <w:b/>
                <w:i w:val="0"/>
                <w:sz w:val="20"/>
              </w:rPr>
              <w:t>/s/m)</w:t>
            </w:r>
          </w:p>
        </w:tc>
        <w:tc>
          <w:tcPr>
            <w:tcW w:type="dxa" w:w="1180"/>
            <w:shd w:val="clear" w:color="auto" w:fill="F2F2F2"/>
          </w:tcPr>
          <w:p>
            <w:pPr>
              <w:spacing w:before="20" w:after="20" w:line="240" w:lineRule="auto"/>
              <w:jc w:val="center"/>
            </w:pPr>
            <w:r>
              <w:rPr>
                <w:rFonts w:ascii="Times New Roman" w:hAnsi="Times New Roman" w:eastAsia="Times New Roman"/>
                <w:b/>
                <w:i w:val="0"/>
                <w:sz w:val="20"/>
              </w:rPr>
              <w:t>q sau SC (m</w:t>
            </w:r>
            <w:r>
              <w:rPr>
                <w:rFonts w:ascii="Times New Roman" w:hAnsi="Times New Roman" w:eastAsia="Times New Roman"/>
                <w:b/>
                <w:i w:val="0"/>
                <w:sz w:val="20"/>
                <w:vertAlign w:val="superscript"/>
              </w:rPr>
              <w:t>3</w:t>
            </w:r>
            <w:r>
              <w:rPr>
                <w:rFonts w:ascii="Times New Roman" w:hAnsi="Times New Roman" w:eastAsia="Times New Roman"/>
                <w:b/>
                <w:i w:val="0"/>
                <w:sz w:val="20"/>
              </w:rPr>
              <w:t>/s/m)</w:t>
            </w:r>
          </w:p>
        </w:tc>
        <w:tc>
          <w:tcPr>
            <w:tcW w:type="dxa" w:w="1336"/>
            <w:shd w:val="clear" w:color="auto" w:fill="F2F2F2"/>
          </w:tcPr>
          <w:p>
            <w:pPr>
              <w:spacing w:before="20" w:after="20" w:line="240" w:lineRule="auto"/>
              <w:jc w:val="center"/>
            </w:pPr>
            <w:r>
              <w:rPr>
                <w:rFonts w:ascii="Times New Roman" w:hAnsi="Times New Roman" w:eastAsia="Times New Roman"/>
                <w:b/>
                <w:i w:val="0"/>
                <w:sz w:val="20"/>
              </w:rPr>
              <w:t>J tiếp xúc đệm tiêu nước TB / 95%</w:t>
            </w:r>
          </w:p>
        </w:tc>
        <w:tc>
          <w:tcPr>
            <w:tcW w:type="dxa" w:w="1324"/>
            <w:shd w:val="clear" w:color="auto" w:fill="F2F2F2"/>
          </w:tcPr>
          <w:p>
            <w:pPr>
              <w:spacing w:before="20" w:after="20" w:line="240" w:lineRule="auto"/>
              <w:jc w:val="center"/>
            </w:pPr>
            <w:r>
              <w:rPr>
                <w:rFonts w:ascii="Times New Roman" w:hAnsi="Times New Roman" w:eastAsia="Times New Roman"/>
                <w:b/>
                <w:i w:val="0"/>
                <w:sz w:val="20"/>
              </w:rPr>
              <w:t>J cửa ra TB / 95%</w:t>
            </w:r>
          </w:p>
        </w:tc>
        <w:tc>
          <w:tcPr>
            <w:tcW w:type="dxa" w:w="1113"/>
            <w:shd w:val="clear" w:color="auto" w:fill="F2F2F2"/>
          </w:tcPr>
          <w:p>
            <w:pPr>
              <w:spacing w:before="20" w:after="20" w:line="240" w:lineRule="auto"/>
              <w:jc w:val="center"/>
            </w:pPr>
            <w:r>
              <w:rPr>
                <w:rFonts w:ascii="Times New Roman" w:hAnsi="Times New Roman" w:eastAsia="Times New Roman"/>
                <w:b/>
                <w:i w:val="0"/>
                <w:sz w:val="20"/>
              </w:rPr>
              <w:t>J chân khay TB / 95%</w:t>
            </w:r>
          </w:p>
        </w:tc>
        <w:tc>
          <w:tcPr>
            <w:tcW w:type="dxa" w:w="1102"/>
            <w:shd w:val="clear" w:color="auto" w:fill="F2F2F2"/>
          </w:tcPr>
          <w:p>
            <w:pPr>
              <w:spacing w:before="20" w:after="20" w:line="240" w:lineRule="auto"/>
              <w:jc w:val="center"/>
            </w:pPr>
            <w:r>
              <w:rPr>
                <w:rFonts w:ascii="Times New Roman" w:hAnsi="Times New Roman" w:eastAsia="Times New Roman"/>
                <w:b/>
                <w:i w:val="0"/>
                <w:sz w:val="20"/>
              </w:rPr>
              <w:t>Z bão hòa tại tim (m)</w:t>
            </w:r>
          </w:p>
        </w:tc>
      </w:tr>
      <w:tr>
        <w:trPr>
          <w:cantSplit w:val="true"/>
        </w:trPr>
        <w:tc>
          <w:tcPr>
            <w:tcW w:type="dxa" w:w="1836"/>
          </w:tcPr>
          <w:p>
            <w:pPr>
              <w:spacing w:before="20" w:after="20" w:line="240" w:lineRule="auto"/>
              <w:jc w:val="left"/>
            </w:pPr>
            <w:r>
              <w:rPr>
                <w:rFonts w:ascii="Times New Roman" w:hAnsi="Times New Roman" w:eastAsia="Times New Roman"/>
                <w:b w:val="0"/>
                <w:i w:val="0"/>
                <w:sz w:val="20"/>
              </w:rPr>
              <w:t>MNDBT +74,70</w:t>
            </w:r>
          </w:p>
        </w:tc>
        <w:tc>
          <w:tcPr>
            <w:tcW w:type="dxa" w:w="1180"/>
          </w:tcPr>
          <w:p>
            <w:pPr>
              <w:spacing w:before="20" w:after="20" w:line="240" w:lineRule="auto"/>
              <w:jc w:val="center"/>
            </w:pPr>
            <w:r>
              <w:rPr>
                <w:rFonts w:ascii="Times New Roman" w:hAnsi="Times New Roman" w:eastAsia="Times New Roman"/>
                <w:b w:val="0"/>
                <w:i w:val="0"/>
                <w:sz w:val="20"/>
              </w:rPr>
              <w:t>1,67·10</w:t>
            </w:r>
            <w:r>
              <w:rPr>
                <w:rFonts w:ascii="Times New Roman" w:hAnsi="Times New Roman" w:eastAsia="Times New Roman"/>
                <w:b w:val="0"/>
                <w:i w:val="0"/>
                <w:sz w:val="20"/>
                <w:vertAlign w:val="superscript"/>
              </w:rPr>
              <w:t>-6</w:t>
            </w:r>
          </w:p>
        </w:tc>
        <w:tc>
          <w:tcPr>
            <w:tcW w:type="dxa" w:w="1180"/>
          </w:tcPr>
          <w:p>
            <w:pPr>
              <w:spacing w:before="20" w:after="20" w:line="240" w:lineRule="auto"/>
              <w:jc w:val="center"/>
            </w:pPr>
            <w:r>
              <w:rPr>
                <w:rFonts w:ascii="Times New Roman" w:hAnsi="Times New Roman" w:eastAsia="Times New Roman"/>
                <w:b w:val="0"/>
                <w:i w:val="0"/>
                <w:sz w:val="20"/>
              </w:rPr>
              <w:t>1,67·10</w:t>
            </w:r>
            <w:r>
              <w:rPr>
                <w:rFonts w:ascii="Times New Roman" w:hAnsi="Times New Roman" w:eastAsia="Times New Roman"/>
                <w:b w:val="0"/>
                <w:i w:val="0"/>
                <w:sz w:val="20"/>
                <w:vertAlign w:val="superscript"/>
              </w:rPr>
              <w:t>-6</w:t>
            </w:r>
          </w:p>
        </w:tc>
        <w:tc>
          <w:tcPr>
            <w:tcW w:type="dxa" w:w="1336"/>
          </w:tcPr>
          <w:p>
            <w:pPr>
              <w:spacing w:before="20" w:after="20" w:line="240" w:lineRule="auto"/>
              <w:jc w:val="center"/>
            </w:pPr>
            <w:r>
              <w:rPr>
                <w:rFonts w:ascii="Times New Roman" w:hAnsi="Times New Roman" w:eastAsia="Times New Roman"/>
                <w:b w:val="0"/>
                <w:i w:val="0"/>
                <w:sz w:val="20"/>
              </w:rPr>
              <w:t>0,17 / 0,74</w:t>
            </w:r>
          </w:p>
        </w:tc>
        <w:tc>
          <w:tcPr>
            <w:tcW w:type="dxa" w:w="1324"/>
          </w:tcPr>
          <w:p>
            <w:pPr>
              <w:spacing w:before="20" w:after="20" w:line="240" w:lineRule="auto"/>
              <w:jc w:val="center"/>
            </w:pPr>
            <w:r>
              <w:rPr>
                <w:rFonts w:ascii="Times New Roman" w:hAnsi="Times New Roman" w:eastAsia="Times New Roman"/>
                <w:b w:val="0"/>
                <w:i w:val="0"/>
                <w:sz w:val="20"/>
              </w:rPr>
              <w:t>0,052 / 0,204</w:t>
            </w:r>
          </w:p>
        </w:tc>
        <w:tc>
          <w:tcPr>
            <w:tcW w:type="dxa" w:w="1113"/>
          </w:tcPr>
          <w:p>
            <w:pPr>
              <w:spacing w:before="20" w:after="20" w:line="240" w:lineRule="auto"/>
              <w:jc w:val="center"/>
            </w:pPr>
            <w:r>
              <w:rPr>
                <w:rFonts w:ascii="Times New Roman" w:hAnsi="Times New Roman" w:eastAsia="Times New Roman"/>
                <w:b w:val="0"/>
                <w:i w:val="0"/>
                <w:sz w:val="20"/>
              </w:rPr>
              <w:t>0,10 / 0,11</w:t>
            </w:r>
          </w:p>
        </w:tc>
        <w:tc>
          <w:tcPr>
            <w:tcW w:type="dxa" w:w="1102"/>
          </w:tcPr>
          <w:p>
            <w:pPr>
              <w:spacing w:before="20" w:after="20" w:line="240" w:lineRule="auto"/>
              <w:jc w:val="center"/>
            </w:pPr>
            <w:r>
              <w:rPr>
                <w:rFonts w:ascii="Times New Roman" w:hAnsi="Times New Roman" w:eastAsia="Times New Roman"/>
                <w:b w:val="0"/>
                <w:i w:val="0"/>
                <w:sz w:val="20"/>
              </w:rPr>
              <w:t>72,10</w:t>
            </w:r>
          </w:p>
        </w:tc>
      </w:tr>
      <w:tr>
        <w:trPr>
          <w:cantSplit w:val="true"/>
        </w:trPr>
        <w:tc>
          <w:tcPr>
            <w:tcW w:type="dxa" w:w="1836"/>
          </w:tcPr>
          <w:p>
            <w:pPr>
              <w:spacing w:before="20" w:after="20" w:line="240" w:lineRule="auto"/>
              <w:jc w:val="left"/>
            </w:pPr>
            <w:r>
              <w:rPr>
                <w:rFonts w:ascii="Times New Roman" w:hAnsi="Times New Roman" w:eastAsia="Times New Roman"/>
                <w:b w:val="0"/>
                <w:i w:val="0"/>
                <w:sz w:val="20"/>
              </w:rPr>
              <w:t>MNLTK +77,61</w:t>
            </w:r>
          </w:p>
        </w:tc>
        <w:tc>
          <w:tcPr>
            <w:tcW w:type="dxa" w:w="1180"/>
          </w:tcPr>
          <w:p>
            <w:pPr>
              <w:spacing w:before="20" w:after="20" w:line="240" w:lineRule="auto"/>
              <w:jc w:val="center"/>
            </w:pPr>
            <w:r>
              <w:rPr>
                <w:rFonts w:ascii="Times New Roman" w:hAnsi="Times New Roman" w:eastAsia="Times New Roman"/>
                <w:b w:val="0"/>
                <w:i w:val="0"/>
                <w:sz w:val="20"/>
              </w:rPr>
              <w:t>3,14·10</w:t>
            </w:r>
            <w:r>
              <w:rPr>
                <w:rFonts w:ascii="Times New Roman" w:hAnsi="Times New Roman" w:eastAsia="Times New Roman"/>
                <w:b w:val="0"/>
                <w:i w:val="0"/>
                <w:sz w:val="20"/>
                <w:vertAlign w:val="superscript"/>
              </w:rPr>
              <w:t>-6</w:t>
            </w:r>
          </w:p>
        </w:tc>
        <w:tc>
          <w:tcPr>
            <w:tcW w:type="dxa" w:w="1180"/>
          </w:tcPr>
          <w:p>
            <w:pPr>
              <w:spacing w:before="20" w:after="20" w:line="240" w:lineRule="auto"/>
              <w:jc w:val="center"/>
            </w:pPr>
            <w:r>
              <w:rPr>
                <w:rFonts w:ascii="Times New Roman" w:hAnsi="Times New Roman" w:eastAsia="Times New Roman"/>
                <w:b w:val="0"/>
                <w:i w:val="0"/>
                <w:sz w:val="20"/>
              </w:rPr>
              <w:t>3,14·10</w:t>
            </w:r>
            <w:r>
              <w:rPr>
                <w:rFonts w:ascii="Times New Roman" w:hAnsi="Times New Roman" w:eastAsia="Times New Roman"/>
                <w:b w:val="0"/>
                <w:i w:val="0"/>
                <w:sz w:val="20"/>
                <w:vertAlign w:val="superscript"/>
              </w:rPr>
              <w:t>-6</w:t>
            </w:r>
          </w:p>
        </w:tc>
        <w:tc>
          <w:tcPr>
            <w:tcW w:type="dxa" w:w="1336"/>
          </w:tcPr>
          <w:p>
            <w:pPr>
              <w:spacing w:before="20" w:after="20" w:line="240" w:lineRule="auto"/>
              <w:jc w:val="center"/>
            </w:pPr>
            <w:r>
              <w:rPr>
                <w:rFonts w:ascii="Times New Roman" w:hAnsi="Times New Roman" w:eastAsia="Times New Roman"/>
                <w:b w:val="0"/>
                <w:i w:val="0"/>
                <w:sz w:val="20"/>
              </w:rPr>
              <w:t>0,25 / 1,16</w:t>
            </w:r>
          </w:p>
        </w:tc>
        <w:tc>
          <w:tcPr>
            <w:tcW w:type="dxa" w:w="1324"/>
          </w:tcPr>
          <w:p>
            <w:pPr>
              <w:spacing w:before="20" w:after="20" w:line="240" w:lineRule="auto"/>
              <w:jc w:val="center"/>
            </w:pPr>
            <w:r>
              <w:rPr>
                <w:rFonts w:ascii="Times New Roman" w:hAnsi="Times New Roman" w:eastAsia="Times New Roman"/>
                <w:b w:val="0"/>
                <w:i w:val="0"/>
                <w:sz w:val="20"/>
              </w:rPr>
              <w:t>0,086 / 0,282</w:t>
            </w:r>
          </w:p>
        </w:tc>
        <w:tc>
          <w:tcPr>
            <w:tcW w:type="dxa" w:w="1113"/>
          </w:tcPr>
          <w:p>
            <w:pPr>
              <w:spacing w:before="20" w:after="20" w:line="240" w:lineRule="auto"/>
              <w:jc w:val="center"/>
            </w:pPr>
            <w:r>
              <w:rPr>
                <w:rFonts w:ascii="Times New Roman" w:hAnsi="Times New Roman" w:eastAsia="Times New Roman"/>
                <w:b w:val="0"/>
                <w:i w:val="0"/>
                <w:sz w:val="20"/>
              </w:rPr>
              <w:t>0,15 / 0,17</w:t>
            </w:r>
          </w:p>
        </w:tc>
        <w:tc>
          <w:tcPr>
            <w:tcW w:type="dxa" w:w="1102"/>
          </w:tcPr>
          <w:p>
            <w:pPr>
              <w:spacing w:before="20" w:after="20" w:line="240" w:lineRule="auto"/>
              <w:jc w:val="center"/>
            </w:pPr>
            <w:r>
              <w:rPr>
                <w:rFonts w:ascii="Times New Roman" w:hAnsi="Times New Roman" w:eastAsia="Times New Roman"/>
                <w:b w:val="0"/>
                <w:i w:val="0"/>
                <w:sz w:val="20"/>
              </w:rPr>
              <w:t>75,13</w:t>
            </w:r>
          </w:p>
        </w:tc>
      </w:tr>
      <w:tr>
        <w:trPr>
          <w:cantSplit w:val="true"/>
        </w:trPr>
        <w:tc>
          <w:tcPr>
            <w:tcW w:type="dxa" w:w="1836"/>
          </w:tcPr>
          <w:p>
            <w:pPr>
              <w:spacing w:before="20" w:after="20" w:line="240" w:lineRule="auto"/>
              <w:jc w:val="left"/>
            </w:pPr>
            <w:r>
              <w:rPr>
                <w:rFonts w:ascii="Times New Roman" w:hAnsi="Times New Roman" w:eastAsia="Times New Roman"/>
                <w:b w:val="0"/>
                <w:i w:val="0"/>
                <w:sz w:val="20"/>
              </w:rPr>
              <w:t>MNLKT +78,51</w:t>
            </w:r>
          </w:p>
        </w:tc>
        <w:tc>
          <w:tcPr>
            <w:tcW w:type="dxa" w:w="1180"/>
          </w:tcPr>
          <w:p>
            <w:pPr>
              <w:spacing w:before="20" w:after="20" w:line="240" w:lineRule="auto"/>
              <w:jc w:val="center"/>
            </w:pPr>
            <w:r>
              <w:rPr>
                <w:rFonts w:ascii="Times New Roman" w:hAnsi="Times New Roman" w:eastAsia="Times New Roman"/>
                <w:b w:val="0"/>
                <w:i w:val="0"/>
                <w:sz w:val="20"/>
              </w:rPr>
              <w:t>3,77·10</w:t>
            </w:r>
            <w:r>
              <w:rPr>
                <w:rFonts w:ascii="Times New Roman" w:hAnsi="Times New Roman" w:eastAsia="Times New Roman"/>
                <w:b w:val="0"/>
                <w:i w:val="0"/>
                <w:sz w:val="20"/>
                <w:vertAlign w:val="superscript"/>
              </w:rPr>
              <w:t>-6</w:t>
            </w:r>
          </w:p>
        </w:tc>
        <w:tc>
          <w:tcPr>
            <w:tcW w:type="dxa" w:w="1180"/>
          </w:tcPr>
          <w:p>
            <w:pPr>
              <w:spacing w:before="20" w:after="20" w:line="240" w:lineRule="auto"/>
              <w:jc w:val="center"/>
            </w:pPr>
            <w:r>
              <w:rPr>
                <w:rFonts w:ascii="Times New Roman" w:hAnsi="Times New Roman" w:eastAsia="Times New Roman"/>
                <w:b w:val="0"/>
                <w:i w:val="0"/>
                <w:sz w:val="20"/>
              </w:rPr>
              <w:t>3,77·10</w:t>
            </w:r>
            <w:r>
              <w:rPr>
                <w:rFonts w:ascii="Times New Roman" w:hAnsi="Times New Roman" w:eastAsia="Times New Roman"/>
                <w:b w:val="0"/>
                <w:i w:val="0"/>
                <w:sz w:val="20"/>
                <w:vertAlign w:val="superscript"/>
              </w:rPr>
              <w:t>-6</w:t>
            </w:r>
          </w:p>
        </w:tc>
        <w:tc>
          <w:tcPr>
            <w:tcW w:type="dxa" w:w="1336"/>
          </w:tcPr>
          <w:p>
            <w:pPr>
              <w:spacing w:before="20" w:after="20" w:line="240" w:lineRule="auto"/>
              <w:jc w:val="center"/>
            </w:pPr>
            <w:r>
              <w:rPr>
                <w:rFonts w:ascii="Times New Roman" w:hAnsi="Times New Roman" w:eastAsia="Times New Roman"/>
                <w:b w:val="0"/>
                <w:i w:val="0"/>
                <w:sz w:val="20"/>
              </w:rPr>
              <w:t>0,27 / 1,21</w:t>
            </w:r>
          </w:p>
        </w:tc>
        <w:tc>
          <w:tcPr>
            <w:tcW w:type="dxa" w:w="1324"/>
          </w:tcPr>
          <w:p>
            <w:pPr>
              <w:spacing w:before="20" w:after="20" w:line="240" w:lineRule="auto"/>
              <w:jc w:val="center"/>
            </w:pPr>
            <w:r>
              <w:rPr>
                <w:rFonts w:ascii="Times New Roman" w:hAnsi="Times New Roman" w:eastAsia="Times New Roman"/>
                <w:b w:val="0"/>
                <w:i w:val="0"/>
                <w:sz w:val="20"/>
              </w:rPr>
              <w:t>0,099 / 0,314</w:t>
            </w:r>
          </w:p>
        </w:tc>
        <w:tc>
          <w:tcPr>
            <w:tcW w:type="dxa" w:w="1113"/>
          </w:tcPr>
          <w:p>
            <w:pPr>
              <w:spacing w:before="20" w:after="20" w:line="240" w:lineRule="auto"/>
              <w:jc w:val="center"/>
            </w:pPr>
            <w:r>
              <w:rPr>
                <w:rFonts w:ascii="Times New Roman" w:hAnsi="Times New Roman" w:eastAsia="Times New Roman"/>
                <w:b w:val="0"/>
                <w:i w:val="0"/>
                <w:sz w:val="20"/>
              </w:rPr>
              <w:t>0,16 / 0,18</w:t>
            </w:r>
          </w:p>
        </w:tc>
        <w:tc>
          <w:tcPr>
            <w:tcW w:type="dxa" w:w="1102"/>
          </w:tcPr>
          <w:p>
            <w:pPr>
              <w:spacing w:before="20" w:after="20" w:line="240" w:lineRule="auto"/>
              <w:jc w:val="center"/>
            </w:pPr>
            <w:r>
              <w:rPr>
                <w:rFonts w:ascii="Times New Roman" w:hAnsi="Times New Roman" w:eastAsia="Times New Roman"/>
                <w:b w:val="0"/>
                <w:i w:val="0"/>
                <w:sz w:val="20"/>
              </w:rPr>
              <w:t>76,68</w:t>
            </w:r>
          </w:p>
        </w:tc>
      </w:tr>
      <w:tr>
        <w:trPr>
          <w:cantSplit w:val="true"/>
        </w:trPr>
        <w:tc>
          <w:tcPr>
            <w:tcW w:type="dxa" w:w="1836"/>
          </w:tcPr>
          <w:p>
            <w:pPr>
              <w:spacing w:before="20" w:after="20" w:line="240" w:lineRule="auto"/>
              <w:jc w:val="left"/>
            </w:pPr>
            <w:r>
              <w:rPr>
                <w:rFonts w:ascii="Times New Roman" w:hAnsi="Times New Roman" w:eastAsia="Times New Roman"/>
                <w:b w:val="0"/>
                <w:i w:val="0"/>
                <w:sz w:val="20"/>
              </w:rPr>
              <w:t>MNDBT, thoát nước bị tắc</w:t>
            </w:r>
          </w:p>
        </w:tc>
        <w:tc>
          <w:tcPr>
            <w:tcW w:type="dxa" w:w="1180"/>
          </w:tcPr>
          <w:p>
            <w:pPr>
              <w:spacing w:before="20" w:after="20" w:line="240" w:lineRule="auto"/>
              <w:jc w:val="center"/>
            </w:pPr>
            <w:r>
              <w:rPr>
                <w:rFonts w:ascii="Times New Roman" w:hAnsi="Times New Roman" w:eastAsia="Times New Roman"/>
                <w:b w:val="0"/>
                <w:i w:val="0"/>
                <w:sz w:val="20"/>
              </w:rPr>
              <w:t>1,11·10</w:t>
            </w:r>
            <w:r>
              <w:rPr>
                <w:rFonts w:ascii="Times New Roman" w:hAnsi="Times New Roman" w:eastAsia="Times New Roman"/>
                <w:b w:val="0"/>
                <w:i w:val="0"/>
                <w:sz w:val="20"/>
                <w:vertAlign w:val="superscript"/>
              </w:rPr>
              <w:t>-6</w:t>
            </w:r>
          </w:p>
        </w:tc>
        <w:tc>
          <w:tcPr>
            <w:tcW w:type="dxa" w:w="1180"/>
          </w:tcPr>
          <w:p>
            <w:pPr>
              <w:spacing w:before="20" w:after="20" w:line="240" w:lineRule="auto"/>
              <w:jc w:val="center"/>
            </w:pPr>
            <w:r>
              <w:rPr>
                <w:rFonts w:ascii="Times New Roman" w:hAnsi="Times New Roman" w:eastAsia="Times New Roman"/>
                <w:b w:val="0"/>
                <w:i w:val="0"/>
                <w:sz w:val="20"/>
              </w:rPr>
              <w:t>1,11·10</w:t>
            </w:r>
            <w:r>
              <w:rPr>
                <w:rFonts w:ascii="Times New Roman" w:hAnsi="Times New Roman" w:eastAsia="Times New Roman"/>
                <w:b w:val="0"/>
                <w:i w:val="0"/>
                <w:sz w:val="20"/>
                <w:vertAlign w:val="superscript"/>
              </w:rPr>
              <w:t>-6</w:t>
            </w:r>
          </w:p>
        </w:tc>
        <w:tc>
          <w:tcPr>
            <w:tcW w:type="dxa" w:w="1336"/>
          </w:tcPr>
          <w:p>
            <w:pPr>
              <w:spacing w:before="20" w:after="20" w:line="240" w:lineRule="auto"/>
              <w:jc w:val="center"/>
            </w:pPr>
            <w:r>
              <w:rPr>
                <w:rFonts w:ascii="Times New Roman" w:hAnsi="Times New Roman" w:eastAsia="Times New Roman"/>
                <w:b w:val="0"/>
                <w:i w:val="0"/>
                <w:sz w:val="20"/>
              </w:rPr>
              <w:t>0,19 / 0,36</w:t>
            </w:r>
          </w:p>
        </w:tc>
        <w:tc>
          <w:tcPr>
            <w:tcW w:type="dxa" w:w="1324"/>
          </w:tcPr>
          <w:p>
            <w:pPr>
              <w:spacing w:before="20" w:after="20" w:line="240" w:lineRule="auto"/>
              <w:jc w:val="center"/>
            </w:pPr>
            <w:r>
              <w:rPr>
                <w:rFonts w:ascii="Times New Roman" w:hAnsi="Times New Roman" w:eastAsia="Times New Roman"/>
                <w:b w:val="0"/>
                <w:i w:val="0"/>
                <w:sz w:val="20"/>
              </w:rPr>
              <w:t>0,150 / 0,406</w:t>
            </w:r>
          </w:p>
        </w:tc>
        <w:tc>
          <w:tcPr>
            <w:tcW w:type="dxa" w:w="1113"/>
          </w:tcPr>
          <w:p>
            <w:pPr>
              <w:spacing w:before="20" w:after="20" w:line="240" w:lineRule="auto"/>
              <w:jc w:val="center"/>
            </w:pPr>
            <w:r>
              <w:rPr>
                <w:rFonts w:ascii="Times New Roman" w:hAnsi="Times New Roman" w:eastAsia="Times New Roman"/>
                <w:b w:val="0"/>
                <w:i w:val="0"/>
                <w:sz w:val="20"/>
              </w:rPr>
              <w:t>0,06 / 0,07</w:t>
            </w:r>
          </w:p>
        </w:tc>
        <w:tc>
          <w:tcPr>
            <w:tcW w:type="dxa" w:w="1102"/>
          </w:tcPr>
          <w:p>
            <w:pPr>
              <w:spacing w:before="20" w:after="20" w:line="240" w:lineRule="auto"/>
              <w:jc w:val="center"/>
            </w:pPr>
            <w:r>
              <w:rPr>
                <w:rFonts w:ascii="Times New Roman" w:hAnsi="Times New Roman" w:eastAsia="Times New Roman"/>
                <w:b w:val="0"/>
                <w:i w:val="0"/>
                <w:sz w:val="20"/>
              </w:rPr>
              <w:t>73,04</w:t>
            </w:r>
          </w:p>
        </w:tc>
      </w:tr>
    </w:tbl>
    <w:p>
      <w:pPr>
        <w:spacing w:before="120" w:after="0" w:line="288" w:lineRule="auto"/>
        <w:ind w:firstLine="567"/>
        <w:jc w:val="both"/>
      </w:pPr>
      <w:r>
        <w:rPr>
          <w:rFonts w:ascii="Times New Roman" w:hAnsi="Times New Roman" w:eastAsia="Times New Roman"/>
          <w:b w:val="0"/>
          <w:i w:val="0"/>
          <w:sz w:val="26"/>
        </w:rPr>
        <w:t>Mặt cắt sườn đồi (mặt cắt V – T9) tính theo cùng phương pháp và điều kiện biên như mặt cắt lòng sông: khối lõi ĐĐ-I có chân khay đáy +63,8 m, khối thượng lưu và hạ lưu ĐĐ-II, đệm tiêu nước nằm ngang ở chân mái hạ lưu, nền sét pha tàn tích (lớp 4, k = 4,11·10</w:t>
      </w:r>
      <w:r>
        <w:rPr>
          <w:rFonts w:ascii="Times New Roman" w:hAnsi="Times New Roman" w:eastAsia="Times New Roman"/>
          <w:b w:val="0"/>
          <w:i w:val="0"/>
          <w:sz w:val="26"/>
          <w:vertAlign w:val="superscript"/>
        </w:rPr>
        <w:t>-5</w:t>
      </w:r>
      <w:r>
        <w:rPr>
          <w:rFonts w:ascii="Times New Roman" w:hAnsi="Times New Roman" w:eastAsia="Times New Roman"/>
          <w:b w:val="0"/>
          <w:i w:val="0"/>
          <w:sz w:val="26"/>
        </w:rPr>
        <w:t xml:space="preserve"> cm/s); hệ số thấm của lõi lấy theo thí nghiệm trong phòng k = 1·10</w:t>
      </w:r>
      <w:r>
        <w:rPr>
          <w:rFonts w:ascii="Times New Roman" w:hAnsi="Times New Roman" w:eastAsia="Times New Roman"/>
          <w:b w:val="0"/>
          <w:i w:val="0"/>
          <w:sz w:val="26"/>
          <w:vertAlign w:val="superscript"/>
        </w:rPr>
        <w:t>-4</w:t>
      </w:r>
      <w:r>
        <w:rPr>
          <w:rFonts w:ascii="Times New Roman" w:hAnsi="Times New Roman" w:eastAsia="Times New Roman"/>
          <w:b w:val="0"/>
          <w:i w:val="0"/>
          <w:sz w:val="26"/>
        </w:rPr>
        <w:t xml:space="preserve"> cm/s – lưu lượng thấm tính được sai khác −7 ÷ +13% so với kết quả tính thấm mặt cắt V – T9 trong hồ sơ BCNCKT (Phụ lục 3). Mặt đập chỉ được nâng trong phạm vi bề rộng đỉnh (+78,50 → +78,85 m), phần đắp nâng nằm sau tường chắn sóng và cao hơn đường bão hòa nên dòng thấm sau sửa chữa hầu như không đổi so với hiện trạng (lưu lượng sai khác dưới 0,1%). Lưu lượng thấm đơn vị nhỏ hơn mặt cắt lòng sông 2,1 ÷ 3,9 lần vì cột nước thấm nhỏ hơn (mặt đất hạ lưu +68,3 m, ở lòng sông +54,0 m). Gradien thấm nhỏ hơn giá trị cho phép: cửa ra ≤ 0,41 &lt; 0,85 (TCVN 8216:2018, Bảng 6, đất á sét, đập cấp II); tiếp xúc đệm tiêu nước ≤ 1,21 &lt; 2,0 (cùng giới hạn với tiếp xúc ống khói); chân khay ≤ 0,18.</w:t>
      </w:r>
    </w:p>
    <w:p>
      <w:pPr>
        <w:spacing w:before="120" w:after="0" w:line="288" w:lineRule="auto"/>
        <w:ind w:firstLine="567"/>
        <w:jc w:val="both"/>
      </w:pPr>
      <w:r>
        <w:rPr>
          <w:rFonts w:ascii="Times New Roman" w:hAnsi="Times New Roman" w:eastAsia="Times New Roman"/>
          <w:b w:val="0"/>
          <w:i w:val="0"/>
          <w:sz w:val="26"/>
        </w:rPr>
        <w:t>Kiểm tra chia mịn lưới (1.276 ÷ 63.449 nút): lưu lượng thấm thay đổi không quá 0,9%, Z bão hòa tại tim không quá 0,03 m; phân vị 95% của J tiếp xúc đệm tiêu nước khi MNLKT dao động 1,02 ÷ 1,34 (&lt; 2,0), J cửa ra ≤ 0,31. Giá trị lớn nhất cục bộ tăng dần khi chia mịn lưới (tập trung ở góc đầu thượng lưu của đệm tiêu nước – điểm kỳ dị của lời giải) nên không dùng để đánh giá.</w:t>
      </w:r>
    </w:p>
    <w:p>
      <w:pPr>
        <w:spacing w:before="120" w:after="0" w:line="288" w:lineRule="auto"/>
        <w:jc w:val="both"/>
      </w:pPr>
      <w:r>
        <w:rPr>
          <w:rFonts w:ascii="Times New Roman" w:hAnsi="Times New Roman" w:eastAsia="Times New Roman"/>
          <w:b w:val="0"/>
          <w:i/>
          <w:sz w:val="22"/>
        </w:rPr>
        <w:t>Ghi chú: TB – trung bình theo diện tích các phần tử trong vùng bão hòa; 95% – phân vị 95%. Các cột gradien và Z bão hòa tại tim là giá trị sau sửa chữa. J tiếp xúc – phần tử đất kề ống khói (lòng sông) hoặc kề đệm tiêu nước (sườn đồi); J cửa ra – phần tử đất kề mặt thấm ra; J chân khay – phần tử lõi nằm trong chân khay. Hàng “thoát nước bị tắc”: thiết bị thoát nước có hệ số thấm như đất đắp ĐĐ-II.</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