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88" w:lineRule="auto"/>
        <w:jc w:val="left"/>
      </w:pPr>
      <w:r>
        <w:rPr>
          <w:rFonts w:ascii="Times New Roman" w:hAnsi="Times New Roman" w:eastAsia="Times New Roman"/>
          <w:b/>
          <w:i/>
          <w:sz w:val="26"/>
        </w:rPr>
        <w:t>2.3. Đánh giá an toàn phòng lũ</w:t>
      </w:r>
    </w:p>
    <w:p>
      <w:pPr>
        <w:spacing w:before="240" w:after="120" w:line="288" w:lineRule="auto"/>
        <w:jc w:val="left"/>
      </w:pPr>
      <w:r>
        <w:rPr>
          <w:rFonts w:ascii="Times New Roman" w:hAnsi="Times New Roman" w:eastAsia="Times New Roman"/>
          <w:b/>
          <w:i/>
          <w:sz w:val="26"/>
        </w:rPr>
        <w:t>2.3.1 Công thức tính toán</w:t>
      </w:r>
    </w:p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Theo TCVN 8216:2018, cao trình đỉnh đập lấy giá trị lớn nhất trong ba trường hợp:</w:t>
      </w:r>
    </w:p>
    <w:p>
      <w:pPr>
        <w:spacing w:before="80" w:after="80" w:line="288" w:lineRule="auto"/>
        <w:tabs>
          <w:tab w:val="center" w:pos="4535"/>
          <w:tab w:val="right" w:pos="9071"/>
        </w:tabs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</w:rPr>
          <m:t xml:space="preserve">MNDBT</m:t>
        </m:r>
        <m:r>
          <w:rPr>
            <w:rFonts w:ascii="Cambria Math" w:hAnsi="Cambria Math"/>
          </w:rPr>
          <m:t xml:space="preserve"> + Δh + 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sl</m:t>
            </m:r>
          </m:sub>
        </m:sSub>
        <m:r>
          <w:rPr>
            <w:rFonts w:ascii="Cambria Math" w:hAnsi="Cambria Math"/>
          </w:rPr>
          <m:t xml:space="preserve"> + a</m:t>
        </m:r>
      </m:oMath>
      <w:r>
        <w:rPr>
          <w:rFonts w:ascii="Times New Roman" w:hAnsi="Times New Roman" w:eastAsia="Times New Roman"/>
          <w:b w:val="0"/>
          <w:i w:val="0"/>
          <w:sz w:val="26"/>
        </w:rPr>
        <w:tab/>
        <w:t>(2-5)</w:t>
      </w:r>
    </w:p>
    <w:p>
      <w:pPr>
        <w:spacing w:before="80" w:after="80" w:line="288" w:lineRule="auto"/>
        <w:tabs>
          <w:tab w:val="center" w:pos="4535"/>
          <w:tab w:val="right" w:pos="9071"/>
        </w:tabs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</w:rPr>
          <m:t xml:space="preserve">MNLTK</m:t>
        </m:r>
        <m:r>
          <w:rPr>
            <w:rFonts w:ascii="Cambria Math" w:hAnsi="Cambria Math"/>
          </w:rPr>
          <m:t xml:space="preserve"> + Δh′ + </m:t>
        </m:r>
        <m:sSub>
          <m:e>
            <m:r>
              <w:rPr>
                <w:rFonts w:ascii="Cambria Math" w:hAnsi="Cambria Math"/>
              </w:rPr>
              <m:t xml:space="preserve">h′</m:t>
            </m:r>
          </m:e>
          <m:sub>
            <m:r>
              <w:rPr>
                <w:rFonts w:ascii="Cambria Math" w:hAnsi="Cambria Math"/>
              </w:rPr>
              <m:t xml:space="preserve">sl</m:t>
            </m:r>
          </m:sub>
        </m:sSub>
        <m:r>
          <w:rPr>
            <w:rFonts w:ascii="Cambria Math" w:hAnsi="Cambria Math"/>
          </w:rPr>
          <m:t xml:space="preserve"> + a′</m:t>
        </m:r>
      </m:oMath>
      <w:r>
        <w:rPr>
          <w:rFonts w:ascii="Times New Roman" w:hAnsi="Times New Roman" w:eastAsia="Times New Roman"/>
          <w:b w:val="0"/>
          <w:i w:val="0"/>
          <w:sz w:val="26"/>
        </w:rPr>
        <w:tab/>
        <w:t>(2-6)</w:t>
      </w:r>
    </w:p>
    <w:p>
      <w:pPr>
        <w:spacing w:before="80" w:after="80" w:line="288" w:lineRule="auto"/>
        <w:tabs>
          <w:tab w:val="center" w:pos="4535"/>
          <w:tab w:val="right" w:pos="9071"/>
        </w:tabs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</w:rPr>
          <m:t xml:space="preserve">MNLKT</m:t>
        </m:r>
        <m:r>
          <w:rPr>
            <w:rFonts w:ascii="Cambria Math" w:hAnsi="Cambria Math"/>
          </w:rPr>
          <m:t xml:space="preserve"> + a″</m:t>
        </m:r>
      </m:oMath>
      <w:r>
        <w:rPr>
          <w:rFonts w:ascii="Times New Roman" w:hAnsi="Times New Roman" w:eastAsia="Times New Roman"/>
          <w:b w:val="0"/>
          <w:i w:val="0"/>
          <w:sz w:val="26"/>
        </w:rPr>
        <w:tab/>
        <w:t>(2-7)</w:t>
      </w:r>
    </w:p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Trong đó: Δh, Δh′ – độ dềnh do gió (m); h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sl</w:t>
      </w:r>
      <w:r>
        <w:rPr>
          <w:rFonts w:ascii="Times New Roman" w:hAnsi="Times New Roman" w:eastAsia="Times New Roman"/>
          <w:b w:val="0"/>
          <w:i w:val="0"/>
          <w:sz w:val="26"/>
        </w:rPr>
        <w:t>, h′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sl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chiều cao sóng leo có mức bảo đảm 1% (m), ứng với vận tốc gió tính toán lớn nhất có tần suất P = 4% khi hồ ở MNDBT và vận tốc gió bình quân lớn nhất P = 50% khi hồ ở MNLTK (TCVN 8216:2018, Bảng 4 – công trình cấp II); khi hồ ở MNLKT không xét sóng do gió; a, a′, a″ – độ vượt cao an toàn, theo TCVN 8216:2018 Bảng 3 với đập cấp II: a = 0,7 m; a′ = 0,5 m; a″ = 0,2 m.</w:t>
      </w:r>
    </w:p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Độ dềnh do gió và sóng leo được tính theo TCVN 8421:2010:</w:t>
      </w:r>
    </w:p>
    <w:p>
      <w:pPr>
        <w:spacing w:before="80" w:after="80" w:line="288" w:lineRule="auto"/>
        <w:tabs>
          <w:tab w:val="center" w:pos="4535"/>
          <w:tab w:val="right" w:pos="9071"/>
        </w:tabs>
      </w:pPr>
      <w:r>
        <w:tab/>
      </w:r>
      <m:oMath>
        <m:r>
          <w:rPr>
            <w:rFonts w:ascii="Cambria Math" w:hAnsi="Cambria Math"/>
          </w:rPr>
          <m:t xml:space="preserve">Δh =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w</m:t>
            </m:r>
          </m:sub>
        </m:sSub>
        <m:r>
          <w:rPr>
            <w:rFonts w:ascii="Cambria Math" w:hAnsi="Cambria Math"/>
          </w:rPr>
          <m:t xml:space="preserve">·</m:t>
        </m:r>
        <m:f>
          <m:num>
            <m:sSup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·D</m:t>
            </m:r>
          </m:num>
          <m:den>
            <m:r>
              <w:rPr>
                <w:rFonts w:ascii="Cambria Math" w:hAnsi="Cambria Math"/>
              </w:rPr>
              <m:t xml:space="preserve">g·H</m:t>
            </m:r>
          </m:den>
        </m:f>
        <m:r>
          <w:rPr>
            <w:rFonts w:ascii="Cambria Math" w:hAnsi="Cambria Math"/>
          </w:rPr>
          <m:t xml:space="preserve">·</m:t>
        </m:r>
        <m:r>
          <m:rPr>
            <m:sty m:val="p"/>
          </m:rPr>
          <w:rPr>
            <w:rFonts w:ascii="Cambria Math" w:hAnsi="Cambria Math"/>
          </w:rPr>
          <m:t xml:space="preserve">cos</m:t>
        </m:r>
        <m:r>
          <w:rPr>
            <w:rFonts w:ascii="Cambria Math" w:hAnsi="Cambria Math"/>
          </w:rPr>
          <m:t xml:space="preserve"> α ;    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w</m:t>
            </m:r>
          </m:sub>
        </m:sSub>
        <m:r>
          <w:rPr>
            <w:rFonts w:ascii="Cambria Math" w:hAnsi="Cambria Math"/>
          </w:rPr>
          <m:t xml:space="preserve"> = 3·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w:rPr>
                <w:rFonts w:ascii="Cambria Math" w:hAnsi="Cambria Math"/>
              </w:rPr>
              <m:t xml:space="preserve">−7</m:t>
            </m:r>
          </m:sup>
        </m:sSup>
        <m:r>
          <w:rPr>
            <w:rFonts w:ascii="Cambria Math" w:hAnsi="Cambria Math"/>
          </w:rPr>
          <m:t xml:space="preserve">·(1 + 0,3·V)</m:t>
        </m:r>
      </m:oMath>
      <w:r>
        <w:rPr>
          <w:rFonts w:ascii="Times New Roman" w:hAnsi="Times New Roman" w:eastAsia="Times New Roman"/>
          <w:b w:val="0"/>
          <w:i w:val="0"/>
          <w:sz w:val="26"/>
        </w:rPr>
        <w:tab/>
        <w:t>(2-8)</w:t>
      </w:r>
    </w:p>
    <w:p>
      <w:pPr>
        <w:spacing w:before="80" w:after="80" w:line="288" w:lineRule="auto"/>
        <w:tabs>
          <w:tab w:val="center" w:pos="4535"/>
          <w:tab w:val="right" w:pos="9071"/>
        </w:tabs>
      </w:pPr>
      <w:r>
        <w:tab/>
      </w:r>
      <m:oMath>
        <m:f>
          <m:num>
            <m:r>
              <w:rPr>
                <w:rFonts w:ascii="Cambria Math" w:hAnsi="Cambria Math"/>
              </w:rPr>
              <m:t xml:space="preserve">g·</m:t>
            </m:r>
            <m:bar>
              <m:barPr>
                <m:pos m:val="top"/>
              </m:barPr>
              <m:e>
                <m:r>
                  <w:rPr>
                    <w:rFonts w:ascii="Cambria Math" w:hAnsi="Cambria Math"/>
                  </w:rPr>
                  <m:t xml:space="preserve">h</m:t>
                </m:r>
              </m:e>
            </m:bar>
          </m:num>
          <m:den>
            <m:sSup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w:rPr>
            <w:rFonts w:ascii="Cambria Math" w:hAnsi="Cambria Math"/>
          </w:rPr>
          <m:t xml:space="preserve"> = 0,16·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1 − </m:t>
            </m:r>
            <m:sSup>
              <m:e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1 + 0,006·</m:t>
                    </m:r>
                    <m:rad>
                      <m:radPr>
                        <m:degHide m:val="1"/>
                      </m:radPr>
                      <m:deg/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gD</m:t>
                            </m:r>
                          </m:num>
                          <m:den>
                            <m:sSup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V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 xml:space="preserve">2</m:t>
                                </m:r>
                              </m:sup>
                            </m:sSup>
                          </m:den>
                        </m:f>
                      </m:e>
                    </m:rad>
                  </m:e>
                </m:d>
              </m:e>
              <m:sup>
                <m:r>
                  <w:rPr>
                    <w:rFonts w:ascii="Cambria Math" w:hAnsi="Cambria Math"/>
                  </w:rPr>
                  <m:t xml:space="preserve">−2</m:t>
                </m:r>
              </m:sup>
            </m:sSup>
          </m:e>
        </m:d>
        <m:r>
          <w:rPr>
            <w:rFonts w:ascii="Cambria Math" w:hAnsi="Cambria Math"/>
          </w:rPr>
          <m:t xml:space="preserve"> ;     </m:t>
        </m:r>
        <m:f>
          <m:num>
            <m:r>
              <w:rPr>
                <w:rFonts w:ascii="Cambria Math" w:hAnsi="Cambria Math"/>
              </w:rPr>
              <m:t xml:space="preserve">g·</m:t>
            </m:r>
            <m:bar>
              <m:barPr>
                <m:pos m:val="top"/>
              </m:barPr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</m:ba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w:rPr>
            <w:rFonts w:ascii="Cambria Math" w:hAnsi="Cambria Math"/>
          </w:rPr>
          <m:t xml:space="preserve"> = 19,1·</m:t>
        </m:r>
        <m:sSup>
          <m:e>
            <m:d>
              <m:dPr>
                <m:begChr m:val="("/>
                <m:endChr m:val=")"/>
              </m:dPr>
              <m:e>
                <m:f>
                  <m:num>
                    <m:r>
                      <w:rPr>
                        <w:rFonts w:ascii="Cambria Math" w:hAnsi="Cambria Math"/>
                      </w:rPr>
                      <m:t xml:space="preserve">g·</m:t>
                    </m:r>
                    <m:bar>
                      <m:barPr>
                        <m:pos m:val="top"/>
                      </m:barPr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</m:bar>
                  </m:num>
                  <m:den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 xml:space="preserve">0,625</m:t>
            </m:r>
          </m:sup>
        </m:sSup>
      </m:oMath>
      <w:r>
        <w:rPr>
          <w:rFonts w:ascii="Times New Roman" w:hAnsi="Times New Roman" w:eastAsia="Times New Roman"/>
          <w:b w:val="0"/>
          <w:i w:val="0"/>
          <w:sz w:val="26"/>
        </w:rPr>
        <w:tab/>
        <w:t>(2-9)</w:t>
      </w:r>
    </w:p>
    <w:p>
      <w:pPr>
        <w:spacing w:before="80" w:after="80" w:line="288" w:lineRule="auto"/>
        <w:tabs>
          <w:tab w:val="center" w:pos="4535"/>
          <w:tab w:val="right" w:pos="9071"/>
        </w:tabs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sl1%</m:t>
            </m:r>
          </m:sub>
        </m:sSub>
        <m:r>
          <w:rPr>
            <w:rFonts w:ascii="Cambria Math" w:hAnsi="Cambria Math"/>
          </w:rPr>
          <m:t xml:space="preserve"> =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r</m:t>
            </m:r>
          </m:sub>
        </m:sSub>
        <m: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  <m: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sp</m:t>
            </m:r>
          </m:sub>
        </m:sSub>
        <m: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run</m:t>
            </m:r>
          </m:sub>
        </m:sSub>
        <m: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α</m:t>
            </m:r>
          </m:sub>
        </m:sSub>
        <m: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1%</m:t>
            </m:r>
          </m:sub>
        </m:sSub>
        <m:r>
          <w:rPr>
            <w:rFonts w:ascii="Cambria Math" w:hAnsi="Cambria Math"/>
          </w:rPr>
          <m:t xml:space="preserve"> ;     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1%</m:t>
            </m:r>
          </m:sub>
        </m:sSub>
        <m:r>
          <w:rPr>
            <w:rFonts w:ascii="Cambria Math" w:hAnsi="Cambria Math"/>
          </w:rPr>
          <m:t xml:space="preserve"> =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1%</m:t>
            </m:r>
          </m:sub>
        </m:sSub>
        <m:r>
          <w:rPr>
            <w:rFonts w:ascii="Cambria Math" w:hAnsi="Cambria Math"/>
          </w:rPr>
          <m:t xml:space="preserve">·</m:t>
        </m:r>
        <m:bar>
          <m:barPr>
            <m:pos m:val="top"/>
          </m:barPr>
          <m:e>
            <m:r>
              <w:rPr>
                <w:rFonts w:ascii="Cambria Math" w:hAnsi="Cambria Math"/>
              </w:rPr>
              <m:t xml:space="preserve">h</m:t>
            </m:r>
          </m:e>
        </m:bar>
      </m:oMath>
      <w:r>
        <w:rPr>
          <w:rFonts w:ascii="Times New Roman" w:hAnsi="Times New Roman" w:eastAsia="Times New Roman"/>
          <w:b w:val="0"/>
          <w:i w:val="0"/>
          <w:sz w:val="26"/>
        </w:rPr>
        <w:tab/>
        <w:t>(2-10)</w:t>
      </w:r>
    </w:p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Trong đó: V – vận tốc gió tính toán ở độ cao 10 m trên mặt nước, V = V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w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fl</w:t>
      </w:r>
      <w:r>
        <w:rPr>
          <w:rFonts w:ascii="Times New Roman" w:hAnsi="Times New Roman" w:eastAsia="Times New Roman"/>
          <w:b w:val="0"/>
          <w:i w:val="0"/>
          <w:sz w:val="26"/>
        </w:rPr>
        <w:t>·k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l</w:t>
      </w:r>
      <w:r>
        <w:rPr>
          <w:rFonts w:ascii="Times New Roman" w:hAnsi="Times New Roman" w:eastAsia="Times New Roman"/>
          <w:b w:val="0"/>
          <w:i w:val="0"/>
          <w:sz w:val="26"/>
        </w:rPr>
        <w:t>·V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l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(TCVN 8421:2010, Phụ lục A, A.3.3), với V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l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vận tốc gió quan trắc ở trạm Phan Thiết (Bảng 1.4),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l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1,10 ÷ 1,09 – hệ số quy đổi về mặt nước cho địa hình dạng A (vùng ven biển trống trải, Bảng A3),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fl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hệ số quy đổi số liệu phong tiêu, lấy bằng 1 (thiên an toàn); D – đà gió (m); H – chiều sâu nước trước đập (m); α – góc giữa hướng gió và pháp tuyến mái thượng lưu; h̄, τ̄ – chiều cao và chu kỳ sóng trung bình, sóng nước sâu khi H &gt; 0,5λ̄ với bước sóng λ̄ = g·τ̄</w:t>
      </w:r>
      <w:r>
        <w:rPr>
          <w:rFonts w:ascii="Times New Roman" w:hAnsi="Times New Roman" w:eastAsia="Times New Roman"/>
          <w:b w:val="0"/>
          <w:i w:val="0"/>
          <w:sz w:val="26"/>
          <w:vertAlign w:val="superscript"/>
        </w:rPr>
        <w:t>2</w:t>
      </w:r>
      <w:r>
        <w:rPr>
          <w:rFonts w:ascii="Times New Roman" w:hAnsi="Times New Roman" w:eastAsia="Times New Roman"/>
          <w:b w:val="0"/>
          <w:i w:val="0"/>
          <w:sz w:val="26"/>
        </w:rPr>
        <w:t>/(2π), lấy giá trị nhỏ hơn giữa điều kiện đà gió và điều kiện thời gian gió thổi t = 6 giờ;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1%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hệ số theo gD/V</w:t>
      </w:r>
      <w:r>
        <w:rPr>
          <w:rFonts w:ascii="Times New Roman" w:hAnsi="Times New Roman" w:eastAsia="Times New Roman"/>
          <w:b w:val="0"/>
          <w:i w:val="0"/>
          <w:sz w:val="26"/>
          <w:vertAlign w:val="superscript"/>
        </w:rPr>
        <w:t>2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(Hình 2 của tiêu chuẩn);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r</w:t>
      </w:r>
      <w:r>
        <w:rPr>
          <w:rFonts w:ascii="Times New Roman" w:hAnsi="Times New Roman" w:eastAsia="Times New Roman"/>
          <w:b w:val="0"/>
          <w:i w:val="0"/>
          <w:sz w:val="26"/>
        </w:rPr>
        <w:t>,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p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hệ số nhám và thấm của lớp gia cố mái theo độ nhám tương đối Δ/h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1%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(mái gia cố đá xây, Δ = 0,02 m);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sp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hệ số theo vận tốc gió và hệ số mái (m = 3);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run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hệ số theo độ thoải sóng λ̄/h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1%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(Hình 10);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α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hệ số giảm sóng leo theo góc α (Bảng 9: 0° – 1,00; 20° – 0,96; 40° – 0,87; 60° – 0,76).</w:t>
      </w:r>
    </w:p>
    <w:p>
      <w:pPr>
        <w:spacing w:before="240" w:after="120" w:line="288" w:lineRule="auto"/>
        <w:jc w:val="left"/>
      </w:pPr>
      <w:r>
        <w:rPr>
          <w:rFonts w:ascii="Times New Roman" w:hAnsi="Times New Roman" w:eastAsia="Times New Roman"/>
          <w:b/>
          <w:i/>
          <w:sz w:val="26"/>
        </w:rPr>
        <w:t>2.3.2 Kết quả tính toán</w:t>
      </w:r>
    </w:p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Mực nước tính toán: MNDBT = +74,70 m; MNLTK = +77,43 m và MNLKT = +78,39 m – kết quả điều tiết lũ khi các cửa van vận hành bình thường (mục 2.2.3). Tuyến đập có phương vị N96,2°E nên pháp tuyến mái thượng lưu hướng N6,2°E (lòng hồ ở phía Bắc). Sóng được tính cho các hướng gió thổi vào mái thượng lưu với góc tới không quá 60°: Bắc (6,2°), Đông Bắc (38,8°) và Tây Bắc (51,2°); các hướng Đông, Tây gần song song với tuyến đập (góc tới 84 ÷ 96°), các hướng Nam thổi từ phía hạ lưu nên không gây sóng leo lên mái thượng lưu. Đà gió lấy D = 2.970 m khi hồ ở MNDBT và 3.025 m khi hồ ở MNLTK, dùng chung cho mọi hướng (thiên an toàn); cao trình đáy hồ trước đập +59,0 m. Kết quả tính chi tiết với gió hướng Bắc cho trong Bảng 2.4, tổng hợp theo hướng gió trong Bảng 2.5.</w:t>
      </w:r>
    </w:p>
    <w:p>
      <w:pPr>
        <w:keepNext/>
        <w:spacing w:before="120" w:after="120" w:line="288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Bảng 2.4 Kết quả tính cao trình đỉnh đập theo ba trường hợp – gió hướng Bắc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71"/>
        <w:gridCol w:w="2100"/>
        <w:gridCol w:w="2100"/>
        <w:gridCol w:w="1500"/>
      </w:tblGrid>
      <w:tr>
        <w:trPr>
          <w:tblHeader w:val="true"/>
          <w:cantSplit w:val="true"/>
        </w:trPr>
        <w:tc>
          <w:tcPr>
            <w:tcW w:type="dxa" w:w="3371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Đại lượng</w:t>
            </w:r>
          </w:p>
        </w:tc>
        <w:tc>
          <w:tcPr>
            <w:tcW w:type="dxa" w:w="210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Z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1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: MNDBT</w:t>
            </w:r>
          </w:p>
        </w:tc>
        <w:tc>
          <w:tcPr>
            <w:tcW w:type="dxa" w:w="210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Z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2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: MNLTK</w:t>
            </w:r>
          </w:p>
        </w:tc>
        <w:tc>
          <w:tcPr>
            <w:tcW w:type="dxa" w:w="150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Z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3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: MNLKT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Mực nước tính toán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+74,70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+77,43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+78,39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Vận tốc gió V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l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/ V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w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(m/s)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13,8 / 15,18 (P = 4%)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7,6 / 8,36 (P = 50%)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Góc tới α (°) ; k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α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6,2 ; 0,99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6,2 ; 0,99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Đà gió D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2.970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3.025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Chiều sâu nước trước đập H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15,70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18,43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gD/V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w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perscript"/>
              </w:rPr>
              <w:t>2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126,4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424,6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Chiều cao sóng trung bình h̄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0,460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0,237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Chu kỳ τ̄ (s) / bước sóng λ̄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2,53 / 9,99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1,94 / 5,88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1%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; h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1%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2,09 ; 0,962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2,13 ; 0,504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r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; k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p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; k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sp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; k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run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0,90 ; 0,80 ; 1,31 ; 1,50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0,83 ; 0,73 ; 1,00 ; 1,56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Sóng leo h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sl1%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1,331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0,475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Độ dềnh do gió Δh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0,007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0,001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Độ vượt cao an toàn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0,70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0,50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0,20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Cao trình đỉnh yêu cầu (m)</w:t>
            </w:r>
          </w:p>
        </w:tc>
        <w:tc>
          <w:tcPr>
            <w:tcW w:type="dxa" w:w="210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+76,74</w:t>
            </w:r>
          </w:p>
        </w:tc>
        <w:tc>
          <w:tcPr>
            <w:tcW w:type="dxa" w:w="210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+78,41</w:t>
            </w:r>
          </w:p>
        </w:tc>
        <w:tc>
          <w:tcPr>
            <w:tcW w:type="dxa" w:w="150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+78,59</w:t>
            </w:r>
          </w:p>
        </w:tc>
      </w:tr>
    </w:tbl>
    <w:p>
      <w:pPr>
        <w:keepNext/>
        <w:spacing w:before="120" w:after="120" w:line="288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Bảng 2.5 Cao trình đỉnh đập yêu cầu theo hướng gió (m)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1"/>
        <w:gridCol w:w="850"/>
        <w:gridCol w:w="700"/>
        <w:gridCol w:w="1500"/>
        <w:gridCol w:w="1350"/>
        <w:gridCol w:w="850"/>
        <w:gridCol w:w="850"/>
        <w:gridCol w:w="850"/>
        <w:gridCol w:w="850"/>
      </w:tblGrid>
      <w:tr>
        <w:trPr>
          <w:tblHeader w:val="true"/>
          <w:cantSplit w:val="true"/>
        </w:trPr>
        <w:tc>
          <w:tcPr>
            <w:tcW w:type="dxa" w:w="1271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Hướng gió</w:t>
            </w:r>
          </w:p>
        </w:tc>
        <w:tc>
          <w:tcPr>
            <w:tcW w:type="dxa" w:w="8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Góc tới α (°)</w:t>
            </w:r>
          </w:p>
        </w:tc>
        <w:tc>
          <w:tcPr>
            <w:tcW w:type="dxa" w:w="70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k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α</w:t>
            </w:r>
          </w:p>
        </w:tc>
        <w:tc>
          <w:tcPr>
            <w:tcW w:type="dxa" w:w="150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w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 xml:space="preserve"> P = 4% / 50% (m/s)</w:t>
            </w:r>
          </w:p>
        </w:tc>
        <w:tc>
          <w:tcPr>
            <w:tcW w:type="dxa" w:w="13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sl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 xml:space="preserve"> / h′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sl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 xml:space="preserve"> (m)</w:t>
            </w:r>
          </w:p>
        </w:tc>
        <w:tc>
          <w:tcPr>
            <w:tcW w:type="dxa" w:w="8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Z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1</w:t>
            </w:r>
          </w:p>
        </w:tc>
        <w:tc>
          <w:tcPr>
            <w:tcW w:type="dxa" w:w="8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Z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2</w:t>
            </w:r>
          </w:p>
        </w:tc>
        <w:tc>
          <w:tcPr>
            <w:tcW w:type="dxa" w:w="8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Z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3</w:t>
            </w:r>
          </w:p>
        </w:tc>
        <w:tc>
          <w:tcPr>
            <w:tcW w:type="dxa" w:w="8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Z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đ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 xml:space="preserve"> = max</w:t>
            </w:r>
          </w:p>
        </w:tc>
      </w:tr>
      <w:tr>
        <w:trPr>
          <w:cantSplit w:val="true"/>
        </w:trPr>
        <w:tc>
          <w:tcPr>
            <w:tcW w:type="dxa" w:w="12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Bắc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6,2</w:t>
            </w:r>
          </w:p>
        </w:tc>
        <w:tc>
          <w:tcPr>
            <w:tcW w:type="dxa" w:w="7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0,99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15,2 / 8,4</w:t>
            </w:r>
          </w:p>
        </w:tc>
        <w:tc>
          <w:tcPr>
            <w:tcW w:type="dxa" w:w="13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1,33 / 0,47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76,74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78,41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78,59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78,59</w:t>
            </w:r>
          </w:p>
        </w:tc>
      </w:tr>
      <w:tr>
        <w:trPr>
          <w:cantSplit w:val="true"/>
        </w:trPr>
        <w:tc>
          <w:tcPr>
            <w:tcW w:type="dxa" w:w="12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Đông Bắc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38,8</w:t>
            </w:r>
          </w:p>
        </w:tc>
        <w:tc>
          <w:tcPr>
            <w:tcW w:type="dxa" w:w="7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0,88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20,3 / 13,1</w:t>
            </w:r>
          </w:p>
        </w:tc>
        <w:tc>
          <w:tcPr>
            <w:tcW w:type="dxa" w:w="13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1,90 / 0,94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77,31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78,87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78,59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78,87</w:t>
            </w:r>
          </w:p>
        </w:tc>
      </w:tr>
      <w:tr>
        <w:trPr>
          <w:cantSplit w:val="true"/>
        </w:trPr>
        <w:tc>
          <w:tcPr>
            <w:tcW w:type="dxa" w:w="1271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Tây Bắc</w:t>
            </w:r>
          </w:p>
        </w:tc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51,2</w:t>
            </w:r>
          </w:p>
        </w:tc>
        <w:tc>
          <w:tcPr>
            <w:tcW w:type="dxa" w:w="70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0,81</w:t>
            </w:r>
          </w:p>
        </w:tc>
        <w:tc>
          <w:tcPr>
            <w:tcW w:type="dxa" w:w="150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17,1 / 9,8</w:t>
            </w:r>
          </w:p>
        </w:tc>
        <w:tc>
          <w:tcPr>
            <w:tcW w:type="dxa" w:w="13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1,34 / 0,53</w:t>
            </w:r>
          </w:p>
        </w:tc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76,74</w:t>
            </w:r>
          </w:p>
        </w:tc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78,46</w:t>
            </w:r>
          </w:p>
        </w:tc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78,59</w:t>
            </w:r>
          </w:p>
        </w:tc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78,59</w:t>
            </w:r>
          </w:p>
        </w:tc>
      </w:tr>
    </w:tbl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Trị số lớn nhất là Z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2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+78,87 m ứng với gió hướng Đông Bắc: dù góc tới lớn hơn (k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α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0,88), vận tốc gió bình quân lớn nhất hướng Đông Bắc lớn hơn hướng Bắc (V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50%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11,9 so với 7,6 m/s) nên sóng leo lớn hơn (h′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sl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0,94 so với 0,47 m). Như vậy cao trình đỉnh đập yêu cầu Z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đ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max(Z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1</w:t>
      </w:r>
      <w:r>
        <w:rPr>
          <w:rFonts w:ascii="Times New Roman" w:hAnsi="Times New Roman" w:eastAsia="Times New Roman"/>
          <w:b w:val="0"/>
          <w:i w:val="0"/>
          <w:sz w:val="26"/>
        </w:rPr>
        <w:t>; Z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2</w:t>
      </w:r>
      <w:r>
        <w:rPr>
          <w:rFonts w:ascii="Times New Roman" w:hAnsi="Times New Roman" w:eastAsia="Times New Roman"/>
          <w:b w:val="0"/>
          <w:i w:val="0"/>
          <w:sz w:val="26"/>
        </w:rPr>
        <w:t>; Z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3</w:t>
      </w:r>
      <w:r>
        <w:rPr>
          <w:rFonts w:ascii="Times New Roman" w:hAnsi="Times New Roman" w:eastAsia="Times New Roman"/>
          <w:b w:val="0"/>
          <w:i w:val="0"/>
          <w:sz w:val="26"/>
        </w:rPr>
        <w:t>) = +78,87 m.</w:t>
      </w:r>
    </w:p>
    <w:p>
      <w:pPr>
        <w:keepNext/>
        <w:spacing w:before="120" w:after="120" w:line="288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Bảng 2.6 Đánh giá cao trình đỉnh đập theo TCVN 8216:2018 điều 10.1.5 (m)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1"/>
        <w:gridCol w:w="1150"/>
        <w:gridCol w:w="1100"/>
        <w:gridCol w:w="1350"/>
        <w:gridCol w:w="1150"/>
        <w:gridCol w:w="1150"/>
      </w:tblGrid>
      <w:tr>
        <w:trPr>
          <w:tblHeader w:val="true"/>
          <w:cantSplit w:val="true"/>
        </w:trPr>
        <w:tc>
          <w:tcPr>
            <w:tcW w:type="dxa" w:w="3171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Điều kiện</w:t>
            </w:r>
          </w:p>
        </w:tc>
        <w:tc>
          <w:tcPr>
            <w:tcW w:type="dxa" w:w="11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Yêu cầu</w:t>
            </w:r>
          </w:p>
        </w:tc>
        <w:tc>
          <w:tcPr>
            <w:tcW w:type="dxa" w:w="110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Hiện trạng</w:t>
            </w:r>
          </w:p>
        </w:tc>
        <w:tc>
          <w:tcPr>
            <w:tcW w:type="dxa" w:w="13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Đánh giá</w:t>
            </w:r>
          </w:p>
        </w:tc>
        <w:tc>
          <w:tcPr>
            <w:tcW w:type="dxa" w:w="11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Sau sửa chữa</w:t>
            </w:r>
          </w:p>
        </w:tc>
        <w:tc>
          <w:tcPr>
            <w:tcW w:type="dxa" w:w="11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Đánh giá</w:t>
            </w:r>
          </w:p>
        </w:tc>
      </w:tr>
      <w:tr>
        <w:trPr>
          <w:cantSplit w:val="true"/>
        </w:trPr>
        <w:tc>
          <w:tcPr>
            <w:tcW w:type="dxa" w:w="31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Đỉnh tường chắn sóng ≥ Z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đ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= max(Z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1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; Z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2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; Z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3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)</w:t>
            </w:r>
          </w:p>
        </w:tc>
        <w:tc>
          <w:tcPr>
            <w:tcW w:type="dxa" w:w="11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≥ +78,87</w:t>
            </w:r>
          </w:p>
        </w:tc>
        <w:tc>
          <w:tcPr>
            <w:tcW w:type="dxa" w:w="1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+79,40</w:t>
            </w:r>
          </w:p>
        </w:tc>
        <w:tc>
          <w:tcPr>
            <w:tcW w:type="dxa" w:w="13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Đạt</w:t>
            </w:r>
          </w:p>
        </w:tc>
        <w:tc>
          <w:tcPr>
            <w:tcW w:type="dxa" w:w="11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+79,40</w:t>
            </w:r>
          </w:p>
        </w:tc>
        <w:tc>
          <w:tcPr>
            <w:tcW w:type="dxa" w:w="11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Đạt</w:t>
            </w:r>
          </w:p>
        </w:tc>
      </w:tr>
      <w:tr>
        <w:trPr>
          <w:cantSplit w:val="true"/>
        </w:trPr>
        <w:tc>
          <w:tcPr>
            <w:tcW w:type="dxa" w:w="31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Đỉnh đập (không kể tường) ≥ MNLKT + 0,3 m</w:t>
            </w:r>
          </w:p>
        </w:tc>
        <w:tc>
          <w:tcPr>
            <w:tcW w:type="dxa" w:w="11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≥ +78,69</w:t>
            </w:r>
          </w:p>
        </w:tc>
        <w:tc>
          <w:tcPr>
            <w:tcW w:type="dxa" w:w="1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+78,50</w:t>
            </w:r>
          </w:p>
        </w:tc>
        <w:tc>
          <w:tcPr>
            <w:tcW w:type="dxa" w:w="13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Không đạt (thiếu 0,19 m)</w:t>
            </w:r>
          </w:p>
        </w:tc>
        <w:tc>
          <w:tcPr>
            <w:tcW w:type="dxa" w:w="11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+78,85</w:t>
            </w:r>
          </w:p>
        </w:tc>
        <w:tc>
          <w:tcPr>
            <w:tcW w:type="dxa" w:w="11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Đạt (dư 0,16 m)</w:t>
            </w:r>
          </w:p>
        </w:tc>
      </w:tr>
      <w:tr>
        <w:trPr>
          <w:cantSplit w:val="true"/>
        </w:trPr>
        <w:tc>
          <w:tcPr>
            <w:tcW w:type="dxa" w:w="3171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Tường cao hơn đỉnh đập ≤ 1,2 m</w:t>
            </w:r>
          </w:p>
        </w:tc>
        <w:tc>
          <w:tcPr>
            <w:tcW w:type="dxa" w:w="11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≤ 1,20</w:t>
            </w:r>
          </w:p>
        </w:tc>
        <w:tc>
          <w:tcPr>
            <w:tcW w:type="dxa" w:w="110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0,90</w:t>
            </w:r>
          </w:p>
        </w:tc>
        <w:tc>
          <w:tcPr>
            <w:tcW w:type="dxa" w:w="13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Đạt</w:t>
            </w:r>
          </w:p>
        </w:tc>
        <w:tc>
          <w:tcPr>
            <w:tcW w:type="dxa" w:w="11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0,55</w:t>
            </w:r>
          </w:p>
        </w:tc>
        <w:tc>
          <w:tcPr>
            <w:tcW w:type="dxa" w:w="11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Đạt</w:t>
            </w:r>
          </w:p>
        </w:tc>
      </w:tr>
    </w:tbl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Đập Cà Giây có tường chắn sóng thẳng đứng phía thượng lưu (đỉnh +79,40 m) liên kết với bộ phận chống thấm nên theo TCVN 8216:2018 điều 10.1.5 độ vượt cao được tính đến đỉnh tường: +79,40 m ≥ Z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đ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+78,87 m – tường chắn sóng hiện trạng đủ chắn sóng (dự trữ 0,53 m); đồng thời đỉnh đập (không kể tường) phải cao hơn MNLKT tối thiểu 0,3 m, tức không thấp hơn +78,69 m, và tường không cao hơn đỉnh đập quá 1,2 m (Bảng 2.6).</w:t>
      </w:r>
    </w:p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Cao trình đỉnh đập hiện trạng +78,50 m (theo hồ sơ thiết kế; khảo sát đo được +78,32 ÷ +78,44 m) thấp hơn yêu cầu 0,19 m (0,25 ÷ 0,37 m theo số liệu khảo sát): đập hiện trạng chưa bảo đảm an toàn phòng lũ về cao trình đỉnh, cần nâng đỉnh đập lên tối thiểu +78,69 m. Với cao trình đỉnh đập sau sửa chữa +78,85 m: cao hơn MNLKT 0,46 m (≥ 0,3 m), tường chắn sóng cao hơn đỉnh đập 0,55 m (≤ 1,2 m) – đạt yêu cầu. Vì Z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đ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+78,87 m cao hơn đỉnh đập +78,85 m nên tường chắn sóng là bộ phận bắt buộc, phải được giữ lại và duy trì khi sửa chữa.</w:t>
      </w:r>
    </w:p>
    <w:sectPr w:rsidR="00FC693F" w:rsidRPr="0006063C" w:rsidSect="00034616"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