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88" w:lineRule="auto"/>
        <w:jc w:val="left"/>
      </w:pPr>
      <w:r>
        <w:rPr>
          <w:rFonts w:ascii="Times New Roman" w:hAnsi="Times New Roman" w:eastAsia="Times New Roman"/>
          <w:b/>
          <w:i/>
          <w:sz w:val="26"/>
        </w:rPr>
        <w:t>2.3. Đánh giá an toàn phòng lũ</w:t>
      </w:r>
    </w:p>
    <w:p>
      <w:pPr>
        <w:spacing w:before="240" w:after="120" w:line="288" w:lineRule="auto"/>
        <w:jc w:val="left"/>
      </w:pPr>
      <w:r>
        <w:rPr>
          <w:rFonts w:ascii="Times New Roman" w:hAnsi="Times New Roman" w:eastAsia="Times New Roman"/>
          <w:b/>
          <w:i/>
          <w:sz w:val="26"/>
        </w:rPr>
        <w:t>2.3.1 Công thức tính toán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Theo TCVN 8216:2018, cao trình đỉnh đập lấy giá trị lớn nhất trong ba trường hợp: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MNDBT</m:t>
        </m:r>
        <m:r>
          <w:rPr>
            <w:rFonts w:ascii="Cambria Math" w:hAnsi="Cambria Math"/>
          </w:rPr>
          <m:t xml:space="preserve"> + Δh + 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sl</m:t>
            </m:r>
          </m:sub>
        </m:sSub>
        <m:r>
          <w:rPr>
            <w:rFonts w:ascii="Cambria Math" w:hAnsi="Cambria Math"/>
          </w:rPr>
          <m:t xml:space="preserve"> + a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(2-5)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MNLTK</m:t>
        </m:r>
        <m:r>
          <w:rPr>
            <w:rFonts w:ascii="Cambria Math" w:hAnsi="Cambria Math"/>
          </w:rPr>
          <m:t xml:space="preserve"> + Δh′ + </m:t>
        </m:r>
        <m:sSub>
          <m:e>
            <m:r>
              <w:rPr>
                <w:rFonts w:ascii="Cambria Math" w:hAnsi="Cambria Math"/>
              </w:rPr>
              <m:t xml:space="preserve">h′</m:t>
            </m:r>
          </m:e>
          <m:sub>
            <m:r>
              <w:rPr>
                <w:rFonts w:ascii="Cambria Math" w:hAnsi="Cambria Math"/>
              </w:rPr>
              <m:t xml:space="preserve">sl</m:t>
            </m:r>
          </m:sub>
        </m:sSub>
        <m:r>
          <w:rPr>
            <w:rFonts w:ascii="Cambria Math" w:hAnsi="Cambria Math"/>
          </w:rPr>
          <m:t xml:space="preserve"> + a′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(2-6)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 xml:space="preserve">MNLKT</m:t>
        </m:r>
        <m:r>
          <w:rPr>
            <w:rFonts w:ascii="Cambria Math" w:hAnsi="Cambria Math"/>
          </w:rPr>
          <m:t xml:space="preserve"> + a″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(2-7)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Trong đó: Δh, Δh′ – độ dềnh do gió (m); h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sl</w:t>
      </w:r>
      <w:r>
        <w:rPr>
          <w:rFonts w:ascii="Times New Roman" w:hAnsi="Times New Roman" w:eastAsia="Times New Roman"/>
          <w:b w:val="0"/>
          <w:i w:val="0"/>
          <w:sz w:val="26"/>
        </w:rPr>
        <w:t>, h′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chiều cao sóng leo có mức bảo đảm 1% (m), ứng với vận tốc gió tính toán lớn nhất có tần suất P = 4% khi hồ ở MNDBT và vận tốc gió bình quân lớn nhất P = 50% khi hồ ở MNLTK (TCVN 8216:2018, Bảng 4 – công trình cấp II); khi hồ ở MNLKT không xét sóng do gió; a, a′, a″ – độ vượt cao an toàn, theo TCVN 8216:2018 Bảng 3 với đập cấp II: a = 0,7 m; a′ = 0,5 m; a″ = 0,2 m.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Độ dềnh do gió và chiều cao sóng leo được tính theo TCVN 8421:2010: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r>
          <w:rPr>
            <w:rFonts w:ascii="Cambria Math" w:hAnsi="Cambria Math"/>
          </w:rPr>
          <m:t xml:space="preserve">Δh =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w</m:t>
            </m:r>
          </m:sub>
        </m:sSub>
        <m:r>
          <w:rPr>
            <w:rFonts w:ascii="Cambria Math" w:hAnsi="Cambria Math"/>
          </w:rPr>
          <m:t xml:space="preserve">·</m:t>
        </m:r>
        <m:f>
          <m:num>
            <m:sSup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  <m:r>
              <w:rPr>
                <w:rFonts w:ascii="Cambria Math" w:hAnsi="Cambria Math"/>
              </w:rPr>
              <m:t xml:space="preserve">·D</m:t>
            </m:r>
          </m:num>
          <m:den>
            <m:r>
              <w:rPr>
                <w:rFonts w:ascii="Cambria Math" w:hAnsi="Cambria Math"/>
              </w:rPr>
              <m:t xml:space="preserve">g·H</m:t>
            </m:r>
          </m:den>
        </m:f>
        <m:r>
          <w:rPr>
            <w:rFonts w:ascii="Cambria Math" w:hAnsi="Cambria Math"/>
          </w:rPr>
          <m:t xml:space="preserve">·</m:t>
        </m:r>
        <m:r>
          <m:rPr>
            <m:sty m:val="p"/>
          </m:rPr>
          <w:rPr>
            <w:rFonts w:ascii="Cambria Math" w:hAnsi="Cambria Math"/>
          </w:rPr>
          <m:t xml:space="preserve">cos</m:t>
        </m:r>
        <m:r>
          <w:rPr>
            <w:rFonts w:ascii="Cambria Math" w:hAnsi="Cambria Math"/>
          </w:rPr>
          <m:t xml:space="preserve"> α</m:t>
        </m: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(2-8)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sl1%</m:t>
            </m:r>
          </m:sub>
        </m:sSub>
        <m:r>
          <w:rPr>
            <w:rFonts w:ascii="Cambria Math" w:hAnsi="Cambria Math"/>
          </w:rPr>
          <m:t xml:space="preserve"> =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r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sp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run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α</m:t>
            </m:r>
          </m:sub>
        </m:sSub>
        <m: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1%</m:t>
            </m:r>
          </m:sub>
        </m:sSub>
        <m:r>
          <w:rPr>
            <w:rFonts w:ascii="Cambria Math" w:hAnsi="Cambria Math"/>
          </w:rPr>
          <m:t xml:space="preserve"> ;     </m:t>
        </m:r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1%</m:t>
            </m:r>
          </m:sub>
        </m:sSub>
        <m:r>
          <w:rPr>
            <w:rFonts w:ascii="Cambria Math" w:hAnsi="Cambria Math"/>
          </w:rPr>
          <m:t xml:space="preserve"> =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1%</m:t>
            </m:r>
          </m:sub>
        </m:sSub>
        <m:r>
          <w:rPr>
            <w:rFonts w:ascii="Cambria Math" w:hAnsi="Cambria Math"/>
          </w:rPr>
          <m:t xml:space="preserve">·</m:t>
        </m:r>
        <m:bar>
          <m:barPr>
            <m:pos m:val="top"/>
          </m:barPr>
          <m:e>
            <m:r>
              <w:rPr>
                <w:rFonts w:ascii="Cambria Math" w:hAnsi="Cambria Math"/>
              </w:rPr>
              <m:t xml:space="preserve">h</m:t>
            </m:r>
          </m:e>
        </m:bar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(2-9)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Trong đó: V – vận tốc gió tính toán ở độ cao 10 m trên mặt nước, V = 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fl</w:t>
      </w:r>
      <w:r>
        <w:rPr>
          <w:rFonts w:ascii="Times New Roman" w:hAnsi="Times New Roman" w:eastAsia="Times New Roman"/>
          <w:b w:val="0"/>
          <w:i w:val="0"/>
          <w:sz w:val="26"/>
        </w:rPr>
        <w:t>·k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>·V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(TCVN 8421:2010, Phụ lục A, A.3.3), với 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vận tốc gió quan trắc ở trạm Phan Thiết (Bảng 1.4),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1,10 ÷ 1,09 – hệ số quy đổi về mặt nước cho địa hình dạng A (vùng ven biển trống trải, Bảng A3),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fl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quy đổi số liệu phong tiêu, lấy bằng 1 (thiên an toàn); D – đà gió (m); H – chiều sâu nước trước đập (m); α – góc giữa hướng gió và pháp tuyến mái thượng lưu;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tra Bảng A2 theo vận tốc gió (V = 20; 30; 40; 50 m/s: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w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2,1; 3,0; 3,9; 4,8·10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-6</w:t>
      </w:r>
      <w:r>
        <w:rPr>
          <w:rFonts w:ascii="Times New Roman" w:hAnsi="Times New Roman" w:eastAsia="Times New Roman"/>
          <w:b w:val="0"/>
          <w:i w:val="0"/>
          <w:sz w:val="26"/>
        </w:rPr>
        <w:t>; bảng không có giá trị khi V &lt; 20 m/s nên lấy 2,1·10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-6</w:t>
      </w:r>
      <w:r>
        <w:rPr>
          <w:rFonts w:ascii="Times New Roman" w:hAnsi="Times New Roman" w:eastAsia="Times New Roman"/>
          <w:b w:val="0"/>
          <w:i w:val="0"/>
          <w:sz w:val="26"/>
        </w:rPr>
        <w:t>); h̄ – chiều cao sóng trung bình;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theo gD/V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(Hình 2 của tiêu chuẩn);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r</w:t>
      </w:r>
      <w:r>
        <w:rPr>
          <w:rFonts w:ascii="Times New Roman" w:hAnsi="Times New Roman" w:eastAsia="Times New Roman"/>
          <w:b w:val="0"/>
          <w:i w:val="0"/>
          <w:sz w:val="26"/>
        </w:rPr>
        <w:t>,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p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nhám và thấm của lớp gia cố mái theo độ nhám tương đối Δ/h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(mái gia cố đá xây, Δ = 0,02 m);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sp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theo vận tốc gió và hệ số mái (m = 3);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run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theo độ thoải sóng λ̄/h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(Hình 10); 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α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hệ số giảm sóng leo theo góc α (Bảng 9: 0° – 1,00; 20° – 0,96; 40° – 0,87; 60° – 0,76).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Chiều cao h̄ và chu kỳ τ̄ của sóng trung bình ở vùng nước sâu (H &gt; 0,5λ̄, bước sóng λ̄ = g·τ̄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>/(2π)) được tiêu chuẩn cho bằng đồ thị (đường bao trên, Hình 1) theo gD/V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– điều kiện đà gió và gt/V – điều kiện thời gian gió thổi t, lấy giá trị nhỏ hơn. Với t = 6 giờ, gt/V = 10.425 ÷ 25.346: sóng gần phát triển hoàn toàn, đồ thị cho giá trị lớn hơn nhiều so với điều kiện đà gió (gD/V</w:t>
      </w:r>
      <w:r>
        <w:rPr>
          <w:rFonts w:ascii="Times New Roman" w:hAnsi="Times New Roman" w:eastAsia="Times New Roman"/>
          <w:b w:val="0"/>
          <w:i w:val="0"/>
          <w:sz w:val="26"/>
          <w:vertAlign w:val="super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71 ÷ 425) nên đà gió quyết định. Đường bao theo đà gió được tính bằng công thức xấp xỉ của Krưlốp:</w:t>
      </w:r>
    </w:p>
    <w:p>
      <w:pPr>
        <w:spacing w:before="80" w:after="80" w:line="288" w:lineRule="auto"/>
        <w:tabs>
          <w:tab w:val="center" w:pos="4535"/>
          <w:tab w:val="right" w:pos="9071"/>
        </w:tabs>
      </w:pPr>
      <w:r>
        <w:tab/>
      </w:r>
      <m:oMath>
        <m:f>
          <m:num>
            <m:r>
              <w:rPr>
                <w:rFonts w:ascii="Cambria Math" w:hAnsi="Cambria Math"/>
              </w:rPr>
              <m:t xml:space="preserve">g·</m:t>
            </m:r>
            <m:bar>
              <m:barPr>
                <m:pos m:val="top"/>
              </m:barPr>
              <m:e>
                <m:r>
                  <w:rPr>
                    <w:rFonts w:ascii="Cambria Math" w:hAnsi="Cambria Math"/>
                  </w:rPr>
                  <m:t xml:space="preserve">h</m:t>
                </m:r>
              </m:e>
            </m:bar>
          </m:num>
          <m:den>
            <m:sSup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w:rPr>
            <w:rFonts w:ascii="Cambria Math" w:hAnsi="Cambria Math"/>
          </w:rPr>
          <m:t xml:space="preserve"> = 0,16·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1 − </m:t>
            </m:r>
            <m:sSup>
              <m:e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1 + 0,006·</m:t>
                    </m:r>
                    <m:rad>
                      <m:radPr>
                        <m:degHide m:val="1"/>
                      </m:radPr>
                      <m:deg/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gD</m:t>
                            </m:r>
                          </m:num>
                          <m:den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V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</m:e>
              <m:sup>
                <m:r>
                  <w:rPr>
                    <w:rFonts w:ascii="Cambria Math" w:hAnsi="Cambria Math"/>
                  </w:rPr>
                  <m:t xml:space="preserve">−2</m:t>
                </m:r>
              </m:sup>
            </m:sSup>
          </m:e>
        </m:d>
        <m:r>
          <w:rPr>
            <w:rFonts w:ascii="Cambria Math" w:hAnsi="Cambria Math"/>
          </w:rPr>
          <m:t xml:space="preserve"> ;     </m:t>
        </m:r>
        <m:f>
          <m:num>
            <m:r>
              <w:rPr>
                <w:rFonts w:ascii="Cambria Math" w:hAnsi="Cambria Math"/>
              </w:rPr>
              <m:t xml:space="preserve">g·</m:t>
            </m:r>
            <m:bar>
              <m:barPr>
                <m:pos m:val="top"/>
              </m:barPr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</m:ba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w:rPr>
            <w:rFonts w:ascii="Cambria Math" w:hAnsi="Cambria Math"/>
          </w:rPr>
          <m:t xml:space="preserve"> = 19,1·</m:t>
        </m:r>
        <m:sSup>
          <m:e>
            <m:d>
              <m:dPr>
                <m:begChr m:val="("/>
                <m:endChr m:val=")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g·</m:t>
                    </m:r>
                    <m:bar>
                      <m:barPr>
                        <m:pos m:val="top"/>
                      </m:barPr>
                      <m:e>
                        <m:r>
                          <w:rPr>
                            <w:rFonts w:ascii="Cambria Math" w:hAnsi="Cambria Math"/>
                          </w:rPr>
                          <m:t xml:space="preserve">h</m:t>
                        </m:r>
                      </m:e>
                    </m:ba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 xml:space="preserve">0,625</m:t>
            </m:r>
          </m:sup>
        </m:sSup>
      </m:oMath>
      <w:r>
        <w:rPr>
          <w:rFonts w:ascii="Times New Roman" w:hAnsi="Times New Roman" w:eastAsia="Times New Roman"/>
          <w:b w:val="0"/>
          <w:i w:val="0"/>
          <w:sz w:val="26"/>
        </w:rPr>
        <w:tab/>
        <w:t>(2-10)</w:t>
      </w:r>
    </w:p>
    <w:p>
      <w:pPr>
        <w:spacing w:before="240" w:after="120" w:line="288" w:lineRule="auto"/>
        <w:jc w:val="left"/>
      </w:pPr>
      <w:r>
        <w:rPr>
          <w:rFonts w:ascii="Times New Roman" w:hAnsi="Times New Roman" w:eastAsia="Times New Roman"/>
          <w:b/>
          <w:i/>
          <w:sz w:val="26"/>
        </w:rPr>
        <w:t>2.3.2 Kết quả tính toán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Mực nước tính toán: MNDBT = +74,70 m; MNLTK = +77,43 m và MNLKT = +78,39 m – kết quả điều tiết lũ khi các cửa van vận hành bình thường (mục 2.2.3). Tuyến đập có phương vị N96,2°E nên pháp tuyến mái thượng lưu hướng N6,2°E (lòng hồ ở phía Bắc). Sóng được tính cho các hướng gió thổi vào mái thượng lưu với góc tới không quá 60°: Bắc (6,2°), Đông Bắc (38,8°) và Tây Bắc (51,2°); các hướng Đông, Tây gần song song với tuyến đập (góc tới 84 ÷ 96°), các hướng Nam thổi từ phía hạ lưu nên không gây sóng leo lên mái thượng lưu. Đà gió lấy D = 2.970 m khi hồ ở MNDBT và 3.025 m khi hồ ở MNLTK, dùng chung cho mọi hướng (thiên an toàn); cao trình đáy hồ trước đập +59,0 m. Kết quả tính chi tiết với gió hướng Bắc cho trong Bảng 2.4, tổng hợp theo hướng gió trong Bảng 2.5.</w:t>
      </w:r>
    </w:p>
    <w:p>
      <w:pPr>
        <w:keepNext/>
        <w:spacing w:before="120" w:after="120" w:line="288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Bảng 2.4 Kết quả tính cao trình đỉnh đập theo ba trường hợp – gió hướng Bắc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71"/>
        <w:gridCol w:w="2100"/>
        <w:gridCol w:w="2100"/>
        <w:gridCol w:w="1500"/>
      </w:tblGrid>
      <w:tr>
        <w:trPr>
          <w:tblHeader w:val="true"/>
          <w:cantSplit w:val="true"/>
        </w:trPr>
        <w:tc>
          <w:tcPr>
            <w:tcW w:type="dxa" w:w="3371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Đại lượng</w:t>
            </w:r>
          </w:p>
        </w:tc>
        <w:tc>
          <w:tcPr>
            <w:tcW w:type="dxa" w:w="21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1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: MNDBT</w:t>
            </w:r>
          </w:p>
        </w:tc>
        <w:tc>
          <w:tcPr>
            <w:tcW w:type="dxa" w:w="21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2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: MNLTK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3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: MNLKT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Mực nước tính toán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+74,70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+77,43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+78,39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Vận tốc gió V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l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/ V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(m/s)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13,8 / 15,18 (P = 4%)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7,6 / 8,36 (P = 50%)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Góc tới α (°)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α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6,2 ; 0,99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6,2 ; 0,99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Đà gió D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2.970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3.025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Chiều sâu nước trước đập H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15,70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18,43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gD/V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w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perscript"/>
              </w:rPr>
              <w:t>2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126,4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424,6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Chiều cao sóng trung bình h̄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0,460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0,237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Chu kỳ τ̄ (s) / bước sóng λ̄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2,53 / 9,99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1,94 / 5,88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1%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h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1%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2,09 ; 0,962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2,13 ; 0,504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r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p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sp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; k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run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0,90 ; 0,80 ; 1,31 ; 1,50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0,83 ; 0,73 ; 1,00 ; 1,56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Sóng leo h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sl1%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1,331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0,475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Độ dềnh do gió Δh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0,009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0,002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–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Độ vượt cao an toàn (m)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0,70</w:t>
            </w:r>
          </w:p>
        </w:tc>
        <w:tc>
          <w:tcPr>
            <w:tcW w:type="dxa" w:w="2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0,50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0,20</w:t>
            </w:r>
          </w:p>
        </w:tc>
      </w:tr>
      <w:tr>
        <w:trPr>
          <w:cantSplit w:val="true"/>
        </w:trPr>
        <w:tc>
          <w:tcPr>
            <w:tcW w:type="dxa" w:w="3371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Cao trình đỉnh yêu cầu (m)</w:t>
            </w:r>
          </w:p>
        </w:tc>
        <w:tc>
          <w:tcPr>
            <w:tcW w:type="dxa" w:w="21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+76,74</w:t>
            </w:r>
          </w:p>
        </w:tc>
        <w:tc>
          <w:tcPr>
            <w:tcW w:type="dxa" w:w="21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+78,41</w:t>
            </w:r>
          </w:p>
        </w:tc>
        <w:tc>
          <w:tcPr>
            <w:tcW w:type="dxa" w:w="15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+78,59</w:t>
            </w:r>
          </w:p>
        </w:tc>
      </w:tr>
    </w:tbl>
    <w:p>
      <w:pPr>
        <w:keepNext/>
        <w:spacing w:before="120" w:after="120" w:line="288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Bảng 2.5 Cao trình đỉnh đập yêu cầu theo hướng gió (m)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850"/>
        <w:gridCol w:w="700"/>
        <w:gridCol w:w="1500"/>
        <w:gridCol w:w="1350"/>
        <w:gridCol w:w="850"/>
        <w:gridCol w:w="850"/>
        <w:gridCol w:w="850"/>
        <w:gridCol w:w="850"/>
      </w:tblGrid>
      <w:tr>
        <w:trPr>
          <w:tblHeader w:val="true"/>
          <w:cantSplit w:val="true"/>
        </w:trPr>
        <w:tc>
          <w:tcPr>
            <w:tcW w:type="dxa" w:w="1271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Hướng gió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Góc tới α (°)</w:t>
            </w:r>
          </w:p>
        </w:tc>
        <w:tc>
          <w:tcPr>
            <w:tcW w:type="dxa" w:w="7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k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α</w:t>
            </w:r>
          </w:p>
        </w:tc>
        <w:tc>
          <w:tcPr>
            <w:tcW w:type="dxa" w:w="15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w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P = 4% / 50% (m/s)</w:t>
            </w:r>
          </w:p>
        </w:tc>
        <w:tc>
          <w:tcPr>
            <w:tcW w:type="dxa" w:w="13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sl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/ h′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sl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(m)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1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2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3</w:t>
            </w:r>
          </w:p>
        </w:tc>
        <w:tc>
          <w:tcPr>
            <w:tcW w:type="dxa" w:w="8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Z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  <w:vertAlign w:val="subscript"/>
              </w:rPr>
              <w:t>đ</w:t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 xml:space="preserve"> = max</w:t>
            </w:r>
          </w:p>
        </w:tc>
      </w:tr>
      <w:tr>
        <w:trPr>
          <w:cantSplit w:val="true"/>
        </w:trPr>
        <w:tc>
          <w:tcPr>
            <w:tcW w:type="dxa" w:w="12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Bắc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6,2</w:t>
            </w:r>
          </w:p>
        </w:tc>
        <w:tc>
          <w:tcPr>
            <w:tcW w:type="dxa" w:w="7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0,99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15,2 / 8,4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1,33 / 0,47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76,74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78,41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</w:tr>
      <w:tr>
        <w:trPr>
          <w:cantSplit w:val="true"/>
        </w:trPr>
        <w:tc>
          <w:tcPr>
            <w:tcW w:type="dxa" w:w="12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Đông Bắc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38,8</w:t>
            </w:r>
          </w:p>
        </w:tc>
        <w:tc>
          <w:tcPr>
            <w:tcW w:type="dxa" w:w="7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0,88</w:t>
            </w:r>
          </w:p>
        </w:tc>
        <w:tc>
          <w:tcPr>
            <w:tcW w:type="dxa" w:w="15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20,3 / 13,1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1,90 / 0,94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77,31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78,87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  <w:tc>
          <w:tcPr>
            <w:tcW w:type="dxa" w:w="8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78,87</w:t>
            </w:r>
          </w:p>
        </w:tc>
      </w:tr>
      <w:tr>
        <w:trPr>
          <w:cantSplit w:val="true"/>
        </w:trPr>
        <w:tc>
          <w:tcPr>
            <w:tcW w:type="dxa" w:w="1271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Tây Bắc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51,2</w:t>
            </w:r>
          </w:p>
        </w:tc>
        <w:tc>
          <w:tcPr>
            <w:tcW w:type="dxa" w:w="7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0,81</w:t>
            </w:r>
          </w:p>
        </w:tc>
        <w:tc>
          <w:tcPr>
            <w:tcW w:type="dxa" w:w="15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17,1 / 9,8</w:t>
            </w:r>
          </w:p>
        </w:tc>
        <w:tc>
          <w:tcPr>
            <w:tcW w:type="dxa" w:w="13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1,34 / 0,53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76,75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78,46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  <w:tc>
          <w:tcPr>
            <w:tcW w:type="dxa" w:w="8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78,59</w:t>
            </w:r>
          </w:p>
        </w:tc>
      </w:tr>
    </w:tbl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Trị số lớn nhất là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+78,87 m ứng với gió hướng Đông Bắc: dù góc tới lớn hơn (k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α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0,88), vận tốc gió bình quân lớn nhất hướng Đông Bắc lớn hơn hướng Bắc (V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50%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11,9 so với 7,6 m/s) nên sóng leo lớn hơn (h′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sl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0,94 so với 0,47 m). Như vậy cao trình đỉnh đập yêu cầu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đ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max(Z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1</w:t>
      </w:r>
      <w:r>
        <w:rPr>
          <w:rFonts w:ascii="Times New Roman" w:hAnsi="Times New Roman" w:eastAsia="Times New Roman"/>
          <w:b w:val="0"/>
          <w:i w:val="0"/>
          <w:sz w:val="26"/>
        </w:rPr>
        <w:t>;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2</w:t>
      </w:r>
      <w:r>
        <w:rPr>
          <w:rFonts w:ascii="Times New Roman" w:hAnsi="Times New Roman" w:eastAsia="Times New Roman"/>
          <w:b w:val="0"/>
          <w:i w:val="0"/>
          <w:sz w:val="26"/>
        </w:rPr>
        <w:t>;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3</w:t>
      </w:r>
      <w:r>
        <w:rPr>
          <w:rFonts w:ascii="Times New Roman" w:hAnsi="Times New Roman" w:eastAsia="Times New Roman"/>
          <w:b w:val="0"/>
          <w:i w:val="0"/>
          <w:sz w:val="26"/>
        </w:rPr>
        <w:t>) = +78,87 m.</w:t>
      </w:r>
    </w:p>
    <w:p>
      <w:pPr>
        <w:keepNext/>
        <w:spacing w:before="120" w:after="120" w:line="288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Bảng 2.6 Đánh giá cao trình đỉnh đập theo TCVN 8216:2018 điều 10.1.5 (m)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1"/>
        <w:gridCol w:w="1150"/>
        <w:gridCol w:w="1100"/>
        <w:gridCol w:w="1350"/>
        <w:gridCol w:w="1150"/>
        <w:gridCol w:w="1150"/>
      </w:tblGrid>
      <w:tr>
        <w:trPr>
          <w:tblHeader w:val="true"/>
          <w:cantSplit w:val="true"/>
        </w:trPr>
        <w:tc>
          <w:tcPr>
            <w:tcW w:type="dxa" w:w="3171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Điều kiện</w:t>
            </w:r>
          </w:p>
        </w:tc>
        <w:tc>
          <w:tcPr>
            <w:tcW w:type="dxa" w:w="11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Yêu cầu</w:t>
            </w:r>
          </w:p>
        </w:tc>
        <w:tc>
          <w:tcPr>
            <w:tcW w:type="dxa" w:w="110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Hiện trạng</w:t>
            </w:r>
          </w:p>
        </w:tc>
        <w:tc>
          <w:tcPr>
            <w:tcW w:type="dxa" w:w="13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Đánh giá</w:t>
            </w:r>
          </w:p>
        </w:tc>
        <w:tc>
          <w:tcPr>
            <w:tcW w:type="dxa" w:w="11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Sau sửa chữa</w:t>
            </w:r>
          </w:p>
        </w:tc>
        <w:tc>
          <w:tcPr>
            <w:tcW w:type="dxa" w:w="1150"/>
            <w:shd w:val="clear" w:color="auto" w:fill="F2F2F2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Đánh giá</w:t>
            </w:r>
          </w:p>
        </w:tc>
      </w:tr>
      <w:tr>
        <w:trPr>
          <w:cantSplit w:val="true"/>
        </w:trPr>
        <w:tc>
          <w:tcPr>
            <w:tcW w:type="dxa" w:w="31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Đỉnh tường chắn sóng ≥ 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đ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= max(Z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; 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; Z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  <w:vertAlign w:val="subscript"/>
              </w:rPr>
              <w:t>3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)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≥ +78,87</w:t>
            </w:r>
          </w:p>
        </w:tc>
        <w:tc>
          <w:tcPr>
            <w:tcW w:type="dxa" w:w="1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+79,40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+79,40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</w:tr>
      <w:tr>
        <w:trPr>
          <w:cantSplit w:val="true"/>
        </w:trPr>
        <w:tc>
          <w:tcPr>
            <w:tcW w:type="dxa" w:w="3171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Đỉnh đập (không kể tường) ≥ MNLKT + 0,3 m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≥ +78,69</w:t>
            </w:r>
          </w:p>
        </w:tc>
        <w:tc>
          <w:tcPr>
            <w:tcW w:type="dxa" w:w="110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+78,50</w:t>
            </w:r>
          </w:p>
        </w:tc>
        <w:tc>
          <w:tcPr>
            <w:tcW w:type="dxa" w:w="13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Không đạt (thiếu 0,19 m)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+78,85</w:t>
            </w:r>
          </w:p>
        </w:tc>
        <w:tc>
          <w:tcPr>
            <w:tcW w:type="dxa" w:w="1150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 (dư 0,16 m)</w:t>
            </w:r>
          </w:p>
        </w:tc>
      </w:tr>
      <w:tr>
        <w:trPr>
          <w:cantSplit w:val="true"/>
        </w:trPr>
        <w:tc>
          <w:tcPr>
            <w:tcW w:type="dxa" w:w="3171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Tường cao hơn đỉnh đập ≤ 1,2 m</w:t>
            </w:r>
          </w:p>
        </w:tc>
        <w:tc>
          <w:tcPr>
            <w:tcW w:type="dxa" w:w="11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≤ 1,20</w:t>
            </w:r>
          </w:p>
        </w:tc>
        <w:tc>
          <w:tcPr>
            <w:tcW w:type="dxa" w:w="110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0,90</w:t>
            </w:r>
          </w:p>
        </w:tc>
        <w:tc>
          <w:tcPr>
            <w:tcW w:type="dxa" w:w="13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  <w:tc>
          <w:tcPr>
            <w:tcW w:type="dxa" w:w="11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0,55</w:t>
            </w:r>
          </w:p>
        </w:tc>
        <w:tc>
          <w:tcPr>
            <w:tcW w:type="dxa" w:w="115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Đạt</w:t>
            </w:r>
          </w:p>
        </w:tc>
      </w:tr>
    </w:tbl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Đập Cà Giây có tường chắn sóng thẳng đứng phía thượng lưu (đỉnh +79,40 m) liên kết với bộ phận chống thấm nên theo TCVN 8216:2018 điều 10.1.5 độ vượt cao được tính đến đỉnh tường: +79,40 m ≥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đ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+78,87 m – tường chắn sóng hiện trạng đủ chắn sóng (dự trữ 0,53 m); đồng thời đỉnh đập (không kể tường) phải cao hơn MNLKT tối thiểu 0,3 m, tức không thấp hơn +78,69 m, và tường không cao hơn đỉnh đập quá 1,2 m (Bảng 2.6).</w:t>
      </w:r>
    </w:p>
    <w:p>
      <w:pPr>
        <w:spacing w:before="120" w:after="0" w:line="288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Cao trình đỉnh đập hiện trạng +78,50 m (theo hồ sơ thiết kế; khảo sát đo được +78,32 ÷ +78,44 m) thấp hơn yêu cầu 0,19 m (0,25 ÷ 0,37 m theo số liệu khảo sát): đập hiện trạng chưa bảo đảm an toàn phòng lũ về cao trình đỉnh, cần nâng đỉnh đập lên tối thiểu +78,69 m. Với cao trình đỉnh đập sau sửa chữa +78,85 m: cao hơn MNLKT 0,46 m (≥ 0,3 m), tường chắn sóng cao hơn đỉnh đập 0,55 m (≤ 1,2 m) – đạt yêu cầu. Vì Z</w:t>
      </w:r>
      <w:r>
        <w:rPr>
          <w:rFonts w:ascii="Times New Roman" w:hAnsi="Times New Roman" w:eastAsia="Times New Roman"/>
          <w:b w:val="0"/>
          <w:i w:val="0"/>
          <w:sz w:val="26"/>
          <w:vertAlign w:val="subscript"/>
        </w:rPr>
        <w:t>đ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= +78,87 m cao hơn đỉnh đập +78,85 m nên tường chắn sóng là bộ phận bắt buộc, phải được giữ lại và duy trì khi sửa chữa.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