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 : Alerting monétique (Parent / Enfant)</w:t>
      </w:r>
    </w:p>
    <w:p>
      <w:pPr>
        <w:pStyle w:val="Heading2"/>
      </w:pPr>
      <w:r>
        <w:t>1. Présentation du sujet</w:t>
      </w:r>
    </w:p>
    <w:p>
      <w:r>
        <w:t xml:space="preserve">Le système d’alerting monétique permet aujourd’hui aux clients de paramétrer des alertes sur leurs comptes bancaires. Les alertes sont gérées au niveau du compte : si plusieurs cartes sont rattachées au même compte, elles héritent toutes du même paramétrage. </w:t>
        <w:br/>
        <w:br/>
        <w:t>Cependant, un problème apparaît lorsque des parents souhaitent paramétrer des alertes pour le compte de leur enfant. Actuellement, cela est impossible car la règle impose que le client dispose d’une carte à son nom sur le compte.</w:t>
      </w:r>
    </w:p>
    <w:p>
      <w:pPr>
        <w:pStyle w:val="Heading2"/>
      </w:pPr>
      <w:r>
        <w:t>2. Problème</w:t>
      </w:r>
    </w:p>
    <w:p>
      <w:r>
        <w:t>Lorsqu’un parent tente de paramétrer une alerte pour le compte de son enfant :</w:t>
        <w:br/>
        <w:t>- Le système vérifie si l’ID client (celui du parent) possède une carte éligible sur le compte de l’enfant.</w:t>
        <w:br/>
        <w:t>- Comme ce n’est pas le cas, le paramétrage échoue avec un message du type : « Non activable faute d’une carte à votre nom sur ce compte ».</w:t>
        <w:br/>
        <w:br/>
        <w:t>Cela empêche les parents de suivre les dépenses de leurs enfants.</w:t>
      </w:r>
    </w:p>
    <w:p>
      <w:pPr>
        <w:pStyle w:val="Heading2"/>
      </w:pPr>
      <w:r>
        <w:t>3. Solution proposée</w:t>
      </w:r>
    </w:p>
    <w:p>
      <w:r>
        <w:t>Introduire un nouvel indicateur « compte_enfant » qui permettra de différencier les cas classiques des cas parent/enfant.</w:t>
        <w:br/>
        <w:br/>
        <w:t>- Par défaut, l’indicateur est à faux.</w:t>
        <w:br/>
        <w:t>- Lorsqu’un parent paramètre une alerte pour le compte de son enfant, l’application envoie compte_enfant=true.</w:t>
        <w:br/>
        <w:t>- Le système acceptera alors le paramétrage si le compte de l’enfant dispose d’au moins une carte éligible, même si le parent n’a pas de carte à son nom.</w:t>
      </w:r>
    </w:p>
    <w:p>
      <w:pPr>
        <w:pStyle w:val="Heading2"/>
      </w:pPr>
      <w:r>
        <w:t>4. Tâches à réaliser</w:t>
      </w:r>
    </w:p>
    <w:p>
      <w:r>
        <w:t>- Ajout du champ côté Java (DTO, API, modèle).</w:t>
        <w:br/>
        <w:t>- Développement de la logique de traitement prenant en compte l’indicateur compte_enfant.</w:t>
        <w:br/>
        <w:t>- Ajout de la colonne « compte_enfant » dans la base de données (coordination avec un DBA).</w:t>
        <w:br/>
        <w:t>- Génération et adaptation des textes et e-mails (CRM/BPI).</w:t>
        <w:br/>
        <w:t>- Création de comptes parent–enfant pour les tests.</w:t>
        <w:br/>
      </w:r>
    </w:p>
    <w:p>
      <w:pPr>
        <w:pStyle w:val="Heading2"/>
      </w:pPr>
      <w:r>
        <w:t>5. Questions ouvertes</w:t>
      </w:r>
    </w:p>
    <w:p>
      <w:r>
        <w:t>- La valeur de l’indicateur « compte_enfant » doit-elle être transmise par BPI en query paramètre ou dans le body ?</w:t>
        <w:br/>
        <w:t>- Comment garantir la bonne identification de la relation parent–enfant (source de vérité) ?</w:t>
        <w:br/>
        <w:t>- Quels sont les cas limites à couvrir (ex. cartes en liste noire, comptes sans carte, multi-cartes) ?</w:t>
        <w:br/>
      </w:r>
    </w:p>
    <w:p>
      <w:pPr>
        <w:pStyle w:val="Heading2"/>
      </w:pPr>
      <w:r>
        <w:t>6. Macro‑chiffrage (estimation haute/basse)</w:t>
      </w:r>
    </w:p>
    <w:p>
      <w:r>
        <w:t>Estimation indicative en jours-homme (JH) par lot, hors imprévus majeurs. Les fourchettes tiennent compte d’un développement standard, code review et tests fonctionnels de base.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Lot / Tâche</w:t>
            </w:r>
          </w:p>
        </w:tc>
        <w:tc>
          <w:tcPr>
            <w:tcW w:type="dxa" w:w="2160"/>
          </w:tcPr>
          <w:p>
            <w:r>
              <w:t>Effort (JH)</w:t>
            </w:r>
          </w:p>
        </w:tc>
        <w:tc>
          <w:tcPr>
            <w:tcW w:type="dxa" w:w="2160"/>
          </w:tcPr>
          <w:p>
            <w:r>
              <w:t>Hypothèses</w:t>
            </w:r>
          </w:p>
        </w:tc>
        <w:tc>
          <w:tcPr>
            <w:tcW w:type="dxa" w:w="2160"/>
          </w:tcPr>
          <w:p>
            <w:r>
              <w:t>Dépendances</w:t>
            </w:r>
          </w:p>
        </w:tc>
      </w:tr>
      <w:tr>
        <w:tc>
          <w:tcPr>
            <w:tcW w:type="dxa" w:w="2160"/>
          </w:tcPr>
          <w:p>
            <w:r>
              <w:t>Ajout du champ côté Java (DTO/API/modèle)</w:t>
            </w:r>
          </w:p>
        </w:tc>
        <w:tc>
          <w:tcPr>
            <w:tcW w:type="dxa" w:w="2160"/>
          </w:tcPr>
          <w:p>
            <w:r>
              <w:t>1,5 – 2,5 JH</w:t>
            </w:r>
          </w:p>
        </w:tc>
        <w:tc>
          <w:tcPr>
            <w:tcW w:type="dxa" w:w="2160"/>
          </w:tcPr>
          <w:p>
            <w:r>
              <w:t>Un dev back confirmé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Développement logique d’éligibilité (incl. logs, feature flag)</w:t>
            </w:r>
          </w:p>
        </w:tc>
        <w:tc>
          <w:tcPr>
            <w:tcW w:type="dxa" w:w="2160"/>
          </w:tcPr>
          <w:p>
            <w:r>
              <w:t>2 – 3,5 JH</w:t>
            </w:r>
          </w:p>
        </w:tc>
        <w:tc>
          <w:tcPr>
            <w:tcW w:type="dxa" w:w="2160"/>
          </w:tcPr>
          <w:p>
            <w:r>
              <w:t>Règles stables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Contrats API &amp; exemples (OpenAPI)</w:t>
            </w:r>
          </w:p>
        </w:tc>
        <w:tc>
          <w:tcPr>
            <w:tcW w:type="dxa" w:w="2160"/>
          </w:tcPr>
          <w:p>
            <w:r>
              <w:t>0,5 – 1 JH</w:t>
            </w:r>
          </w:p>
        </w:tc>
        <w:tc>
          <w:tcPr>
            <w:tcW w:type="dxa" w:w="2160"/>
          </w:tcPr>
          <w:p>
            <w:r>
              <w:t>Modèle existant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Ajout colonne DB2 `compte_enfant` (avec DBA)</w:t>
            </w:r>
          </w:p>
        </w:tc>
        <w:tc>
          <w:tcPr>
            <w:tcW w:type="dxa" w:w="2160"/>
          </w:tcPr>
          <w:p>
            <w:r>
              <w:t>1 – 2 JH</w:t>
            </w:r>
          </w:p>
        </w:tc>
        <w:tc>
          <w:tcPr>
            <w:tcW w:type="dxa" w:w="2160"/>
          </w:tcPr>
          <w:p>
            <w:r>
              <w:t>Fenêtre de déploiement OK</w:t>
            </w:r>
          </w:p>
        </w:tc>
        <w:tc>
          <w:tcPr>
            <w:tcW w:type="dxa" w:w="2160"/>
          </w:tcPr>
          <w:p>
            <w:r>
              <w:t>DBA</w:t>
            </w:r>
          </w:p>
        </w:tc>
      </w:tr>
      <w:tr>
        <w:tc>
          <w:tcPr>
            <w:tcW w:type="dxa" w:w="2160"/>
          </w:tcPr>
          <w:p>
            <w:r>
              <w:t>Scripts migration/rollback + revue perf/index</w:t>
            </w:r>
          </w:p>
        </w:tc>
        <w:tc>
          <w:tcPr>
            <w:tcW w:type="dxa" w:w="2160"/>
          </w:tcPr>
          <w:p>
            <w:r>
              <w:t>0,5 – 1 JH</w:t>
            </w:r>
          </w:p>
        </w:tc>
        <w:tc>
          <w:tcPr>
            <w:tcW w:type="dxa" w:w="2160"/>
          </w:tcPr>
          <w:p>
            <w:r>
              <w:t>Schéma simple</w:t>
            </w:r>
          </w:p>
        </w:tc>
        <w:tc>
          <w:tcPr>
            <w:tcW w:type="dxa" w:w="2160"/>
          </w:tcPr>
          <w:p>
            <w:r>
              <w:t>DBA</w:t>
            </w:r>
          </w:p>
        </w:tc>
      </w:tr>
      <w:tr>
        <w:tc>
          <w:tcPr>
            <w:tcW w:type="dxa" w:w="2160"/>
          </w:tcPr>
          <w:p>
            <w:r>
              <w:t>Adaptations BPI/CRM (textes &amp; e‑mails)</w:t>
            </w:r>
          </w:p>
        </w:tc>
        <w:tc>
          <w:tcPr>
            <w:tcW w:type="dxa" w:w="2160"/>
          </w:tcPr>
          <w:p>
            <w:r>
              <w:t>1 – 2 JH</w:t>
            </w:r>
          </w:p>
        </w:tc>
        <w:tc>
          <w:tcPr>
            <w:tcW w:type="dxa" w:w="2160"/>
          </w:tcPr>
          <w:p>
            <w:r>
              <w:t>Wording validé rapidement</w:t>
            </w:r>
          </w:p>
        </w:tc>
        <w:tc>
          <w:tcPr>
            <w:tcW w:type="dxa" w:w="2160"/>
          </w:tcPr>
          <w:p>
            <w:r>
              <w:t>PO/CRM</w:t>
            </w:r>
          </w:p>
        </w:tc>
      </w:tr>
      <w:tr>
        <w:tc>
          <w:tcPr>
            <w:tcW w:type="dxa" w:w="2160"/>
          </w:tcPr>
          <w:p>
            <w:r>
              <w:t>Jeux de données &amp; comptes parent‑enfant (INT/UAT)</w:t>
            </w:r>
          </w:p>
        </w:tc>
        <w:tc>
          <w:tcPr>
            <w:tcW w:type="dxa" w:w="2160"/>
          </w:tcPr>
          <w:p>
            <w:r>
              <w:t>0,5 – 1 JH</w:t>
            </w:r>
          </w:p>
        </w:tc>
        <w:tc>
          <w:tcPr>
            <w:tcW w:type="dxa" w:w="2160"/>
          </w:tcPr>
          <w:p>
            <w:r>
              <w:t>Accès référentiels OK</w:t>
            </w:r>
          </w:p>
        </w:tc>
        <w:tc>
          <w:tcPr>
            <w:tcW w:type="dxa" w:w="2160"/>
          </w:tcPr>
          <w:p>
            <w:r>
              <w:t>Ops</w:t>
            </w:r>
          </w:p>
        </w:tc>
      </w:tr>
      <w:tr>
        <w:tc>
          <w:tcPr>
            <w:tcW w:type="dxa" w:w="2160"/>
          </w:tcPr>
          <w:p>
            <w:r>
              <w:t>Tests unitaires &amp; d’intégration</w:t>
            </w:r>
          </w:p>
        </w:tc>
        <w:tc>
          <w:tcPr>
            <w:tcW w:type="dxa" w:w="2160"/>
          </w:tcPr>
          <w:p>
            <w:r>
              <w:t>1,5 – 2,5 JH</w:t>
            </w:r>
          </w:p>
        </w:tc>
        <w:tc>
          <w:tcPr>
            <w:tcW w:type="dxa" w:w="2160"/>
          </w:tcPr>
          <w:p>
            <w:r>
              <w:t>Environnements stables</w:t>
            </w:r>
          </w:p>
        </w:tc>
        <w:tc>
          <w:tcPr>
            <w:tcW w:type="dxa" w:w="2160"/>
          </w:tcPr>
          <w:p>
            <w:r>
              <w:t>QA/Dev</w:t>
            </w:r>
          </w:p>
        </w:tc>
      </w:tr>
      <w:tr>
        <w:tc>
          <w:tcPr>
            <w:tcW w:type="dxa" w:w="2160"/>
          </w:tcPr>
          <w:p>
            <w:r>
              <w:t>E2E + UAT + corrections mineures</w:t>
            </w:r>
          </w:p>
        </w:tc>
        <w:tc>
          <w:tcPr>
            <w:tcW w:type="dxa" w:w="2160"/>
          </w:tcPr>
          <w:p>
            <w:r>
              <w:t>1,5 – 2,5 JH</w:t>
            </w:r>
          </w:p>
        </w:tc>
        <w:tc>
          <w:tcPr>
            <w:tcW w:type="dxa" w:w="2160"/>
          </w:tcPr>
          <w:p>
            <w:r>
              <w:t>Parcours simples</w:t>
            </w:r>
          </w:p>
        </w:tc>
        <w:tc>
          <w:tcPr>
            <w:tcW w:type="dxa" w:w="2160"/>
          </w:tcPr>
          <w:p>
            <w:r>
              <w:t>QA/PO</w:t>
            </w:r>
          </w:p>
        </w:tc>
      </w:tr>
    </w:tbl>
    <w:p/>
    <w:p>
      <w:pPr>
        <w:pStyle w:val="Heading3"/>
      </w:pPr>
      <w:r>
        <w:t>Synthèse</w:t>
      </w:r>
    </w:p>
    <w:p>
      <w:r>
        <w:t>Plage totale (hors marge) : **10 – 17 JH**. Ajouter une **marge de management de 20%** pour aléas et synchronisations inter‑équipes.</w:t>
      </w:r>
    </w:p>
    <w:p>
      <w:r>
        <w:t>➡️ Charge macro recommandée : **12 – 20 JH** (~2 à 4 jours ouvrés en focale multi‑ressources, ou 2 à 3 semaines calendrier avec validations DBA/PO/CRM et UAT).</w:t>
      </w:r>
    </w:p>
    <w:p>
      <w:pPr>
        <w:pStyle w:val="Heading3"/>
      </w:pPr>
      <w:r>
        <w:t>Hypothèses &amp; risques majeurs</w:t>
      </w:r>
    </w:p>
    <w:p>
      <w:r>
        <w:t>- Relation parent‑enfant déjà disponible et exploitable dans les référentiels.</w:t>
        <w:br/>
        <w:t>- Pas de changement d’UX majeur côté app.</w:t>
        <w:br/>
        <w:t>- Fenêtre DBA et environnements disponibles sans blocage.</w:t>
        <w:br/>
        <w:t>- Risques : retard de validation des textes, indisponibilité des environnements, changement de règles d’éligibilité (liste noire, produits spéciaux).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