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EA1" w:rsidRDefault="0025182B" w:rsidP="00FD5EBC">
      <w:pPr>
        <w:pStyle w:val="NoSpacing"/>
        <w:jc w:val="center"/>
      </w:pPr>
      <w:r>
        <w:rPr>
          <w:noProof/>
        </w:rPr>
        <w:drawing>
          <wp:inline distT="0" distB="0" distL="0" distR="0">
            <wp:extent cx="4857750" cy="3636818"/>
            <wp:effectExtent l="19050" t="0" r="0" b="0"/>
            <wp:docPr id="10" name="Picture 8" descr="C:\Users\Zach\Documents\School\College\Aerospace\Low Speed Aerodynamics Lab\Lab 1\PressureCoeff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Documents\School\College\Aerospace\Low Speed Aerodynamics Lab\Lab 1\PressureCoeffD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91" cy="364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BC" w:rsidRDefault="00EA2EA1" w:rsidP="00FD5EBC">
      <w:pPr>
        <w:pStyle w:val="NoSpacing"/>
        <w:jc w:val="center"/>
      </w:pPr>
      <w:r>
        <w:t>Figure 4.</w:t>
      </w:r>
      <w:r w:rsidR="00FD5EBC">
        <w:t>5: Pressure distribution of a NACA 0012 airfoil at</w:t>
      </w:r>
    </w:p>
    <w:p w:rsidR="00EA2EA1" w:rsidRDefault="00FD5EBC" w:rsidP="00FD5EBC">
      <w:pPr>
        <w:pStyle w:val="NoSpacing"/>
        <w:jc w:val="center"/>
      </w:pPr>
      <w:proofErr w:type="gramStart"/>
      <w:r>
        <w:t>an</w:t>
      </w:r>
      <w:proofErr w:type="gramEnd"/>
      <w:r>
        <w:t xml:space="preserve"> 11 degree angle of attack.</w:t>
      </w:r>
    </w:p>
    <w:p w:rsidR="00FD5EBC" w:rsidRDefault="00FD5EBC" w:rsidP="00FD5EBC">
      <w:pPr>
        <w:pStyle w:val="NoSpacing"/>
        <w:jc w:val="center"/>
      </w:pPr>
    </w:p>
    <w:p w:rsidR="00FD5EBC" w:rsidRDefault="00FD5EBC" w:rsidP="00FD5EBC">
      <w:pPr>
        <w:pStyle w:val="NoSpacing"/>
        <w:jc w:val="center"/>
      </w:pPr>
    </w:p>
    <w:p w:rsidR="00F848A3" w:rsidRDefault="00A64B74" w:rsidP="00FD5EBC">
      <w:pPr>
        <w:pStyle w:val="NoSpacing"/>
        <w:jc w:val="center"/>
      </w:pPr>
      <w:r>
        <w:rPr>
          <w:noProof/>
        </w:rPr>
        <w:drawing>
          <wp:inline distT="0" distB="0" distL="0" distR="0">
            <wp:extent cx="4775252" cy="3362325"/>
            <wp:effectExtent l="19050" t="0" r="6298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565" cy="337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EBC" w:rsidRDefault="00FD5EBC" w:rsidP="00FD5EBC">
      <w:pPr>
        <w:pStyle w:val="NoSpacing"/>
        <w:jc w:val="center"/>
      </w:pPr>
      <w:r>
        <w:t>Figure 4.6: Pressure distribution of a NACA 0012 airfoil at</w:t>
      </w:r>
    </w:p>
    <w:p w:rsidR="00FD5EBC" w:rsidRDefault="00FD5EBC" w:rsidP="00FD5EBC">
      <w:pPr>
        <w:pStyle w:val="NoSpacing"/>
        <w:jc w:val="center"/>
      </w:pPr>
      <w:proofErr w:type="gramStart"/>
      <w:r>
        <w:t>a</w:t>
      </w:r>
      <w:proofErr w:type="gramEnd"/>
      <w:r>
        <w:t xml:space="preserve"> 9 degree angle of attack.</w:t>
      </w:r>
    </w:p>
    <w:p w:rsidR="000D18C5" w:rsidRDefault="000D18C5" w:rsidP="00087416"/>
    <w:p w:rsidR="000D18C5" w:rsidRDefault="000D18C5" w:rsidP="000D18C5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Reynolds number</w:t>
      </w:r>
    </w:p>
    <w:p w:rsidR="000D18C5" w:rsidRPr="006B771A" w:rsidRDefault="000D18C5" w:rsidP="000D18C5">
      <w:pPr>
        <w:rPr>
          <w:rFonts w:eastAsiaTheme="minorEastAsia"/>
        </w:rPr>
      </w:pPr>
      <w:r>
        <w:rPr>
          <w:rFonts w:eastAsiaTheme="minorEastAsia"/>
        </w:rPr>
        <w:t xml:space="preserve">Angle of Attack (deg)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160000</w:t>
      </w:r>
      <w:r>
        <w:rPr>
          <w:rFonts w:eastAsiaTheme="minorEastAsia"/>
        </w:rPr>
        <w:tab/>
        <w:t xml:space="preserve">            360000</w:t>
      </w:r>
    </w:p>
    <w:p w:rsidR="000D18C5" w:rsidRPr="006B771A" w:rsidRDefault="000D18C5" w:rsidP="000D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9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0.0203     0.0167</w:t>
      </w:r>
      <w:r w:rsidRPr="006B771A">
        <w:rPr>
          <w:rFonts w:ascii="Courier New" w:eastAsia="Times New Roman" w:hAnsi="Courier New" w:cs="Courier New"/>
          <w:sz w:val="20"/>
          <w:szCs w:val="20"/>
        </w:rPr>
        <w:br/>
      </w:r>
    </w:p>
    <w:p w:rsidR="000D18C5" w:rsidRPr="006B771A" w:rsidRDefault="000D18C5" w:rsidP="000D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10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0.0188     0.0184</w:t>
      </w:r>
      <w:r w:rsidRPr="006B771A">
        <w:rPr>
          <w:rFonts w:ascii="Courier New" w:eastAsia="Times New Roman" w:hAnsi="Courier New" w:cs="Courier New"/>
          <w:sz w:val="20"/>
          <w:szCs w:val="20"/>
        </w:rPr>
        <w:br/>
      </w:r>
    </w:p>
    <w:p w:rsidR="000D18C5" w:rsidRPr="006B771A" w:rsidRDefault="000D18C5" w:rsidP="000D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11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0.0760     0.0204</w:t>
      </w:r>
      <w:r w:rsidRPr="006B771A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B771A">
        <w:rPr>
          <w:rFonts w:ascii="Courier New" w:eastAsia="Times New Roman" w:hAnsi="Courier New" w:cs="Courier New"/>
          <w:sz w:val="20"/>
          <w:szCs w:val="20"/>
        </w:rPr>
        <w:br/>
      </w:r>
    </w:p>
    <w:p w:rsidR="000D18C5" w:rsidRPr="006B771A" w:rsidRDefault="000D18C5" w:rsidP="000D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12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0.1340     0.0217</w:t>
      </w:r>
      <w:r w:rsidRPr="006B771A">
        <w:rPr>
          <w:rFonts w:ascii="Courier New" w:eastAsia="Times New Roman" w:hAnsi="Courier New" w:cs="Courier New"/>
          <w:sz w:val="20"/>
          <w:szCs w:val="20"/>
        </w:rPr>
        <w:br/>
      </w:r>
    </w:p>
    <w:p w:rsidR="000D18C5" w:rsidRDefault="000D18C5" w:rsidP="000D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13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 0.1520     0.0222</w:t>
      </w:r>
    </w:p>
    <w:p w:rsidR="000D18C5" w:rsidRPr="006B771A" w:rsidRDefault="000D18C5" w:rsidP="000D1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18C5" w:rsidRDefault="000D18C5" w:rsidP="000D18C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4.7: Drag coefficient of a NACA 0012 taken at given Reynolds numbers </w:t>
      </w:r>
      <w:r>
        <w:t>Sandia National Laboratories</w:t>
      </w:r>
    </w:p>
    <w:p w:rsidR="000D18C5" w:rsidRDefault="000D18C5" w:rsidP="000D18C5">
      <w:pPr>
        <w:rPr>
          <w:rFonts w:eastAsiaTheme="minorEastAsia"/>
        </w:rPr>
      </w:pPr>
    </w:p>
    <w:p w:rsidR="000D18C5" w:rsidRDefault="000D18C5" w:rsidP="000D18C5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Reynolds number</w:t>
      </w:r>
    </w:p>
    <w:p w:rsidR="000D18C5" w:rsidRPr="006B771A" w:rsidRDefault="000D18C5" w:rsidP="000D18C5">
      <w:pPr>
        <w:rPr>
          <w:rFonts w:eastAsiaTheme="minorEastAsia"/>
        </w:rPr>
      </w:pPr>
      <w:r>
        <w:rPr>
          <w:rFonts w:eastAsiaTheme="minorEastAsia"/>
        </w:rPr>
        <w:t xml:space="preserve">Angle of Attack (deg)  </w:t>
      </w:r>
      <w:r>
        <w:rPr>
          <w:rFonts w:eastAsiaTheme="minorEastAsia"/>
        </w:rPr>
        <w:tab/>
      </w:r>
      <w:r>
        <w:rPr>
          <w:rFonts w:eastAsiaTheme="minorEastAsia"/>
        </w:rPr>
        <w:tab/>
        <w:t>160000</w:t>
      </w:r>
      <w:r>
        <w:rPr>
          <w:rFonts w:eastAsiaTheme="minorEastAsia"/>
        </w:rPr>
        <w:tab/>
        <w:t xml:space="preserve">            360000</w:t>
      </w:r>
    </w:p>
    <w:p w:rsidR="000D18C5" w:rsidRPr="006B771A" w:rsidRDefault="000D18C5" w:rsidP="000D18C5">
      <w:pPr>
        <w:pStyle w:val="HTMLPreformatted"/>
      </w:pPr>
      <w:r>
        <w:t xml:space="preserve">    9    </w:t>
      </w:r>
      <w:r>
        <w:tab/>
      </w:r>
      <w:r>
        <w:tab/>
        <w:t xml:space="preserve"> 0.8527     0.9352</w:t>
      </w:r>
      <w:r w:rsidRPr="006B771A">
        <w:br/>
      </w:r>
    </w:p>
    <w:p w:rsidR="000D18C5" w:rsidRPr="006B771A" w:rsidRDefault="000D18C5" w:rsidP="000D18C5">
      <w:pPr>
        <w:pStyle w:val="HTMLPreformatted"/>
      </w:pPr>
      <w:r>
        <w:t xml:space="preserve">   10    </w:t>
      </w:r>
      <w:r>
        <w:tab/>
      </w:r>
      <w:r>
        <w:tab/>
        <w:t xml:space="preserve"> 0.1325     0.9811</w:t>
      </w:r>
      <w:r w:rsidRPr="006B771A">
        <w:br/>
      </w:r>
    </w:p>
    <w:p w:rsidR="000D18C5" w:rsidRPr="006B771A" w:rsidRDefault="000D18C5" w:rsidP="000D18C5">
      <w:pPr>
        <w:pStyle w:val="HTMLPreformatted"/>
      </w:pPr>
      <w:r>
        <w:t xml:space="preserve">   11   </w:t>
      </w:r>
      <w:r>
        <w:tab/>
      </w:r>
      <w:r>
        <w:tab/>
        <w:t xml:space="preserve"> 0.1095     0.9132</w:t>
      </w:r>
      <w:r w:rsidRPr="006B771A">
        <w:br/>
      </w:r>
    </w:p>
    <w:p w:rsidR="000D18C5" w:rsidRPr="006B771A" w:rsidRDefault="000D18C5" w:rsidP="000D18C5">
      <w:pPr>
        <w:pStyle w:val="HTMLPreformatted"/>
      </w:pPr>
      <w:r>
        <w:t xml:space="preserve">   12   </w:t>
      </w:r>
      <w:r>
        <w:tab/>
      </w:r>
      <w:r>
        <w:tab/>
        <w:t xml:space="preserve"> 0.1533     0.4832</w:t>
      </w:r>
      <w:r w:rsidRPr="006B771A">
        <w:br/>
      </w:r>
    </w:p>
    <w:p w:rsidR="000D18C5" w:rsidRDefault="000D18C5" w:rsidP="000D18C5">
      <w:pPr>
        <w:pStyle w:val="HTMLPreformatted"/>
      </w:pPr>
      <w:r>
        <w:t xml:space="preserve">   13   </w:t>
      </w:r>
      <w:r>
        <w:tab/>
      </w:r>
      <w:r>
        <w:tab/>
        <w:t xml:space="preserve"> 0.2030     0.2759</w:t>
      </w:r>
    </w:p>
    <w:p w:rsidR="000D18C5" w:rsidRDefault="000D18C5" w:rsidP="000D18C5">
      <w:pPr>
        <w:pStyle w:val="HTMLPreformatted"/>
      </w:pPr>
    </w:p>
    <w:p w:rsidR="000D18C5" w:rsidRDefault="000D18C5" w:rsidP="000D18C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4.8: Lift coefficient of a NACA 0012 at given Reynolds numbers taken at </w:t>
      </w:r>
      <w:r>
        <w:t>Sandia National Laboratories</w:t>
      </w:r>
    </w:p>
    <w:p w:rsidR="000D18C5" w:rsidRDefault="000D18C5" w:rsidP="00087416"/>
    <w:p w:rsidR="000D18C5" w:rsidRDefault="000D18C5" w:rsidP="00087416"/>
    <w:p w:rsidR="00014060" w:rsidRDefault="00FD5EBC" w:rsidP="00087416">
      <w:r>
        <w:t xml:space="preserve">Figure 4.5 is a graph </w:t>
      </w:r>
      <w:r w:rsidR="00B90D02">
        <w:t xml:space="preserve">of the NACA 0012 airfoil and </w:t>
      </w:r>
      <w:r w:rsidR="00F027F0">
        <w:t>its</w:t>
      </w:r>
      <w:r w:rsidR="00B90D02">
        <w:t xml:space="preserve"> calculated pressure coefficients from measurements taken by the “</w:t>
      </w:r>
      <w:r w:rsidR="001C5E88">
        <w:t xml:space="preserve">pressure transducer” at several points around the airfoil. </w:t>
      </w:r>
      <w:r w:rsidR="00D3211D">
        <w:t xml:space="preserve">By inspection, the lower surface </w:t>
      </w:r>
      <w:r w:rsidR="00806F98">
        <w:t>had</w:t>
      </w:r>
      <w:r w:rsidR="00D3211D">
        <w:t xml:space="preserve"> an overall positive pressure coefficient versus the top of the airfoil that had an overall negative pressure coefficient.</w:t>
      </w:r>
      <w:r w:rsidR="00806F98">
        <w:t xml:space="preserve"> </w:t>
      </w:r>
      <w:r w:rsidR="00524743">
        <w:t>Without any rigorous calculations of the airfoil’s lift,</w:t>
      </w:r>
      <w:r w:rsidR="00806F98">
        <w:t xml:space="preserve"> the fact that the pressure on top of the airfoil is less than on the bottom </w:t>
      </w:r>
      <w:r w:rsidR="00524743">
        <w:t>shows that this airfoil does in fact create a lift force at an 11 degree angle of attack. With this in mind, if the lift</w:t>
      </w:r>
      <w:r w:rsidR="00D67573">
        <w:t xml:space="preserve"> coefficient</w:t>
      </w:r>
      <w:r w:rsidR="00524743">
        <w:t xml:space="preserve"> produced by this airfoil is more than the cal</w:t>
      </w:r>
      <w:r w:rsidR="00D67573">
        <w:t xml:space="preserve">culated drag coefficient, then the airfoil </w:t>
      </w:r>
      <w:r w:rsidR="00014060">
        <w:t>would be able to sustain flight under the right conditions</w:t>
      </w:r>
      <w:r w:rsidR="00D67573">
        <w:t xml:space="preserve">. </w:t>
      </w:r>
      <w:r w:rsidR="00014060">
        <w:t xml:space="preserve">The right conditions would be if the lift force created by the airfoil is greater than the weight of the object it’s carrying. </w:t>
      </w:r>
      <w:r w:rsidR="00F65FCA">
        <w:t xml:space="preserve">Actually calculating the lift and drag coefficients </w:t>
      </w:r>
      <w:r w:rsidR="00056C9D">
        <w:t xml:space="preserve">from the data collected can help identify if this airfoil actually produces enough lift. In order to </w:t>
      </w:r>
      <w:r w:rsidR="00A15224">
        <w:t>approximate</w:t>
      </w:r>
      <w:r w:rsidR="00056C9D">
        <w:t xml:space="preserve"> the drag </w:t>
      </w:r>
      <w:r w:rsidR="00056C9D">
        <w:lastRenderedPageBreak/>
        <w:t>coefficient</w:t>
      </w:r>
      <w:r w:rsidR="00A15224">
        <w:t>, integrating the momentum deficit created by the airfoil would produce a good estimate. The simplified equation</w:t>
      </w:r>
      <w:r w:rsidR="00056C9D">
        <w:t>:</w:t>
      </w:r>
    </w:p>
    <w:p w:rsidR="00056C9D" w:rsidRDefault="00EF547E" w:rsidP="000874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= 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U(y)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U(Y)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</m:e>
          </m:nary>
        </m:oMath>
      </m:oMathPara>
    </w:p>
    <w:p w:rsidR="00EF547E" w:rsidRDefault="00EF547E" w:rsidP="00087416">
      <w:r>
        <w:t xml:space="preserve">Since </w:t>
      </w:r>
      <w:proofErr w:type="spellStart"/>
      <w:r>
        <w:t>dy</w:t>
      </w:r>
      <w:proofErr w:type="spellEnd"/>
      <w:r>
        <w:t>, c</w:t>
      </w:r>
      <w:proofErr w:type="gramStart"/>
      <w: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 is known at every point, this was calculated by a computer program with the equation:</w:t>
      </w:r>
    </w:p>
    <w:p w:rsidR="00056C9D" w:rsidRDefault="00056C9D" w:rsidP="00056C9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D = 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2dy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EF547E" w:rsidRDefault="00EF547E" w:rsidP="00087416">
      <w:r>
        <w:t xml:space="preserve">The </w:t>
      </w:r>
      <w:r w:rsidR="009C4CD8">
        <w:t>approximated</w:t>
      </w:r>
      <w:r>
        <w:t xml:space="preserve"> coefficient </w:t>
      </w:r>
      <w:r w:rsidR="009C4CD8">
        <w:t>of drag on</w:t>
      </w:r>
      <w:r>
        <w:t xml:space="preserve"> the airfoil was</w:t>
      </w:r>
      <w:r w:rsidR="009C4CD8">
        <w:t xml:space="preserve"> calculated as</w:t>
      </w:r>
      <w:r>
        <w:t xml:space="preserve"> </w:t>
      </w:r>
      <w:r w:rsidR="009C4CD8">
        <w:t>0.029</w:t>
      </w:r>
      <w:r>
        <w:t>.</w:t>
      </w:r>
    </w:p>
    <w:p w:rsidR="00482132" w:rsidRDefault="00482132" w:rsidP="00087416">
      <w:r>
        <w:t xml:space="preserve">In order to approximate the lift coefficient, a few assumptions had to be made about the lift coefficient </w:t>
      </w:r>
      <w:r w:rsidR="008B06D4">
        <w:t>equation:</w:t>
      </w:r>
    </w:p>
    <w:p w:rsidR="008B06D4" w:rsidRDefault="008B06D4" w:rsidP="00087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cos∝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∝</m:t>
          </m:r>
        </m:oMath>
      </m:oMathPara>
    </w:p>
    <w:p w:rsidR="008B06D4" w:rsidRDefault="008B06D4" w:rsidP="00087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dx 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f,u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f,l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</m:oMath>
      </m:oMathPara>
    </w:p>
    <w:p w:rsidR="008B06D4" w:rsidRDefault="008B06D4" w:rsidP="00087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p,u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p,l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dx 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f,u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f,l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d>
        </m:oMath>
      </m:oMathPara>
    </w:p>
    <w:p w:rsidR="00596F45" w:rsidRDefault="00920EC4" w:rsidP="00087416">
      <w:r>
        <w:t xml:space="preserve">Since the NACA 0012 airfoil is symmetrical about </w:t>
      </w:r>
      <w:proofErr w:type="spellStart"/>
      <w:r>
        <w:t>it’s</w:t>
      </w:r>
      <w:proofErr w:type="spellEnd"/>
      <w:r>
        <w:t xml:space="preserve"> centerline</w:t>
      </w:r>
      <w:r w:rsidR="00D10FE9">
        <w:t xml:space="preserve"> and the Reynolds number is relatively small</w:t>
      </w:r>
      <w:r>
        <w:t xml:space="preserve">, the skin friction coefficient </w:t>
      </w:r>
      <w:r w:rsidR="00D10FE9">
        <w:t>could be estimated to only effect the drag coefficient, thus can be neglected for the purpose of calculating the coefficient of lift.</w:t>
      </w:r>
      <w:r w:rsidR="000E12FC">
        <w:t xml:space="preserve"> Also,</w:t>
      </w:r>
      <w:r w:rsidR="007D259C">
        <w:t xml:space="preserve"> </w:t>
      </w:r>
      <w:r w:rsidR="000E12FC">
        <w:t>the axial force coefficient equation plays a small role because the angle of attack is small and will push the sine function close to zero, so this can be negated as well. This leaves the equation:</w:t>
      </w:r>
    </w:p>
    <w:p w:rsidR="000E12FC" w:rsidRDefault="000E12FC" w:rsidP="00087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p,u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dx</m:t>
              </m:r>
            </m:e>
          </m:d>
          <m:r>
            <w:rPr>
              <w:rFonts w:ascii="Cambria Math" w:eastAsiaTheme="minorEastAsia" w:hAnsi="Cambria Math"/>
            </w:rPr>
            <m:t>cos∝</m:t>
          </m:r>
        </m:oMath>
      </m:oMathPara>
    </w:p>
    <w:p w:rsidR="000E12FC" w:rsidRDefault="000E12FC" w:rsidP="00087416">
      <w:pPr>
        <w:rPr>
          <w:rFonts w:eastAsiaTheme="minorEastAsia"/>
        </w:rPr>
      </w:pPr>
      <w:r>
        <w:rPr>
          <w:rFonts w:eastAsiaTheme="minorEastAsia"/>
        </w:rPr>
        <w:t>Since c</w:t>
      </w:r>
      <w:proofErr w:type="gramStart"/>
      <w:r>
        <w:rPr>
          <w:rFonts w:eastAsiaTheme="minorEastAsia"/>
        </w:rP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p,l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p,u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∝</m:t>
        </m:r>
      </m:oMath>
      <w:r>
        <w:rPr>
          <w:rFonts w:eastAsiaTheme="minorEastAsia"/>
        </w:rPr>
        <w:t xml:space="preserve">, and the average value of </w:t>
      </w:r>
      <w:proofErr w:type="spellStart"/>
      <w:r>
        <w:rPr>
          <w:rFonts w:eastAsiaTheme="minorEastAsia"/>
        </w:rPr>
        <w:t>dx</w:t>
      </w:r>
      <w:proofErr w:type="spellEnd"/>
      <w:r>
        <w:rPr>
          <w:rFonts w:eastAsiaTheme="minorEastAsia"/>
        </w:rPr>
        <w:t xml:space="preserve"> is known, then </w:t>
      </w:r>
      <w:r w:rsidR="009C4CD8">
        <w:rPr>
          <w:rFonts w:eastAsiaTheme="minorEastAsia"/>
        </w:rPr>
        <w:t>the equation evaluated by a computer program is:</w:t>
      </w:r>
    </w:p>
    <w:p w:rsidR="009C4CD8" w:rsidRDefault="009C4CD8" w:rsidP="000874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cos∝dx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i,p,l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i,p,u</m:t>
                      </m:r>
                    </m:sub>
                  </m:sSub>
                </m:e>
              </m:d>
            </m:e>
          </m:nary>
        </m:oMath>
      </m:oMathPara>
    </w:p>
    <w:p w:rsidR="009C4CD8" w:rsidRDefault="009C4CD8" w:rsidP="00087416">
      <w:pPr>
        <w:rPr>
          <w:rFonts w:eastAsiaTheme="minorEastAsia"/>
        </w:rPr>
      </w:pPr>
      <w:r>
        <w:rPr>
          <w:rFonts w:eastAsiaTheme="minorEastAsia"/>
        </w:rPr>
        <w:t>The approximated coefficient of lift on the airfoil was calculated as 0.506.</w:t>
      </w:r>
    </w:p>
    <w:p w:rsidR="00E65BE9" w:rsidRDefault="00616B0A" w:rsidP="00087416">
      <w:pPr>
        <w:rPr>
          <w:rFonts w:eastAsiaTheme="minorEastAsia"/>
        </w:rPr>
      </w:pPr>
      <w:r>
        <w:rPr>
          <w:rFonts w:eastAsiaTheme="minorEastAsia"/>
        </w:rPr>
        <w:t xml:space="preserve">With both the lift and drag coefficient approximated, the lift to drag ratio </w:t>
      </w:r>
      <w:r w:rsidR="0083719A">
        <w:rPr>
          <w:rFonts w:eastAsiaTheme="minorEastAsia"/>
        </w:rPr>
        <w:t>is also approximated to be</w:t>
      </w:r>
      <w:r>
        <w:rPr>
          <w:rFonts w:eastAsiaTheme="minorEastAsia"/>
        </w:rPr>
        <w:t xml:space="preserve"> </w:t>
      </w:r>
      <w:r w:rsidR="00E65BE9" w:rsidRPr="00E65BE9">
        <w:rPr>
          <w:rFonts w:eastAsiaTheme="minorEastAsia"/>
        </w:rPr>
        <w:t>17.76</w:t>
      </w:r>
      <w:r w:rsidR="00E65BE9">
        <w:rPr>
          <w:rFonts w:eastAsiaTheme="minorEastAsia"/>
        </w:rPr>
        <w:t>.</w:t>
      </w:r>
    </w:p>
    <w:p w:rsidR="00DB0753" w:rsidRDefault="00DB0753" w:rsidP="00087416">
      <w:pPr>
        <w:rPr>
          <w:rFonts w:eastAsiaTheme="minorEastAsia"/>
        </w:rPr>
      </w:pPr>
    </w:p>
    <w:p w:rsidR="00616B0A" w:rsidRPr="000E12FC" w:rsidRDefault="00E65BE9" w:rsidP="00087416">
      <w:pPr>
        <w:rPr>
          <w:rFonts w:eastAsiaTheme="minorEastAsia"/>
        </w:rPr>
      </w:pPr>
      <w:r>
        <w:rPr>
          <w:rFonts w:eastAsiaTheme="minorEastAsia"/>
        </w:rPr>
        <w:lastRenderedPageBreak/>
        <w:t>Comparing these results to the ones found in figure 4.</w:t>
      </w:r>
      <w:r w:rsidR="000D18C5">
        <w:rPr>
          <w:rFonts w:eastAsiaTheme="minorEastAsia"/>
        </w:rPr>
        <w:t xml:space="preserve">7 and 4.8, </w:t>
      </w:r>
      <w:r w:rsidR="006034C9">
        <w:rPr>
          <w:rFonts w:eastAsiaTheme="minorEastAsia"/>
        </w:rPr>
        <w:t xml:space="preserve">the individual coefficients differ greatly. Since the lift coefficient </w:t>
      </w:r>
      <w:r w:rsidR="008B2B54">
        <w:rPr>
          <w:rFonts w:eastAsiaTheme="minorEastAsia"/>
        </w:rPr>
        <w:t>data was approximated with such little data, the value could vary greatly and thus giving a wide range of results. The overall lift to drag ratio of this airfoil is a reasonable number for an average airfoil at this Reynolds number.</w:t>
      </w:r>
    </w:p>
    <w:p w:rsidR="00ED300F" w:rsidRDefault="00D67573" w:rsidP="00087416">
      <w:r>
        <w:t xml:space="preserve">The </w:t>
      </w:r>
      <w:r w:rsidR="00994B89">
        <w:t xml:space="preserve">calculated Reynolds number </w:t>
      </w:r>
      <w:r w:rsidR="00FF2A96">
        <w:t>in Figure 4.5</w:t>
      </w:r>
      <w:r w:rsidR="00994B89">
        <w:t xml:space="preserve"> was </w:t>
      </w:r>
      <w:r w:rsidR="00014060">
        <w:t>approximately</w:t>
      </w:r>
      <w:r w:rsidR="00994B89">
        <w:t xml:space="preserve"> 130</w:t>
      </w:r>
      <w:r w:rsidR="00C2190A">
        <w:t>,</w:t>
      </w:r>
      <w:r w:rsidR="00994B89">
        <w:t>000</w:t>
      </w:r>
      <w:r w:rsidR="00524743">
        <w:t xml:space="preserve">, </w:t>
      </w:r>
      <w:r>
        <w:t xml:space="preserve">which must have been </w:t>
      </w:r>
      <w:r w:rsidR="00FF2A96">
        <w:t xml:space="preserve">a </w:t>
      </w:r>
      <w:r w:rsidR="00087416">
        <w:t>lower</w:t>
      </w:r>
      <w:r>
        <w:t xml:space="preserve"> </w:t>
      </w:r>
      <w:r w:rsidR="00FF2A96">
        <w:t>number than the experiment results shown in Figure 4.6</w:t>
      </w:r>
      <w:r>
        <w:t xml:space="preserve">. The reason it must have been </w:t>
      </w:r>
      <w:r w:rsidR="00087416">
        <w:t>lower</w:t>
      </w:r>
      <w:r>
        <w:t xml:space="preserve"> is because the magnitude of the pressure coefficient from </w:t>
      </w:r>
      <w:r w:rsidR="00ED300F">
        <w:t>f</w:t>
      </w:r>
      <w:r w:rsidR="00FF2A96">
        <w:t>igure 4.6</w:t>
      </w:r>
      <w:r>
        <w:t xml:space="preserve"> i</w:t>
      </w:r>
      <w:r w:rsidR="00FF2A96">
        <w:t>s much lower than that</w:t>
      </w:r>
      <w:r w:rsidR="00087416">
        <w:t xml:space="preserve"> </w:t>
      </w:r>
      <w:r w:rsidR="00ED300F">
        <w:t>of</w:t>
      </w:r>
      <w:r w:rsidR="00FF2A96">
        <w:t xml:space="preserve"> </w:t>
      </w:r>
      <w:r w:rsidR="00ED300F">
        <w:t xml:space="preserve">figure </w:t>
      </w:r>
      <w:r w:rsidR="00FF2A96">
        <w:t>4.5.</w:t>
      </w:r>
      <w:r w:rsidR="00087416">
        <w:t xml:space="preserve"> </w:t>
      </w:r>
      <w:r w:rsidR="00FF2A96">
        <w:t>S</w:t>
      </w:r>
      <w:r w:rsidR="00087416">
        <w:t xml:space="preserve">ince the Reynolds number is directly related to the </w:t>
      </w:r>
      <w:r w:rsidR="001C5E88">
        <w:t>free stream</w:t>
      </w:r>
      <w:r w:rsidR="00087416">
        <w:t xml:space="preserve"> velocity and the coefficient of pressure </w:t>
      </w:r>
      <w:r w:rsidR="00FF2A96">
        <w:t xml:space="preserve">is related by the inverse </w:t>
      </w:r>
      <w:r w:rsidR="00087416">
        <w:t xml:space="preserve">square </w:t>
      </w:r>
      <w:r w:rsidR="00FF2A96">
        <w:t>of the</w:t>
      </w:r>
      <w:r w:rsidR="00087416">
        <w:t xml:space="preserve"> </w:t>
      </w:r>
      <w:r w:rsidR="001C5E88">
        <w:t>free stream</w:t>
      </w:r>
      <w:r w:rsidR="00FF2A96">
        <w:t xml:space="preserve"> velocity,</w:t>
      </w:r>
      <w:r w:rsidR="00B90D02">
        <w:t xml:space="preserve"> the magnitudes </w:t>
      </w:r>
      <w:r w:rsidR="00FF2A96">
        <w:t>in 4.6</w:t>
      </w:r>
      <w:r w:rsidR="00ED300F">
        <w:t xml:space="preserve"> will be higher. Also, the experiment in the second figure was done with a 9 degree angle of attack versus an 11 degree angle in the second figure. The results </w:t>
      </w:r>
      <w:r w:rsidR="00F65FCA">
        <w:t>from</w:t>
      </w:r>
      <w:r w:rsidR="00ED300F">
        <w:t xml:space="preserve"> the first figure are proportional to that of figure 4.6</w:t>
      </w:r>
      <w:r w:rsidR="00F65FCA">
        <w:t>, which gives a good indication that the results found in this experiment are indicative of research that has already been done on this airfoil, thus making it a credible computation.</w:t>
      </w:r>
    </w:p>
    <w:p w:rsidR="00524743" w:rsidRDefault="00524743" w:rsidP="006B771A"/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524743" w:rsidRDefault="00524743" w:rsidP="00524743">
      <w:pPr>
        <w:pStyle w:val="ListParagraph"/>
      </w:pPr>
    </w:p>
    <w:p w:rsidR="00087416" w:rsidRDefault="00087416" w:rsidP="00524743"/>
    <w:sectPr w:rsidR="00087416" w:rsidSect="00F8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1C3B"/>
    <w:multiLevelType w:val="hybridMultilevel"/>
    <w:tmpl w:val="65C6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43E"/>
    <w:multiLevelType w:val="hybridMultilevel"/>
    <w:tmpl w:val="6A54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F7E46"/>
    <w:multiLevelType w:val="hybridMultilevel"/>
    <w:tmpl w:val="E744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83B16"/>
    <w:multiLevelType w:val="hybridMultilevel"/>
    <w:tmpl w:val="0BD2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182B"/>
    <w:rsid w:val="00014060"/>
    <w:rsid w:val="00056C9D"/>
    <w:rsid w:val="00060081"/>
    <w:rsid w:val="00087416"/>
    <w:rsid w:val="000A1CC9"/>
    <w:rsid w:val="000D18C5"/>
    <w:rsid w:val="000E12FC"/>
    <w:rsid w:val="001C5E88"/>
    <w:rsid w:val="002027E0"/>
    <w:rsid w:val="00220009"/>
    <w:rsid w:val="00223CE4"/>
    <w:rsid w:val="0025182B"/>
    <w:rsid w:val="0027451A"/>
    <w:rsid w:val="00284129"/>
    <w:rsid w:val="0033197A"/>
    <w:rsid w:val="00337BF8"/>
    <w:rsid w:val="003715DD"/>
    <w:rsid w:val="003A6A27"/>
    <w:rsid w:val="003B3CF6"/>
    <w:rsid w:val="00476D82"/>
    <w:rsid w:val="00482132"/>
    <w:rsid w:val="00486C07"/>
    <w:rsid w:val="004E4539"/>
    <w:rsid w:val="00524743"/>
    <w:rsid w:val="00596F45"/>
    <w:rsid w:val="005D286F"/>
    <w:rsid w:val="005E74CC"/>
    <w:rsid w:val="006034C9"/>
    <w:rsid w:val="00616B0A"/>
    <w:rsid w:val="006B771A"/>
    <w:rsid w:val="006C4235"/>
    <w:rsid w:val="006C7702"/>
    <w:rsid w:val="007B3300"/>
    <w:rsid w:val="007D259C"/>
    <w:rsid w:val="00806F98"/>
    <w:rsid w:val="00807E55"/>
    <w:rsid w:val="0083719A"/>
    <w:rsid w:val="00887083"/>
    <w:rsid w:val="008B06D4"/>
    <w:rsid w:val="008B2B54"/>
    <w:rsid w:val="00920EC4"/>
    <w:rsid w:val="00994B89"/>
    <w:rsid w:val="009C4CD8"/>
    <w:rsid w:val="00A15224"/>
    <w:rsid w:val="00A352C5"/>
    <w:rsid w:val="00A64B74"/>
    <w:rsid w:val="00AE6058"/>
    <w:rsid w:val="00B07F22"/>
    <w:rsid w:val="00B10442"/>
    <w:rsid w:val="00B8466C"/>
    <w:rsid w:val="00B90D02"/>
    <w:rsid w:val="00BC64E3"/>
    <w:rsid w:val="00BD54C9"/>
    <w:rsid w:val="00C2190A"/>
    <w:rsid w:val="00CD2128"/>
    <w:rsid w:val="00D10FE9"/>
    <w:rsid w:val="00D3211D"/>
    <w:rsid w:val="00D513E7"/>
    <w:rsid w:val="00D67573"/>
    <w:rsid w:val="00DB0753"/>
    <w:rsid w:val="00DE507C"/>
    <w:rsid w:val="00E65BE9"/>
    <w:rsid w:val="00E96957"/>
    <w:rsid w:val="00EA2EA1"/>
    <w:rsid w:val="00ED300F"/>
    <w:rsid w:val="00EF547E"/>
    <w:rsid w:val="00F027F0"/>
    <w:rsid w:val="00F65FCA"/>
    <w:rsid w:val="00F848A3"/>
    <w:rsid w:val="00FD5EBC"/>
    <w:rsid w:val="00FF2A96"/>
    <w:rsid w:val="00FF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D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15DD"/>
    <w:rPr>
      <w:color w:val="808080"/>
    </w:rPr>
  </w:style>
  <w:style w:type="paragraph" w:styleId="NoSpacing">
    <w:name w:val="No Spacing"/>
    <w:uiPriority w:val="1"/>
    <w:qFormat/>
    <w:rsid w:val="00FD5EB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BEF4A-2B73-47B9-B8B2-CFA52D657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17</cp:revision>
  <cp:lastPrinted>2010-10-01T05:58:00Z</cp:lastPrinted>
  <dcterms:created xsi:type="dcterms:W3CDTF">2010-09-28T19:10:00Z</dcterms:created>
  <dcterms:modified xsi:type="dcterms:W3CDTF">2010-10-01T11:31:00Z</dcterms:modified>
</cp:coreProperties>
</file>