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A78" w:rsidRDefault="003A2315" w:rsidP="00950A78">
      <w:r>
        <w:t>Problem 2</w:t>
      </w:r>
      <w:r w:rsidR="00950A78">
        <w:t>:</w:t>
      </w:r>
    </w:p>
    <w:p w:rsidR="00950A78" w:rsidRDefault="00950A78" w:rsidP="00950A78">
      <w:proofErr w:type="gramStart"/>
      <w:r>
        <w:t>a</w:t>
      </w:r>
      <w:proofErr w:type="gramEnd"/>
      <w:r>
        <w:t>)</w:t>
      </w:r>
    </w:p>
    <w:p w:rsidR="00950A78" w:rsidRPr="00950A78" w:rsidRDefault="00950A78" w:rsidP="00950A78">
      <m:oMathPara>
        <m:oMath>
          <m:sSub>
            <m:sSubPr>
              <m:ctrlPr>
                <w:rPr>
                  <w:rFonts w:ascii="Cambria Math" w:hAnsi="Cambria Math"/>
                  <w:i/>
                </w:rPr>
              </m:ctrlPr>
            </m:sSubPr>
            <m:e>
              <m:r>
                <w:rPr>
                  <w:rFonts w:ascii="Cambria Math" w:hAnsi="Cambria Math"/>
                </w:rPr>
                <m:t>MR</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350</m:t>
                      </m:r>
                      <m:f>
                        <m:fPr>
                          <m:ctrlPr>
                            <w:rPr>
                              <w:rFonts w:ascii="Cambria Math" w:hAnsi="Cambria Math"/>
                              <w:i/>
                            </w:rPr>
                          </m:ctrlPr>
                        </m:fPr>
                        <m:num>
                          <m:r>
                            <w:rPr>
                              <w:rFonts w:ascii="Cambria Math" w:hAnsi="Cambria Math"/>
                            </w:rPr>
                            <m:t>m</m:t>
                          </m:r>
                        </m:num>
                        <m:den>
                          <m:r>
                            <w:rPr>
                              <w:rFonts w:ascii="Cambria Math" w:hAnsi="Cambria Math"/>
                            </w:rPr>
                            <m:t>s</m:t>
                          </m:r>
                        </m:den>
                      </m:f>
                    </m:num>
                    <m:den>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330 s</m:t>
                          </m:r>
                        </m:e>
                      </m:d>
                    </m:den>
                  </m:f>
                </m:e>
              </m:d>
            </m:sup>
          </m:sSup>
          <m:r>
            <w:rPr>
              <w:rFonts w:ascii="Cambria Math" w:hAnsi="Cambria Math"/>
            </w:rPr>
            <m:t>=</m:t>
          </m:r>
          <m:r>
            <m:rPr>
              <m:sty m:val="bi"/>
            </m:rPr>
            <w:rPr>
              <w:rFonts w:ascii="Cambria Math" w:hAnsi="Cambria Math"/>
            </w:rPr>
            <m:t>1.1</m:t>
          </m:r>
        </m:oMath>
      </m:oMathPara>
    </w:p>
    <w:p w:rsidR="00950A78" w:rsidRDefault="00950A78" w:rsidP="00950A78"/>
    <w:p w:rsidR="00950A78" w:rsidRPr="00950A78" w:rsidRDefault="00950A78" w:rsidP="00950A78">
      <m:oMathPara>
        <m:oMath>
          <m:sSub>
            <m:sSubPr>
              <m:ctrlPr>
                <w:rPr>
                  <w:rFonts w:ascii="Cambria Math" w:hAnsi="Cambria Math"/>
                  <w:i/>
                </w:rPr>
              </m:ctrlPr>
            </m:sSubPr>
            <m:e>
              <m:r>
                <w:rPr>
                  <w:rFonts w:ascii="Cambria Math" w:hAnsi="Cambria Math"/>
                </w:rPr>
                <m:t>MR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250</m:t>
                      </m:r>
                      <m:f>
                        <m:fPr>
                          <m:ctrlPr>
                            <w:rPr>
                              <w:rFonts w:ascii="Cambria Math" w:hAnsi="Cambria Math"/>
                              <w:i/>
                            </w:rPr>
                          </m:ctrlPr>
                        </m:fPr>
                        <m:num>
                          <m:r>
                            <w:rPr>
                              <w:rFonts w:ascii="Cambria Math" w:hAnsi="Cambria Math"/>
                            </w:rPr>
                            <m:t>m</m:t>
                          </m:r>
                        </m:num>
                        <m:den>
                          <m:r>
                            <w:rPr>
                              <w:rFonts w:ascii="Cambria Math" w:hAnsi="Cambria Math"/>
                            </w:rPr>
                            <m:t>s</m:t>
                          </m:r>
                        </m:den>
                      </m:f>
                    </m:num>
                    <m:den>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330 s</m:t>
                          </m:r>
                        </m:e>
                      </m:d>
                    </m:den>
                  </m:f>
                </m:e>
              </m:d>
            </m:sup>
          </m:sSup>
          <m:r>
            <w:rPr>
              <w:rFonts w:ascii="Cambria Math" w:hAnsi="Cambria Math"/>
            </w:rPr>
            <m:t>=</m:t>
          </m:r>
          <m:r>
            <m:rPr>
              <m:sty m:val="bi"/>
            </m:rPr>
            <w:rPr>
              <w:rFonts w:ascii="Cambria Math" w:hAnsi="Cambria Math"/>
            </w:rPr>
            <m:t>1.1</m:t>
          </m:r>
        </m:oMath>
      </m:oMathPara>
    </w:p>
    <w:p w:rsidR="00950A78" w:rsidRDefault="00950A78" w:rsidP="00950A78"/>
    <w:p w:rsidR="00950A78" w:rsidRPr="00950A78" w:rsidRDefault="00950A78" w:rsidP="00950A78">
      <m:oMathPara>
        <m:oMath>
          <m:sSub>
            <m:sSubPr>
              <m:ctrlPr>
                <w:rPr>
                  <w:rFonts w:ascii="Cambria Math" w:hAnsi="Cambria Math"/>
                  <w:i/>
                </w:rPr>
              </m:ctrlPr>
            </m:sSubPr>
            <m:e>
              <m:r>
                <w:rPr>
                  <w:rFonts w:ascii="Cambria Math" w:hAnsi="Cambria Math"/>
                </w:rPr>
                <m:t>MR</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500</m:t>
                      </m:r>
                      <m:f>
                        <m:fPr>
                          <m:ctrlPr>
                            <w:rPr>
                              <w:rFonts w:ascii="Cambria Math" w:hAnsi="Cambria Math"/>
                              <w:i/>
                            </w:rPr>
                          </m:ctrlPr>
                        </m:fPr>
                        <m:num>
                          <m:r>
                            <w:rPr>
                              <w:rFonts w:ascii="Cambria Math" w:hAnsi="Cambria Math"/>
                            </w:rPr>
                            <m:t>m</m:t>
                          </m:r>
                        </m:num>
                        <m:den>
                          <m:r>
                            <w:rPr>
                              <w:rFonts w:ascii="Cambria Math" w:hAnsi="Cambria Math"/>
                            </w:rPr>
                            <m:t>s</m:t>
                          </m:r>
                        </m:den>
                      </m:f>
                    </m:num>
                    <m:den>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330 s</m:t>
                          </m:r>
                        </m:e>
                      </m:d>
                    </m:den>
                  </m:f>
                </m:e>
              </m:d>
            </m:sup>
          </m:sSup>
          <m:r>
            <w:rPr>
              <w:rFonts w:ascii="Cambria Math" w:hAnsi="Cambria Math"/>
            </w:rPr>
            <m:t>=</m:t>
          </m:r>
          <m:r>
            <m:rPr>
              <m:sty m:val="bi"/>
            </m:rPr>
            <w:rPr>
              <w:rFonts w:ascii="Cambria Math" w:hAnsi="Cambria Math"/>
            </w:rPr>
            <m:t>1.2</m:t>
          </m:r>
        </m:oMath>
      </m:oMathPara>
    </w:p>
    <w:p w:rsidR="004D2A95" w:rsidRDefault="004D2A95" w:rsidP="00950A78"/>
    <w:p w:rsidR="00950A78" w:rsidRDefault="004D2A95" w:rsidP="00950A78">
      <w:proofErr w:type="gramStart"/>
      <w:r>
        <w:t>b</w:t>
      </w:r>
      <w:proofErr w:type="gramEnd"/>
      <w:r>
        <w:t>)</w:t>
      </w:r>
    </w:p>
    <w:p w:rsidR="003A2315" w:rsidRDefault="003A2315" w:rsidP="00950A78"/>
    <w:p w:rsidR="003A2315" w:rsidRDefault="003A2315" w:rsidP="00950A78"/>
    <w:p w:rsidR="004D2A95" w:rsidRPr="0060035B" w:rsidRDefault="00DB1A92" w:rsidP="00950A78">
      <w:pPr>
        <w:rPr>
          <w:b/>
        </w:rPr>
      </w:pPr>
      <w:r w:rsidRPr="0060035B">
        <w:rPr>
          <w:b/>
        </w:rPr>
        <w:t xml:space="preserve">Table 1: Payload mass fractions for a generic </w:t>
      </w:r>
      <w:r w:rsidR="004E426F" w:rsidRPr="0060035B">
        <w:rPr>
          <w:b/>
        </w:rPr>
        <w:t>two-probe satellite.</w:t>
      </w:r>
    </w:p>
    <w:tbl>
      <w:tblPr>
        <w:tblW w:w="8440" w:type="dxa"/>
        <w:tblInd w:w="93" w:type="dxa"/>
        <w:tblLook w:val="04A0" w:firstRow="1" w:lastRow="0" w:firstColumn="1" w:lastColumn="0" w:noHBand="0" w:noVBand="1"/>
      </w:tblPr>
      <w:tblGrid>
        <w:gridCol w:w="3740"/>
        <w:gridCol w:w="1260"/>
        <w:gridCol w:w="1160"/>
        <w:gridCol w:w="1140"/>
        <w:gridCol w:w="1140"/>
      </w:tblGrid>
      <w:tr w:rsidR="00DB1A92" w:rsidRPr="00DB1A92" w:rsidTr="00DB1A92">
        <w:trPr>
          <w:trHeight w:val="300"/>
        </w:trPr>
        <w:tc>
          <w:tcPr>
            <w:tcW w:w="3740" w:type="dxa"/>
            <w:tcBorders>
              <w:top w:val="nil"/>
              <w:left w:val="nil"/>
              <w:bottom w:val="double" w:sz="6" w:space="0" w:color="auto"/>
              <w:right w:val="nil"/>
            </w:tcBorders>
            <w:shd w:val="clear" w:color="auto" w:fill="auto"/>
            <w:noWrap/>
            <w:vAlign w:val="bottom"/>
            <w:hideMark/>
          </w:tcPr>
          <w:p w:rsidR="00DB1A92" w:rsidRPr="00DB1A92" w:rsidRDefault="00DB1A92" w:rsidP="00DB1A92">
            <w:pPr>
              <w:ind w:right="-73"/>
              <w:rPr>
                <w:rFonts w:ascii="Calibri" w:eastAsia="Times New Roman" w:hAnsi="Calibri" w:cs="Times New Roman"/>
                <w:color w:val="000000"/>
                <w:sz w:val="22"/>
                <w:szCs w:val="22"/>
              </w:rPr>
            </w:pPr>
          </w:p>
        </w:tc>
        <w:tc>
          <w:tcPr>
            <w:tcW w:w="126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r w:rsidRPr="00DB1A92">
              <w:rPr>
                <w:rFonts w:ascii="Calibri" w:eastAsia="Times New Roman" w:hAnsi="Calibri"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r w:rsidRPr="00DB1A92">
              <w:rPr>
                <w:rFonts w:ascii="Calibri" w:eastAsia="Times New Roman" w:hAnsi="Calibri"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r w:rsidRPr="00DB1A92">
              <w:rPr>
                <w:rFonts w:ascii="Calibri" w:eastAsia="Times New Roman" w:hAnsi="Calibri"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r w:rsidRPr="00DB1A92">
              <w:rPr>
                <w:rFonts w:ascii="Calibri" w:eastAsia="Times New Roman" w:hAnsi="Calibri" w:cs="Times New Roman"/>
                <w:color w:val="000000"/>
                <w:sz w:val="22"/>
                <w:szCs w:val="22"/>
              </w:rPr>
              <w:t> </w:t>
            </w:r>
          </w:p>
        </w:tc>
      </w:tr>
      <w:tr w:rsidR="00DB1A92" w:rsidRPr="00DB1A92" w:rsidTr="00DB1A92">
        <w:trPr>
          <w:trHeight w:val="300"/>
        </w:trPr>
        <w:tc>
          <w:tcPr>
            <w:tcW w:w="37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26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Level 2</w:t>
            </w:r>
          </w:p>
        </w:tc>
        <w:tc>
          <w:tcPr>
            <w:tcW w:w="114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Level 1</w:t>
            </w:r>
          </w:p>
        </w:tc>
      </w:tr>
      <w:tr w:rsidR="00DB1A92" w:rsidRPr="00DB1A92" w:rsidTr="00DB1A92">
        <w:trPr>
          <w:trHeight w:val="280"/>
        </w:trPr>
        <w:tc>
          <w:tcPr>
            <w:tcW w:w="3740" w:type="dxa"/>
            <w:tcBorders>
              <w:top w:val="nil"/>
              <w:left w:val="nil"/>
              <w:bottom w:val="single" w:sz="4" w:space="0" w:color="auto"/>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CBE</w:t>
            </w:r>
          </w:p>
        </w:tc>
        <w:tc>
          <w:tcPr>
            <w:tcW w:w="116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Cont.</w:t>
            </w:r>
          </w:p>
        </w:tc>
        <w:tc>
          <w:tcPr>
            <w:tcW w:w="1140" w:type="dxa"/>
            <w:tcBorders>
              <w:top w:val="nil"/>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Allocated</w:t>
            </w:r>
          </w:p>
        </w:tc>
        <w:tc>
          <w:tcPr>
            <w:tcW w:w="1140" w:type="dxa"/>
            <w:tcBorders>
              <w:top w:val="single" w:sz="4" w:space="0" w:color="auto"/>
              <w:left w:val="nil"/>
              <w:bottom w:val="single" w:sz="4" w:space="0" w:color="auto"/>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1.0 Payload</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500.0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1.1 Probes </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450.0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1.1.1 Probe 1</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250.0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1.1.2 Probe 2</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200.0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1.2 Probe Mounting Hardware</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50.0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2.0 Spacecraft Bus (dry)</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1161.5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2.1 Propellant Tanks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56.0 kg</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5.6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61.5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2.2 All other subsystems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1000.0 kg</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100.0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1100.0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3.0 Spacecraft Dry Mass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1661.5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4.0 Consumables </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0.0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5.0 Propellant</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559.5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5.1 Propellant for first burn</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227.6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5.2 Propellant for second burn</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129.6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ind w:firstLineChars="100" w:firstLine="200"/>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5.3 Propellant for third burn</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60" w:type="dxa"/>
            <w:tcBorders>
              <w:top w:val="nil"/>
              <w:left w:val="nil"/>
              <w:bottom w:val="nil"/>
              <w:right w:val="nil"/>
            </w:tcBorders>
            <w:shd w:val="clear" w:color="auto" w:fill="auto"/>
            <w:noWrap/>
            <w:vAlign w:val="bottom"/>
            <w:hideMark/>
          </w:tcPr>
          <w:p w:rsidR="00DB1A92" w:rsidRPr="00DB1A92" w:rsidRDefault="00DB1A92" w:rsidP="00DB1A92">
            <w:pPr>
              <w:jc w:val="cente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202.3 kg</w:t>
            </w: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6.0 Loaded Mass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2221.1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7.0 Kick Stage</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0.0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8.0 Injected Mass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2221.1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9.0 Launch Vehicle Adapter</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75.0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10.0 Boosted Mass</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2296.1 kg</w:t>
            </w:r>
          </w:p>
        </w:tc>
      </w:tr>
      <w:tr w:rsidR="00DB1A92" w:rsidRPr="00DB1A92" w:rsidTr="00DB1A92">
        <w:trPr>
          <w:trHeight w:val="280"/>
        </w:trPr>
        <w:tc>
          <w:tcPr>
            <w:tcW w:w="3740" w:type="dxa"/>
            <w:tcBorders>
              <w:top w:val="nil"/>
              <w:left w:val="nil"/>
              <w:bottom w:val="nil"/>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11.0 Margin</w:t>
            </w: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703.9 kg</w:t>
            </w:r>
          </w:p>
        </w:tc>
      </w:tr>
      <w:tr w:rsidR="00DB1A92" w:rsidRPr="00DB1A92" w:rsidTr="00DB1A92">
        <w:trPr>
          <w:trHeight w:val="300"/>
        </w:trPr>
        <w:tc>
          <w:tcPr>
            <w:tcW w:w="3740" w:type="dxa"/>
            <w:tcBorders>
              <w:top w:val="nil"/>
              <w:left w:val="nil"/>
              <w:bottom w:val="double" w:sz="6" w:space="0" w:color="auto"/>
              <w:right w:val="nil"/>
            </w:tcBorders>
            <w:shd w:val="clear" w:color="auto" w:fill="auto"/>
            <w:vAlign w:val="bottom"/>
            <w:hideMark/>
          </w:tcPr>
          <w:p w:rsidR="00DB1A92" w:rsidRPr="00DB1A92" w:rsidRDefault="00DB1A92" w:rsidP="00DB1A92">
            <w:pPr>
              <w:rPr>
                <w:rFonts w:ascii="Times New Roman" w:eastAsia="Times New Roman" w:hAnsi="Times New Roman" w:cs="Times New Roman"/>
                <w:color w:val="000000"/>
                <w:sz w:val="20"/>
                <w:szCs w:val="20"/>
              </w:rPr>
            </w:pPr>
            <w:r w:rsidRPr="00DB1A92">
              <w:rPr>
                <w:rFonts w:ascii="Times New Roman" w:eastAsia="Times New Roman" w:hAnsi="Times New Roman" w:cs="Times New Roman"/>
                <w:color w:val="000000"/>
                <w:sz w:val="20"/>
                <w:szCs w:val="20"/>
              </w:rPr>
              <w:t xml:space="preserve"> 12.0 Total Launch Vehicle Capacity</w:t>
            </w:r>
          </w:p>
        </w:tc>
        <w:tc>
          <w:tcPr>
            <w:tcW w:w="126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DB1A92" w:rsidRPr="00DB1A92" w:rsidRDefault="00DB1A92" w:rsidP="00DB1A92">
            <w:pPr>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DB1A92" w:rsidRPr="00DB1A92" w:rsidRDefault="00DB1A92" w:rsidP="00DB1A92">
            <w:pPr>
              <w:jc w:val="right"/>
              <w:rPr>
                <w:rFonts w:ascii="Times New Roman" w:eastAsia="Times New Roman" w:hAnsi="Times New Roman" w:cs="Times New Roman"/>
                <w:color w:val="000000"/>
                <w:sz w:val="22"/>
                <w:szCs w:val="22"/>
              </w:rPr>
            </w:pPr>
            <w:r w:rsidRPr="00DB1A92">
              <w:rPr>
                <w:rFonts w:ascii="Times New Roman" w:eastAsia="Times New Roman" w:hAnsi="Times New Roman" w:cs="Times New Roman"/>
                <w:color w:val="000000"/>
                <w:sz w:val="22"/>
                <w:szCs w:val="22"/>
              </w:rPr>
              <w:t>3000.0 kg</w:t>
            </w:r>
          </w:p>
        </w:tc>
      </w:tr>
      <w:tr w:rsidR="00DB1A92" w:rsidRPr="00DB1A92" w:rsidTr="00DB1A92">
        <w:trPr>
          <w:trHeight w:val="280"/>
        </w:trPr>
        <w:tc>
          <w:tcPr>
            <w:tcW w:w="3740" w:type="dxa"/>
            <w:tcBorders>
              <w:top w:val="nil"/>
              <w:left w:val="nil"/>
              <w:bottom w:val="nil"/>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DB1A92" w:rsidRPr="00DB1A92" w:rsidRDefault="00DB1A92" w:rsidP="00DB1A92">
            <w:pPr>
              <w:rPr>
                <w:rFonts w:ascii="Calibri" w:eastAsia="Times New Roman" w:hAnsi="Calibri" w:cs="Times New Roman"/>
                <w:color w:val="000000"/>
                <w:sz w:val="22"/>
                <w:szCs w:val="22"/>
              </w:rPr>
            </w:pPr>
          </w:p>
        </w:tc>
      </w:tr>
    </w:tbl>
    <w:p w:rsidR="004D2A95" w:rsidRDefault="004D2A95" w:rsidP="00950A78"/>
    <w:p w:rsidR="004D2A95" w:rsidRDefault="004D2A95" w:rsidP="00950A78"/>
    <w:p w:rsidR="004D2A95" w:rsidRDefault="004D2A95" w:rsidP="00950A78"/>
    <w:p w:rsidR="004D2A95" w:rsidRDefault="004D2A95" w:rsidP="00950A78">
      <w:proofErr w:type="gramStart"/>
      <w:r>
        <w:lastRenderedPageBreak/>
        <w:t>c</w:t>
      </w:r>
      <w:proofErr w:type="gramEnd"/>
      <w:r>
        <w:t>)</w:t>
      </w:r>
      <w:bookmarkStart w:id="0" w:name="_GoBack"/>
      <w:bookmarkEnd w:id="0"/>
    </w:p>
    <w:p w:rsidR="004D2A95" w:rsidRPr="00DB1A92" w:rsidRDefault="004D2A95" w:rsidP="00950A78">
      <m:oMathPara>
        <m:oMath>
          <m:r>
            <w:rPr>
              <w:rFonts w:ascii="Cambria Math" w:hAnsi="Cambria Math"/>
            </w:rPr>
            <m:t xml:space="preserve">Mass Margin Percentage= </m:t>
          </m:r>
          <m:f>
            <m:fPr>
              <m:ctrlPr>
                <w:rPr>
                  <w:rFonts w:ascii="Cambria Math" w:hAnsi="Cambria Math"/>
                  <w:i/>
                </w:rPr>
              </m:ctrlPr>
            </m:fPr>
            <m:num>
              <m:r>
                <w:rPr>
                  <w:rFonts w:ascii="Cambria Math" w:hAnsi="Cambria Math"/>
                </w:rPr>
                <m:t>703.9 kg</m:t>
              </m:r>
            </m:num>
            <m:den>
              <m:r>
                <w:rPr>
                  <w:rFonts w:ascii="Cambria Math" w:hAnsi="Cambria Math"/>
                </w:rPr>
                <m:t>2296.1 kg</m:t>
              </m:r>
            </m:den>
          </m:f>
          <m:r>
            <w:rPr>
              <w:rFonts w:ascii="Cambria Math" w:hAnsi="Cambria Math"/>
            </w:rPr>
            <m:t xml:space="preserve">× </m:t>
          </m:r>
          <m:d>
            <m:dPr>
              <m:ctrlPr>
                <w:rPr>
                  <w:rFonts w:ascii="Cambria Math" w:hAnsi="Cambria Math"/>
                  <w:i/>
                </w:rPr>
              </m:ctrlPr>
            </m:dPr>
            <m:e>
              <m:r>
                <w:rPr>
                  <w:rFonts w:ascii="Cambria Math" w:hAnsi="Cambria Math"/>
                </w:rPr>
                <m:t>100%</m:t>
              </m:r>
            </m:e>
          </m:d>
          <m:r>
            <w:rPr>
              <w:rFonts w:ascii="Cambria Math" w:hAnsi="Cambria Math"/>
            </w:rPr>
            <m:t>=</m:t>
          </m:r>
          <m:r>
            <m:rPr>
              <m:sty m:val="bi"/>
            </m:rPr>
            <w:rPr>
              <w:rFonts w:ascii="Cambria Math" w:hAnsi="Cambria Math"/>
            </w:rPr>
            <m:t>30.66%</m:t>
          </m:r>
        </m:oMath>
      </m:oMathPara>
    </w:p>
    <w:p w:rsidR="00DB1A92" w:rsidRDefault="00DB1A92" w:rsidP="00950A78"/>
    <w:p w:rsidR="0060035B" w:rsidRDefault="0060035B" w:rsidP="00950A78"/>
    <w:p w:rsidR="00DB1A92" w:rsidRDefault="00DB1A92" w:rsidP="00950A78">
      <w:r>
        <w:t xml:space="preserve">This percentage is just about right because this analysis is a quick pre-phase </w:t>
      </w:r>
      <w:proofErr w:type="gramStart"/>
      <w:r>
        <w:t>A</w:t>
      </w:r>
      <w:proofErr w:type="gramEnd"/>
      <w:r>
        <w:t xml:space="preserve"> calculation which should be between 25%-35% margin for the mass.</w:t>
      </w:r>
    </w:p>
    <w:p w:rsidR="00DB1A92" w:rsidRDefault="00DB1A92" w:rsidP="00950A78"/>
    <w:p w:rsidR="00DB1A92" w:rsidRDefault="00DB1A92" w:rsidP="00950A78">
      <w:r>
        <w:t>d)</w:t>
      </w:r>
      <w:r w:rsidR="003A2315">
        <w:t xml:space="preserve"> Adding 50 kg to probe 1 indirectly increases the mass of the spacecraft by 56.6 kg. If the specifications changed to instead add 50 kg to probe 2, the indirect mass increase is more like 61.8kg. The main reason for the extra costs associated with adding mass, is the fuel it will take to move the extra mass. The difference between the two cases comes with when the probes are released, in the first </w:t>
      </w:r>
      <w:proofErr w:type="gramStart"/>
      <w:r w:rsidR="003A2315">
        <w:t>case,</w:t>
      </w:r>
      <w:proofErr w:type="gramEnd"/>
      <w:r w:rsidR="003A2315">
        <w:t xml:space="preserve"> the spacecraft needs to carry the extra weight for one less burn period than the second case. </w:t>
      </w:r>
    </w:p>
    <w:p w:rsidR="003A2315" w:rsidRDefault="003A2315" w:rsidP="00950A78"/>
    <w:p w:rsidR="003A2315" w:rsidRDefault="003A2315" w:rsidP="00950A78"/>
    <w:p w:rsidR="003A2315" w:rsidRDefault="003A2315" w:rsidP="00950A78"/>
    <w:p w:rsidR="003A2315" w:rsidRDefault="003A2315" w:rsidP="00950A78"/>
    <w:p w:rsidR="0060035B" w:rsidRDefault="0060035B">
      <w:r>
        <w:br w:type="page"/>
      </w:r>
    </w:p>
    <w:p w:rsidR="003A2315" w:rsidRDefault="003A2315" w:rsidP="00950A78">
      <w:r>
        <w:t>Problem 3:</w:t>
      </w:r>
    </w:p>
    <w:p w:rsidR="003A2315" w:rsidRDefault="003A2315" w:rsidP="00950A78"/>
    <w:p w:rsidR="003A2315" w:rsidRDefault="004E426F" w:rsidP="00950A78">
      <w:proofErr w:type="gramStart"/>
      <w:r>
        <w:t>a</w:t>
      </w:r>
      <w:proofErr w:type="gramEnd"/>
      <w:r>
        <w:t>)</w:t>
      </w:r>
    </w:p>
    <w:p w:rsidR="004E426F" w:rsidRDefault="004E426F" w:rsidP="00950A78"/>
    <w:p w:rsidR="004E426F" w:rsidRPr="0060035B" w:rsidRDefault="004E426F" w:rsidP="00950A78">
      <w:pPr>
        <w:rPr>
          <w:b/>
        </w:rPr>
      </w:pPr>
      <w:r w:rsidRPr="0060035B">
        <w:rPr>
          <w:b/>
        </w:rPr>
        <w:t>Table 2: Delta V budget for weather satellite.</w:t>
      </w:r>
    </w:p>
    <w:tbl>
      <w:tblPr>
        <w:tblW w:w="8260" w:type="dxa"/>
        <w:tblInd w:w="93" w:type="dxa"/>
        <w:tblLook w:val="04A0" w:firstRow="1" w:lastRow="0" w:firstColumn="1" w:lastColumn="0" w:noHBand="0" w:noVBand="1"/>
      </w:tblPr>
      <w:tblGrid>
        <w:gridCol w:w="3740"/>
        <w:gridCol w:w="1160"/>
        <w:gridCol w:w="1060"/>
        <w:gridCol w:w="1140"/>
        <w:gridCol w:w="1160"/>
      </w:tblGrid>
      <w:tr w:rsidR="004E426F" w:rsidRPr="004E426F" w:rsidTr="004E426F">
        <w:trPr>
          <w:trHeight w:val="300"/>
        </w:trPr>
        <w:tc>
          <w:tcPr>
            <w:tcW w:w="374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0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r>
      <w:tr w:rsidR="004E426F" w:rsidRPr="004E426F" w:rsidTr="004E426F">
        <w:trPr>
          <w:trHeight w:val="300"/>
        </w:trPr>
        <w:tc>
          <w:tcPr>
            <w:tcW w:w="3740" w:type="dxa"/>
            <w:tcBorders>
              <w:top w:val="nil"/>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CBE</w:t>
            </w:r>
          </w:p>
        </w:tc>
        <w:tc>
          <w:tcPr>
            <w:tcW w:w="1060" w:type="dxa"/>
            <w:tcBorders>
              <w:top w:val="nil"/>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Cont.</w:t>
            </w:r>
          </w:p>
        </w:tc>
        <w:tc>
          <w:tcPr>
            <w:tcW w:w="1140" w:type="dxa"/>
            <w:tcBorders>
              <w:top w:val="nil"/>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Allocated</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Level 1</w:t>
            </w:r>
          </w:p>
        </w:tc>
      </w:tr>
      <w:tr w:rsidR="004E426F" w:rsidRPr="004E426F" w:rsidTr="004E426F">
        <w:trPr>
          <w:trHeight w:val="280"/>
        </w:trPr>
        <w:tc>
          <w:tcPr>
            <w:tcW w:w="37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xml:space="preserve">Allocated </w:t>
            </w:r>
            <w:proofErr w:type="spellStart"/>
            <w:r w:rsidRPr="004E426F">
              <w:rPr>
                <w:rFonts w:ascii="Calibri" w:eastAsia="Times New Roman" w:hAnsi="Calibri" w:cs="Times New Roman"/>
                <w:color w:val="000000"/>
                <w:sz w:val="22"/>
                <w:szCs w:val="22"/>
              </w:rPr>
              <w:t>dV</w:t>
            </w:r>
            <w:proofErr w:type="spellEnd"/>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single" w:sz="4" w:space="0" w:color="auto"/>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330.0 m/s</w:t>
            </w:r>
          </w:p>
        </w:tc>
      </w:tr>
      <w:tr w:rsidR="004E426F" w:rsidRPr="004E426F" w:rsidTr="004E426F">
        <w:trPr>
          <w:trHeight w:val="280"/>
        </w:trPr>
        <w:tc>
          <w:tcPr>
            <w:tcW w:w="3740" w:type="dxa"/>
            <w:tcBorders>
              <w:top w:val="nil"/>
              <w:left w:val="nil"/>
              <w:bottom w:val="nil"/>
              <w:right w:val="nil"/>
            </w:tcBorders>
            <w:shd w:val="clear" w:color="auto" w:fill="auto"/>
            <w:noWrap/>
            <w:vAlign w:val="bottom"/>
            <w:hideMark/>
          </w:tcPr>
          <w:p w:rsidR="004E426F" w:rsidRPr="004E426F" w:rsidRDefault="004E426F" w:rsidP="004E426F">
            <w:pPr>
              <w:ind w:firstLineChars="200" w:firstLine="440"/>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Orbital Maneuvering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200.0 m/s</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20.0 m/s</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220.0 m/s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noWrap/>
            <w:vAlign w:val="bottom"/>
            <w:hideMark/>
          </w:tcPr>
          <w:p w:rsidR="004E426F" w:rsidRPr="004E426F" w:rsidRDefault="004E426F" w:rsidP="004E426F">
            <w:pPr>
              <w:ind w:firstLineChars="200" w:firstLine="440"/>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Station Keeping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100.0 m/s</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10.0 m/s</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110.0 m/s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roofErr w:type="gramStart"/>
            <w:r w:rsidRPr="004E426F">
              <w:rPr>
                <w:rFonts w:ascii="Calibri" w:eastAsia="Times New Roman" w:hAnsi="Calibri" w:cs="Times New Roman"/>
                <w:color w:val="000000"/>
                <w:sz w:val="22"/>
                <w:szCs w:val="22"/>
              </w:rPr>
              <w:t>Margin(</w:t>
            </w:r>
            <w:proofErr w:type="gramEnd"/>
            <w:r w:rsidRPr="004E426F">
              <w:rPr>
                <w:rFonts w:ascii="Calibri" w:eastAsia="Times New Roman" w:hAnsi="Calibri" w:cs="Times New Roman"/>
                <w:color w:val="000000"/>
                <w:sz w:val="22"/>
                <w:szCs w:val="22"/>
              </w:rPr>
              <w:t>30%)</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99.0 m/s</w:t>
            </w:r>
          </w:p>
        </w:tc>
      </w:tr>
      <w:tr w:rsidR="004E426F" w:rsidRPr="004E426F" w:rsidTr="004E426F">
        <w:trPr>
          <w:trHeight w:val="300"/>
        </w:trPr>
        <w:tc>
          <w:tcPr>
            <w:tcW w:w="374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xml:space="preserve">Total </w:t>
            </w:r>
            <w:proofErr w:type="spellStart"/>
            <w:r w:rsidRPr="004E426F">
              <w:rPr>
                <w:rFonts w:ascii="Calibri" w:eastAsia="Times New Roman" w:hAnsi="Calibri" w:cs="Times New Roman"/>
                <w:color w:val="000000"/>
                <w:sz w:val="22"/>
                <w:szCs w:val="22"/>
              </w:rPr>
              <w:t>dV</w:t>
            </w:r>
            <w:proofErr w:type="spellEnd"/>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0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429.0 m/s</w:t>
            </w:r>
          </w:p>
        </w:tc>
      </w:tr>
      <w:tr w:rsidR="004E426F" w:rsidRPr="004E426F" w:rsidTr="004E426F">
        <w:trPr>
          <w:trHeight w:val="300"/>
        </w:trPr>
        <w:tc>
          <w:tcPr>
            <w:tcW w:w="37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bl>
    <w:p w:rsidR="0060035B" w:rsidRDefault="0060035B" w:rsidP="00950A78"/>
    <w:p w:rsidR="003A2315" w:rsidRDefault="004E426F" w:rsidP="00950A78">
      <w:proofErr w:type="gramStart"/>
      <w:r>
        <w:t>b</w:t>
      </w:r>
      <w:proofErr w:type="gramEnd"/>
      <w:r>
        <w:t>)</w:t>
      </w:r>
    </w:p>
    <w:p w:rsidR="004E426F" w:rsidRDefault="004E426F" w:rsidP="00950A78"/>
    <w:p w:rsidR="004E426F" w:rsidRPr="0060035B" w:rsidRDefault="004E426F" w:rsidP="00950A78">
      <w:pPr>
        <w:rPr>
          <w:b/>
        </w:rPr>
      </w:pPr>
      <w:r w:rsidRPr="0060035B">
        <w:rPr>
          <w:b/>
        </w:rPr>
        <w:t>Table 3: Payload mass fractions for weather satellite.</w:t>
      </w:r>
    </w:p>
    <w:tbl>
      <w:tblPr>
        <w:tblW w:w="8260" w:type="dxa"/>
        <w:tblInd w:w="93" w:type="dxa"/>
        <w:tblLook w:val="04A0" w:firstRow="1" w:lastRow="0" w:firstColumn="1" w:lastColumn="0" w:noHBand="0" w:noVBand="1"/>
      </w:tblPr>
      <w:tblGrid>
        <w:gridCol w:w="3740"/>
        <w:gridCol w:w="1160"/>
        <w:gridCol w:w="1060"/>
        <w:gridCol w:w="1140"/>
        <w:gridCol w:w="1160"/>
      </w:tblGrid>
      <w:tr w:rsidR="004E426F" w:rsidRPr="004E426F" w:rsidTr="004E426F">
        <w:trPr>
          <w:trHeight w:val="300"/>
        </w:trPr>
        <w:tc>
          <w:tcPr>
            <w:tcW w:w="37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300"/>
        </w:trPr>
        <w:tc>
          <w:tcPr>
            <w:tcW w:w="3740" w:type="dxa"/>
            <w:tcBorders>
              <w:top w:val="double" w:sz="6" w:space="0" w:color="auto"/>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double" w:sz="6" w:space="0" w:color="auto"/>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CBE</w:t>
            </w:r>
          </w:p>
        </w:tc>
        <w:tc>
          <w:tcPr>
            <w:tcW w:w="1060" w:type="dxa"/>
            <w:tcBorders>
              <w:top w:val="double" w:sz="6" w:space="0" w:color="auto"/>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Cont.</w:t>
            </w:r>
          </w:p>
        </w:tc>
        <w:tc>
          <w:tcPr>
            <w:tcW w:w="1140" w:type="dxa"/>
            <w:tcBorders>
              <w:top w:val="double" w:sz="6" w:space="0" w:color="auto"/>
              <w:left w:val="nil"/>
              <w:bottom w:val="single" w:sz="4"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Allocated</w:t>
            </w:r>
          </w:p>
        </w:tc>
        <w:tc>
          <w:tcPr>
            <w:tcW w:w="1160" w:type="dxa"/>
            <w:tcBorders>
              <w:top w:val="double" w:sz="6" w:space="0" w:color="auto"/>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Level 1</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1.0 Payload</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single" w:sz="4" w:space="0" w:color="auto"/>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325.0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1.1 Payload</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250.0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75.0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325.0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2.0 Spacecraft Bus (dry)</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862.5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2.1 Propulsion</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68.2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6.8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75.0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2.2 ADCS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90.9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9.1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100.0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2.3 Communications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85.2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8.5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93.8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2.4 C&amp;DH</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51.1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5.1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56.3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2.5 Power</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159.1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15.9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250.0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2.6 Structure</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352.3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35.2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200.0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100" w:firstLine="2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2.7 Thermal Control System</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79.5 kg</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8.0 kg</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87.5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3.0 Spacecraft Dry Mass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1187.5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4.0 Consumables </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0.0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5.0 Propellant</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171.0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6.0 Loaded Mass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1358.5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7.0 Kick Stage</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1114.9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200" w:firstLine="4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7.1 Kick Stage Structure</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cente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cente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101.4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ind w:firstLineChars="200" w:firstLine="400"/>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7.2 Kick Stage Propellant</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cente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w:t>
            </w:r>
          </w:p>
        </w:tc>
        <w:tc>
          <w:tcPr>
            <w:tcW w:w="1060" w:type="dxa"/>
            <w:tcBorders>
              <w:top w:val="nil"/>
              <w:left w:val="nil"/>
              <w:bottom w:val="nil"/>
              <w:right w:val="nil"/>
            </w:tcBorders>
            <w:shd w:val="clear" w:color="auto" w:fill="auto"/>
            <w:noWrap/>
            <w:vAlign w:val="bottom"/>
            <w:hideMark/>
          </w:tcPr>
          <w:p w:rsidR="004E426F" w:rsidRPr="004E426F" w:rsidRDefault="004E426F" w:rsidP="004E426F">
            <w:pPr>
              <w:jc w:val="cente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w:t>
            </w:r>
          </w:p>
        </w:tc>
        <w:tc>
          <w:tcPr>
            <w:tcW w:w="114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1013.6 kg</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8.0 Injected Mass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2473.5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9.0 Launch Vehicle Adapter</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65.0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10.0 Boosted Mass</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2538.5 kg</w:t>
            </w:r>
          </w:p>
        </w:tc>
      </w:tr>
      <w:tr w:rsidR="004E426F" w:rsidRPr="004E426F" w:rsidTr="004E426F">
        <w:trPr>
          <w:trHeight w:val="280"/>
        </w:trPr>
        <w:tc>
          <w:tcPr>
            <w:tcW w:w="3740" w:type="dxa"/>
            <w:tcBorders>
              <w:top w:val="nil"/>
              <w:left w:val="nil"/>
              <w:bottom w:val="nil"/>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11.0 Margin</w:t>
            </w: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961.5 kg</w:t>
            </w:r>
          </w:p>
        </w:tc>
      </w:tr>
      <w:tr w:rsidR="004E426F" w:rsidRPr="004E426F" w:rsidTr="004E426F">
        <w:trPr>
          <w:trHeight w:val="300"/>
        </w:trPr>
        <w:tc>
          <w:tcPr>
            <w:tcW w:w="3740" w:type="dxa"/>
            <w:tcBorders>
              <w:top w:val="nil"/>
              <w:left w:val="nil"/>
              <w:bottom w:val="double" w:sz="6" w:space="0" w:color="auto"/>
              <w:right w:val="nil"/>
            </w:tcBorders>
            <w:shd w:val="clear" w:color="auto" w:fill="auto"/>
            <w:vAlign w:val="bottom"/>
            <w:hideMark/>
          </w:tcPr>
          <w:p w:rsidR="004E426F" w:rsidRPr="004E426F" w:rsidRDefault="004E426F" w:rsidP="004E426F">
            <w:pPr>
              <w:rPr>
                <w:rFonts w:ascii="Calibri" w:eastAsia="Times New Roman" w:hAnsi="Calibri" w:cs="Times New Roman"/>
                <w:color w:val="000000"/>
                <w:sz w:val="20"/>
                <w:szCs w:val="20"/>
              </w:rPr>
            </w:pPr>
            <w:r w:rsidRPr="004E426F">
              <w:rPr>
                <w:rFonts w:ascii="Calibri" w:eastAsia="Times New Roman" w:hAnsi="Calibri" w:cs="Times New Roman"/>
                <w:color w:val="000000"/>
                <w:sz w:val="20"/>
                <w:szCs w:val="20"/>
              </w:rPr>
              <w:t xml:space="preserve"> 12.0 Total Launch Vehicle Capacity</w:t>
            </w:r>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06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40" w:type="dxa"/>
            <w:tcBorders>
              <w:top w:val="nil"/>
              <w:left w:val="nil"/>
              <w:bottom w:val="double" w:sz="6" w:space="0" w:color="auto"/>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 </w:t>
            </w:r>
          </w:p>
        </w:tc>
        <w:tc>
          <w:tcPr>
            <w:tcW w:w="1160" w:type="dxa"/>
            <w:tcBorders>
              <w:top w:val="nil"/>
              <w:left w:val="nil"/>
              <w:bottom w:val="double" w:sz="6" w:space="0" w:color="auto"/>
              <w:right w:val="nil"/>
            </w:tcBorders>
            <w:shd w:val="clear" w:color="auto" w:fill="auto"/>
            <w:noWrap/>
            <w:vAlign w:val="bottom"/>
            <w:hideMark/>
          </w:tcPr>
          <w:p w:rsidR="004E426F" w:rsidRPr="004E426F" w:rsidRDefault="004E426F" w:rsidP="004E426F">
            <w:pPr>
              <w:jc w:val="right"/>
              <w:rPr>
                <w:rFonts w:ascii="Calibri" w:eastAsia="Times New Roman" w:hAnsi="Calibri" w:cs="Times New Roman"/>
                <w:color w:val="000000"/>
                <w:sz w:val="22"/>
                <w:szCs w:val="22"/>
              </w:rPr>
            </w:pPr>
            <w:r w:rsidRPr="004E426F">
              <w:rPr>
                <w:rFonts w:ascii="Calibri" w:eastAsia="Times New Roman" w:hAnsi="Calibri" w:cs="Times New Roman"/>
                <w:color w:val="000000"/>
                <w:sz w:val="22"/>
                <w:szCs w:val="22"/>
              </w:rPr>
              <w:t>3500.0 kg</w:t>
            </w:r>
          </w:p>
        </w:tc>
      </w:tr>
      <w:tr w:rsidR="004E426F" w:rsidRPr="004E426F" w:rsidTr="004E426F">
        <w:trPr>
          <w:trHeight w:val="300"/>
        </w:trPr>
        <w:tc>
          <w:tcPr>
            <w:tcW w:w="37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0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4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c>
          <w:tcPr>
            <w:tcW w:w="1160" w:type="dxa"/>
            <w:tcBorders>
              <w:top w:val="nil"/>
              <w:left w:val="nil"/>
              <w:bottom w:val="nil"/>
              <w:right w:val="nil"/>
            </w:tcBorders>
            <w:shd w:val="clear" w:color="auto" w:fill="auto"/>
            <w:noWrap/>
            <w:vAlign w:val="bottom"/>
            <w:hideMark/>
          </w:tcPr>
          <w:p w:rsidR="004E426F" w:rsidRPr="004E426F" w:rsidRDefault="004E426F" w:rsidP="004E426F">
            <w:pPr>
              <w:rPr>
                <w:rFonts w:ascii="Calibri" w:eastAsia="Times New Roman" w:hAnsi="Calibri" w:cs="Times New Roman"/>
                <w:color w:val="000000"/>
                <w:sz w:val="22"/>
                <w:szCs w:val="22"/>
              </w:rPr>
            </w:pPr>
          </w:p>
        </w:tc>
      </w:tr>
    </w:tbl>
    <w:p w:rsidR="0060035B" w:rsidRDefault="0060035B" w:rsidP="0060035B"/>
    <w:p w:rsidR="0060035B" w:rsidRPr="00950A78" w:rsidRDefault="004E426F" w:rsidP="0060035B">
      <w:r>
        <w:t>c)</w:t>
      </w:r>
      <w:r w:rsidR="0060035B" w:rsidRPr="0060035B">
        <w:t xml:space="preserve"> </w:t>
      </w:r>
      <w:r w:rsidR="0060035B">
        <w:t>The required CBE orbital maneuvering delta V for a mass margin of 30% is 334.5 m/s.</w:t>
      </w:r>
    </w:p>
    <w:p w:rsidR="00FB34F8" w:rsidRDefault="00FB34F8" w:rsidP="00950A78"/>
    <w:p w:rsidR="004E426F" w:rsidRDefault="00FB34F8" w:rsidP="00950A78">
      <w:r>
        <w:rPr>
          <w:noProof/>
        </w:rPr>
        <w:drawing>
          <wp:inline distT="0" distB="0" distL="0" distR="0" wp14:anchorId="17D4DB13" wp14:editId="2B02F81B">
            <wp:extent cx="5486400" cy="3535680"/>
            <wp:effectExtent l="0" t="0" r="2540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34F8" w:rsidRPr="0060035B" w:rsidRDefault="0060035B" w:rsidP="00950A78">
      <w:pPr>
        <w:rPr>
          <w:b/>
        </w:rPr>
      </w:pPr>
      <w:r>
        <w:rPr>
          <w:b/>
        </w:rPr>
        <w:t xml:space="preserve">Figure 1: </w:t>
      </w:r>
      <w:r w:rsidR="00FB34F8" w:rsidRPr="0060035B">
        <w:rPr>
          <w:b/>
        </w:rPr>
        <w:t>Orbital Maneuvering Delta V vs. Boosted Mass for weather satellite</w:t>
      </w:r>
      <w:r w:rsidRPr="0060035B">
        <w:rPr>
          <w:b/>
        </w:rPr>
        <w:t>.</w:t>
      </w:r>
    </w:p>
    <w:p w:rsidR="00FB34F8" w:rsidRDefault="00FB34F8" w:rsidP="00950A78"/>
    <w:p w:rsidR="00FB34F8" w:rsidRDefault="0060035B" w:rsidP="00950A78">
      <w:r>
        <w:rPr>
          <w:noProof/>
        </w:rPr>
        <w:drawing>
          <wp:inline distT="0" distB="0" distL="0" distR="0" wp14:anchorId="5DAD681C" wp14:editId="0B0CB203">
            <wp:extent cx="5486400" cy="3452495"/>
            <wp:effectExtent l="0" t="0" r="25400" b="273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035B" w:rsidRPr="0060035B" w:rsidRDefault="0060035B" w:rsidP="00950A78">
      <w:pPr>
        <w:rPr>
          <w:b/>
        </w:rPr>
      </w:pPr>
      <w:r w:rsidRPr="0060035B">
        <w:rPr>
          <w:b/>
        </w:rPr>
        <w:t>Figure 2: Orbital Maneuvering delta V vs. Mass Margin for weather satellite.</w:t>
      </w:r>
    </w:p>
    <w:sectPr w:rsidR="0060035B" w:rsidRPr="0060035B" w:rsidSect="0095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DF"/>
    <w:rsid w:val="003554DF"/>
    <w:rsid w:val="003A2315"/>
    <w:rsid w:val="004D2A95"/>
    <w:rsid w:val="004E426F"/>
    <w:rsid w:val="0060035B"/>
    <w:rsid w:val="0064564A"/>
    <w:rsid w:val="00950A78"/>
    <w:rsid w:val="00A9605A"/>
    <w:rsid w:val="00DB1A92"/>
    <w:rsid w:val="00FB3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113">
      <w:bodyDiv w:val="1"/>
      <w:marLeft w:val="0"/>
      <w:marRight w:val="0"/>
      <w:marTop w:val="0"/>
      <w:marBottom w:val="0"/>
      <w:divBdr>
        <w:top w:val="none" w:sz="0" w:space="0" w:color="auto"/>
        <w:left w:val="none" w:sz="0" w:space="0" w:color="auto"/>
        <w:bottom w:val="none" w:sz="0" w:space="0" w:color="auto"/>
        <w:right w:val="none" w:sz="0" w:space="0" w:color="auto"/>
      </w:divBdr>
    </w:div>
    <w:div w:id="525599241">
      <w:bodyDiv w:val="1"/>
      <w:marLeft w:val="0"/>
      <w:marRight w:val="0"/>
      <w:marTop w:val="0"/>
      <w:marBottom w:val="0"/>
      <w:divBdr>
        <w:top w:val="none" w:sz="0" w:space="0" w:color="auto"/>
        <w:left w:val="none" w:sz="0" w:space="0" w:color="auto"/>
        <w:bottom w:val="none" w:sz="0" w:space="0" w:color="auto"/>
        <w:right w:val="none" w:sz="0" w:space="0" w:color="auto"/>
      </w:divBdr>
    </w:div>
    <w:div w:id="900215416">
      <w:bodyDiv w:val="1"/>
      <w:marLeft w:val="0"/>
      <w:marRight w:val="0"/>
      <w:marTop w:val="0"/>
      <w:marBottom w:val="0"/>
      <w:divBdr>
        <w:top w:val="none" w:sz="0" w:space="0" w:color="auto"/>
        <w:left w:val="none" w:sz="0" w:space="0" w:color="auto"/>
        <w:bottom w:val="none" w:sz="0" w:space="0" w:color="auto"/>
        <w:right w:val="none" w:sz="0" w:space="0" w:color="auto"/>
      </w:divBdr>
    </w:div>
    <w:div w:id="1170292705">
      <w:bodyDiv w:val="1"/>
      <w:marLeft w:val="0"/>
      <w:marRight w:val="0"/>
      <w:marTop w:val="0"/>
      <w:marBottom w:val="0"/>
      <w:divBdr>
        <w:top w:val="none" w:sz="0" w:space="0" w:color="auto"/>
        <w:left w:val="none" w:sz="0" w:space="0" w:color="auto"/>
        <w:bottom w:val="none" w:sz="0" w:space="0" w:color="auto"/>
        <w:right w:val="none" w:sz="0" w:space="0" w:color="auto"/>
      </w:divBdr>
    </w:div>
    <w:div w:id="1584610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acharytschirhart:Downloads:Lab01_Templa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acharytschirhart:Downloads:Lab01_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spPr>
            <a:ln w="25400" cap="flat" cmpd="sng" algn="ctr">
              <a:solidFill>
                <a:schemeClr val="dk1"/>
              </a:solidFill>
              <a:prstDash val="solid"/>
            </a:ln>
            <a:effectLst/>
          </c:spPr>
          <c:marker>
            <c:symbol val="none"/>
          </c:marker>
          <c:xVal>
            <c:numRef>
              <c:f>Prob3!$C$51:$M$51</c:f>
              <c:numCache>
                <c:formatCode>0</c:formatCode>
                <c:ptCount val="11"/>
                <c:pt idx="0">
                  <c:v>100.0</c:v>
                </c:pt>
                <c:pt idx="1">
                  <c:v>200.0</c:v>
                </c:pt>
                <c:pt idx="2">
                  <c:v>300.0</c:v>
                </c:pt>
                <c:pt idx="3">
                  <c:v>334.5</c:v>
                </c:pt>
                <c:pt idx="4">
                  <c:v>400.0</c:v>
                </c:pt>
                <c:pt idx="5">
                  <c:v>500.0</c:v>
                </c:pt>
                <c:pt idx="6">
                  <c:v>600.0</c:v>
                </c:pt>
                <c:pt idx="7">
                  <c:v>700.0</c:v>
                </c:pt>
                <c:pt idx="8">
                  <c:v>800.0</c:v>
                </c:pt>
                <c:pt idx="9">
                  <c:v>900.0</c:v>
                </c:pt>
                <c:pt idx="10">
                  <c:v>1000.0</c:v>
                </c:pt>
              </c:numCache>
            </c:numRef>
          </c:xVal>
          <c:yVal>
            <c:numRef>
              <c:f>Prob3!$C$52:$M$52</c:f>
              <c:numCache>
                <c:formatCode>0.0</c:formatCode>
                <c:ptCount val="11"/>
                <c:pt idx="0">
                  <c:v>2430.0</c:v>
                </c:pt>
                <c:pt idx="1">
                  <c:v>2538.5</c:v>
                </c:pt>
                <c:pt idx="2">
                  <c:v>2651.9</c:v>
                </c:pt>
                <c:pt idx="3">
                  <c:v>2692.3</c:v>
                </c:pt>
                <c:pt idx="4">
                  <c:v>2770.6</c:v>
                </c:pt>
                <c:pt idx="5">
                  <c:v>2894.7</c:v>
                </c:pt>
                <c:pt idx="6">
                  <c:v>3024.5</c:v>
                </c:pt>
                <c:pt idx="7">
                  <c:v>3160.3</c:v>
                </c:pt>
                <c:pt idx="8">
                  <c:v>3302.3</c:v>
                </c:pt>
                <c:pt idx="9">
                  <c:v>3450.8</c:v>
                </c:pt>
                <c:pt idx="10">
                  <c:v>3606.1</c:v>
                </c:pt>
              </c:numCache>
            </c:numRef>
          </c:yVal>
          <c:smooth val="1"/>
        </c:ser>
        <c:dLbls>
          <c:showLegendKey val="0"/>
          <c:showVal val="0"/>
          <c:showCatName val="0"/>
          <c:showSerName val="0"/>
          <c:showPercent val="0"/>
          <c:showBubbleSize val="0"/>
        </c:dLbls>
        <c:axId val="-2132080088"/>
        <c:axId val="-2132171944"/>
      </c:scatterChart>
      <c:valAx>
        <c:axId val="-2132080088"/>
        <c:scaling>
          <c:orientation val="minMax"/>
          <c:max val="1000.0"/>
          <c:min val="100.0"/>
        </c:scaling>
        <c:delete val="0"/>
        <c:axPos val="b"/>
        <c:majorGridlines/>
        <c:title>
          <c:tx>
            <c:rich>
              <a:bodyPr/>
              <a:lstStyle/>
              <a:p>
                <a:pPr>
                  <a:defRPr/>
                </a:pPr>
                <a:r>
                  <a:rPr lang="en-US"/>
                  <a:t>Orbital</a:t>
                </a:r>
                <a:r>
                  <a:rPr lang="en-US" baseline="0"/>
                  <a:t> Maneuvering delta V</a:t>
                </a:r>
                <a:r>
                  <a:rPr lang="en-US"/>
                  <a:t>(m/s)</a:t>
                </a:r>
              </a:p>
            </c:rich>
          </c:tx>
          <c:layout/>
          <c:overlay val="0"/>
        </c:title>
        <c:numFmt formatCode="0" sourceLinked="1"/>
        <c:majorTickMark val="out"/>
        <c:minorTickMark val="none"/>
        <c:tickLblPos val="nextTo"/>
        <c:crossAx val="-2132171944"/>
        <c:crosses val="autoZero"/>
        <c:crossBetween val="midCat"/>
      </c:valAx>
      <c:valAx>
        <c:axId val="-2132171944"/>
        <c:scaling>
          <c:orientation val="minMax"/>
          <c:max val="3700.0"/>
          <c:min val="2400.0"/>
        </c:scaling>
        <c:delete val="0"/>
        <c:axPos val="l"/>
        <c:majorGridlines/>
        <c:title>
          <c:tx>
            <c:rich>
              <a:bodyPr rot="-5400000" vert="horz"/>
              <a:lstStyle/>
              <a:p>
                <a:pPr>
                  <a:defRPr/>
                </a:pPr>
                <a:r>
                  <a:rPr lang="en-US"/>
                  <a:t>Boosted Mass (kg)</a:t>
                </a:r>
              </a:p>
            </c:rich>
          </c:tx>
          <c:layout/>
          <c:overlay val="0"/>
        </c:title>
        <c:numFmt formatCode="0.0" sourceLinked="1"/>
        <c:majorTickMark val="out"/>
        <c:minorTickMark val="none"/>
        <c:tickLblPos val="nextTo"/>
        <c:crossAx val="-2132080088"/>
        <c:crosses val="autoZero"/>
        <c:crossBetween val="midCat"/>
      </c:valAx>
    </c:plotArea>
    <c:plotVisOnly val="1"/>
    <c:dispBlanksAs val="gap"/>
    <c:showDLblsOverMax val="0"/>
  </c:chart>
  <c:spPr>
    <a:solidFill>
      <a:schemeClr val="bg1"/>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03079432779236"/>
          <c:y val="0.031063321385902"/>
          <c:w val="0.854513159813357"/>
          <c:h val="0.831793239381954"/>
        </c:manualLayout>
      </c:layout>
      <c:scatterChart>
        <c:scatterStyle val="smoothMarker"/>
        <c:varyColors val="0"/>
        <c:ser>
          <c:idx val="0"/>
          <c:order val="0"/>
          <c:spPr>
            <a:ln w="25400" cap="flat" cmpd="sng" algn="ctr">
              <a:solidFill>
                <a:schemeClr val="dk1"/>
              </a:solidFill>
              <a:prstDash val="solid"/>
            </a:ln>
            <a:effectLst/>
          </c:spPr>
          <c:marker>
            <c:symbol val="none"/>
          </c:marker>
          <c:dPt>
            <c:idx val="3"/>
            <c:marker>
              <c:symbol val="circle"/>
              <c:size val="8"/>
              <c:spPr>
                <a:solidFill>
                  <a:srgbClr val="FF0000"/>
                </a:solidFill>
                <a:ln w="25400" cap="flat" cmpd="sng" algn="ctr">
                  <a:solidFill>
                    <a:schemeClr val="dk1"/>
                  </a:solidFill>
                  <a:prstDash val="solid"/>
                </a:ln>
                <a:effectLst/>
              </c:spPr>
            </c:marker>
            <c:bubble3D val="0"/>
          </c:dPt>
          <c:xVal>
            <c:numRef>
              <c:f>Prob3!$C$51:$M$51</c:f>
              <c:numCache>
                <c:formatCode>0</c:formatCode>
                <c:ptCount val="11"/>
                <c:pt idx="0">
                  <c:v>100.0</c:v>
                </c:pt>
                <c:pt idx="1">
                  <c:v>200.0</c:v>
                </c:pt>
                <c:pt idx="2">
                  <c:v>300.0</c:v>
                </c:pt>
                <c:pt idx="3">
                  <c:v>334.5</c:v>
                </c:pt>
                <c:pt idx="4">
                  <c:v>400.0</c:v>
                </c:pt>
                <c:pt idx="5">
                  <c:v>500.0</c:v>
                </c:pt>
                <c:pt idx="6">
                  <c:v>600.0</c:v>
                </c:pt>
                <c:pt idx="7">
                  <c:v>700.0</c:v>
                </c:pt>
                <c:pt idx="8">
                  <c:v>800.0</c:v>
                </c:pt>
                <c:pt idx="9">
                  <c:v>900.0</c:v>
                </c:pt>
                <c:pt idx="10">
                  <c:v>1000.0</c:v>
                </c:pt>
              </c:numCache>
            </c:numRef>
          </c:xVal>
          <c:yVal>
            <c:numRef>
              <c:f>Prob3!$C$53:$M$53</c:f>
              <c:numCache>
                <c:formatCode>0.0</c:formatCode>
                <c:ptCount val="11"/>
                <c:pt idx="0">
                  <c:v>44.0329218106996</c:v>
                </c:pt>
                <c:pt idx="1">
                  <c:v>37.87669883789639</c:v>
                </c:pt>
                <c:pt idx="2">
                  <c:v>31.98084392322486</c:v>
                </c:pt>
                <c:pt idx="3" formatCode="General">
                  <c:v>30.0</c:v>
                </c:pt>
                <c:pt idx="4">
                  <c:v>26.32642748863062</c:v>
                </c:pt>
                <c:pt idx="5">
                  <c:v>20.91062977165164</c:v>
                </c:pt>
                <c:pt idx="6">
                  <c:v>15.72160687716978</c:v>
                </c:pt>
                <c:pt idx="7">
                  <c:v>10.74897952726007</c:v>
                </c:pt>
                <c:pt idx="8">
                  <c:v>5.986736516973018</c:v>
                </c:pt>
                <c:pt idx="9">
                  <c:v>1.425756346354469</c:v>
                </c:pt>
                <c:pt idx="10">
                  <c:v>-4.071217528107133</c:v>
                </c:pt>
              </c:numCache>
            </c:numRef>
          </c:yVal>
          <c:smooth val="1"/>
        </c:ser>
        <c:dLbls>
          <c:showLegendKey val="0"/>
          <c:showVal val="0"/>
          <c:showCatName val="0"/>
          <c:showSerName val="0"/>
          <c:showPercent val="0"/>
          <c:showBubbleSize val="0"/>
        </c:dLbls>
        <c:axId val="-2121052792"/>
        <c:axId val="-2132037080"/>
      </c:scatterChart>
      <c:valAx>
        <c:axId val="-2121052792"/>
        <c:scaling>
          <c:orientation val="minMax"/>
          <c:max val="1000.0"/>
          <c:min val="100.0"/>
        </c:scaling>
        <c:delete val="0"/>
        <c:axPos val="b"/>
        <c:majorGridlines/>
        <c:title>
          <c:tx>
            <c:rich>
              <a:bodyPr/>
              <a:lstStyle/>
              <a:p>
                <a:pPr>
                  <a:defRPr/>
                </a:pPr>
                <a:r>
                  <a:rPr lang="en-US"/>
                  <a:t>Orbital</a:t>
                </a:r>
                <a:r>
                  <a:rPr lang="en-US" baseline="0"/>
                  <a:t> Maneuvering delta V (m/s)</a:t>
                </a:r>
              </a:p>
            </c:rich>
          </c:tx>
          <c:layout>
            <c:manualLayout>
              <c:xMode val="edge"/>
              <c:yMode val="edge"/>
              <c:x val="0.386758747261855"/>
              <c:y val="0.949820788530466"/>
            </c:manualLayout>
          </c:layout>
          <c:overlay val="0"/>
        </c:title>
        <c:numFmt formatCode="0" sourceLinked="1"/>
        <c:majorTickMark val="out"/>
        <c:minorTickMark val="none"/>
        <c:tickLblPos val="nextTo"/>
        <c:crossAx val="-2132037080"/>
        <c:crossesAt val="-5.0"/>
        <c:crossBetween val="midCat"/>
      </c:valAx>
      <c:valAx>
        <c:axId val="-2132037080"/>
        <c:scaling>
          <c:orientation val="minMax"/>
          <c:max val="45.0"/>
          <c:min val="-5.0"/>
        </c:scaling>
        <c:delete val="0"/>
        <c:axPos val="l"/>
        <c:majorGridlines/>
        <c:title>
          <c:tx>
            <c:rich>
              <a:bodyPr rot="-5400000" vert="horz"/>
              <a:lstStyle/>
              <a:p>
                <a:pPr>
                  <a:defRPr/>
                </a:pPr>
                <a:r>
                  <a:rPr lang="en-US"/>
                  <a:t>Mass</a:t>
                </a:r>
                <a:r>
                  <a:rPr lang="en-US" baseline="0"/>
                  <a:t> Margin (%)</a:t>
                </a:r>
                <a:endParaRPr lang="en-US"/>
              </a:p>
            </c:rich>
          </c:tx>
          <c:layout/>
          <c:overlay val="0"/>
        </c:title>
        <c:numFmt formatCode="0.0" sourceLinked="1"/>
        <c:majorTickMark val="out"/>
        <c:minorTickMark val="none"/>
        <c:tickLblPos val="nextTo"/>
        <c:crossAx val="-21210527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7B6B-E30D-BF4B-AB6D-3FCE43E7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Zachary Tschirhart</cp:lastModifiedBy>
  <cp:revision>1</cp:revision>
  <dcterms:created xsi:type="dcterms:W3CDTF">2013-09-10T01:55:00Z</dcterms:created>
  <dcterms:modified xsi:type="dcterms:W3CDTF">2013-09-10T03:37:00Z</dcterms:modified>
</cp:coreProperties>
</file>