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6DC38" w14:textId="77777777" w:rsidR="00950A78" w:rsidRDefault="002849D1" w:rsidP="00950A78">
      <w:r>
        <w:t>Problem 1</w:t>
      </w:r>
      <w:r w:rsidR="00950A78">
        <w:t>:</w:t>
      </w:r>
      <w:bookmarkStart w:id="0" w:name="_GoBack"/>
      <w:bookmarkEnd w:id="0"/>
    </w:p>
    <w:p w14:paraId="327B2337" w14:textId="77777777" w:rsidR="00950A78" w:rsidRDefault="00950A78" w:rsidP="00950A78">
      <w:proofErr w:type="gramStart"/>
      <w:r>
        <w:t>a</w:t>
      </w:r>
      <w:proofErr w:type="gramEnd"/>
      <w:r>
        <w:t>)</w:t>
      </w:r>
    </w:p>
    <w:p w14:paraId="3902CAC6" w14:textId="77777777" w:rsidR="00950A78" w:rsidRPr="00950A78" w:rsidRDefault="002849D1" w:rsidP="00950A78">
      <m:oMathPara>
        <m:oMath>
          <m:sSub>
            <m:sSubPr>
              <m:ctrlPr>
                <w:rPr>
                  <w:rFonts w:ascii="Cambria Math" w:hAnsi="Cambria Math"/>
                  <w:i/>
                </w:rPr>
              </m:ctrlPr>
            </m:sSubPr>
            <m:e>
              <m:r>
                <w:rPr>
                  <w:rFonts w:ascii="Cambria Math" w:hAnsi="Cambria Math"/>
                </w:rPr>
                <m:t>P</m:t>
              </m:r>
            </m:e>
            <m:sub>
              <m:r>
                <w:rPr>
                  <w:rFonts w:ascii="Cambria Math" w:hAnsi="Cambria Math"/>
                </w:rPr>
                <m:t>prop</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d>
                <m:dPr>
                  <m:ctrlPr>
                    <w:rPr>
                      <w:rFonts w:ascii="Cambria Math" w:hAnsi="Cambria Math"/>
                      <w:i/>
                    </w:rPr>
                  </m:ctrlPr>
                </m:dPr>
                <m:e>
                  <m:r>
                    <w:rPr>
                      <w:rFonts w:ascii="Cambria Math" w:hAnsi="Cambria Math"/>
                    </w:rPr>
                    <m:t>-0.1281*Log</m:t>
                  </m:r>
                  <m:d>
                    <m:dPr>
                      <m:ctrlPr>
                        <w:rPr>
                          <w:rFonts w:ascii="Cambria Math" w:hAnsi="Cambria Math"/>
                          <w:i/>
                        </w:rPr>
                      </m:ctrlPr>
                    </m:dPr>
                    <m:e>
                      <m:r>
                        <w:rPr>
                          <w:rFonts w:ascii="Cambria Math" w:hAnsi="Cambria Math"/>
                        </w:rPr>
                        <m:t xml:space="preserve">2.10 </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 xml:space="preserve"> + 0.2498</m:t>
                  </m:r>
                </m:e>
              </m:d>
            </m:sup>
          </m:sSup>
          <m:r>
            <w:rPr>
              <w:rFonts w:ascii="Cambria Math" w:hAnsi="Cambria Math"/>
            </w:rPr>
            <m:t>=</m:t>
          </m:r>
          <m:r>
            <m:rPr>
              <m:sty m:val="bi"/>
            </m:rPr>
            <w:rPr>
              <w:rFonts w:ascii="Cambria Math" w:hAnsi="Cambria Math"/>
            </w:rPr>
            <m:t>1</m:t>
          </m:r>
          <m:r>
            <m:rPr>
              <m:sty m:val="bi"/>
            </m:rPr>
            <w:rPr>
              <w:rFonts w:ascii="Cambria Math" w:hAnsi="Cambria Math"/>
            </w:rPr>
            <m:t>.62 Mpa</m:t>
          </m:r>
        </m:oMath>
      </m:oMathPara>
    </w:p>
    <w:p w14:paraId="3B29E6F2" w14:textId="77777777" w:rsidR="00950A78" w:rsidRDefault="00950A78" w:rsidP="00950A78"/>
    <w:p w14:paraId="518DA3A9" w14:textId="77777777" w:rsidR="004D2A95" w:rsidRDefault="004D2A95" w:rsidP="00950A78"/>
    <w:p w14:paraId="41CC6AC1" w14:textId="77777777" w:rsidR="00950A78" w:rsidRDefault="004D2A95" w:rsidP="00950A78">
      <w:proofErr w:type="gramStart"/>
      <w:r>
        <w:t>b</w:t>
      </w:r>
      <w:proofErr w:type="gramEnd"/>
      <w:r>
        <w:t>)</w:t>
      </w:r>
    </w:p>
    <w:p w14:paraId="5A283837" w14:textId="77777777" w:rsidR="004D2A95" w:rsidRDefault="004D2A95" w:rsidP="00950A78"/>
    <w:p w14:paraId="54018878" w14:textId="77777777" w:rsidR="004D2A95" w:rsidRDefault="002849D1" w:rsidP="00950A78">
      <m:oMathPara>
        <m:oMath>
          <m:sSub>
            <m:sSubPr>
              <m:ctrlPr>
                <w:rPr>
                  <w:rFonts w:ascii="Cambria Math" w:hAnsi="Cambria Math"/>
                  <w:i/>
                </w:rPr>
              </m:ctrlPr>
            </m:sSubPr>
            <m:e>
              <m:r>
                <w:rPr>
                  <w:rFonts w:ascii="Cambria Math" w:hAnsi="Cambria Math"/>
                </w:rPr>
                <m:t>M</m:t>
              </m:r>
            </m:e>
            <m:sub>
              <m:r>
                <w:rPr>
                  <w:rFonts w:ascii="Cambria Math" w:hAnsi="Cambria Math"/>
                </w:rPr>
                <m:t>tank</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1000000 </m:t>
                  </m:r>
                  <m:f>
                    <m:fPr>
                      <m:ctrlPr>
                        <w:rPr>
                          <w:rFonts w:ascii="Cambria Math" w:hAnsi="Cambria Math"/>
                          <w:i/>
                        </w:rPr>
                      </m:ctrlPr>
                    </m:fPr>
                    <m:num>
                      <m:r>
                        <w:rPr>
                          <w:rFonts w:ascii="Cambria Math" w:hAnsi="Cambria Math"/>
                        </w:rPr>
                        <m:t>pa</m:t>
                      </m:r>
                    </m:num>
                    <m:den>
                      <m:r>
                        <w:rPr>
                          <w:rFonts w:ascii="Cambria Math" w:hAnsi="Cambria Math"/>
                        </w:rPr>
                        <m:t>Mpa</m:t>
                      </m:r>
                    </m:den>
                  </m:f>
                </m:e>
              </m:d>
              <m:r>
                <w:rPr>
                  <w:rFonts w:ascii="Cambria Math" w:hAnsi="Cambria Math"/>
                </w:rPr>
                <m:t xml:space="preserve">*3.23 Mpa*2.10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 xml:space="preserve">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*5000 m</m:t>
              </m:r>
            </m:den>
          </m:f>
          <m:r>
            <w:rPr>
              <w:rFonts w:ascii="Cambria Math" w:hAnsi="Cambria Math"/>
            </w:rPr>
            <m:t>=</m:t>
          </m:r>
          <m:r>
            <m:rPr>
              <m:sty m:val="bi"/>
            </m:rPr>
            <w:rPr>
              <w:rFonts w:ascii="Cambria Math" w:hAnsi="Cambria Math"/>
            </w:rPr>
            <m:t>138</m:t>
          </m:r>
          <m:r>
            <m:rPr>
              <m:sty m:val="bi"/>
            </m:rPr>
            <w:rPr>
              <w:rFonts w:ascii="Cambria Math" w:hAnsi="Cambria Math"/>
            </w:rPr>
            <m:t>.</m:t>
          </m:r>
          <m:r>
            <m:rPr>
              <m:sty m:val="bi"/>
            </m:rPr>
            <w:rPr>
              <w:rFonts w:ascii="Cambria Math" w:hAnsi="Cambria Math"/>
            </w:rPr>
            <m:t>4 kg</m:t>
          </m:r>
        </m:oMath>
      </m:oMathPara>
    </w:p>
    <w:p w14:paraId="59DD5269" w14:textId="77777777" w:rsidR="004D2A95" w:rsidRDefault="004D2A95" w:rsidP="00950A78"/>
    <w:p w14:paraId="1AAF78CA" w14:textId="77777777" w:rsidR="004D2A95" w:rsidRDefault="004D2A95" w:rsidP="00950A78">
      <w:proofErr w:type="gramStart"/>
      <w:r>
        <w:t>c</w:t>
      </w:r>
      <w:proofErr w:type="gramEnd"/>
      <w:r>
        <w:t>)</w:t>
      </w:r>
    </w:p>
    <w:p w14:paraId="58B98D69" w14:textId="77777777" w:rsidR="004D2A95" w:rsidRDefault="004D2A95" w:rsidP="00950A78"/>
    <w:p w14:paraId="6172DF8A" w14:textId="77777777" w:rsidR="002849D1" w:rsidRDefault="002849D1" w:rsidP="00950A78">
      <w:r>
        <w:t>These were more complicated equations that required iterations, they are more easily followed in the excel spreadsheet.</w:t>
      </w:r>
    </w:p>
    <w:p w14:paraId="0EF6AEA4" w14:textId="77777777" w:rsidR="002849D1" w:rsidRDefault="002849D1" w:rsidP="00950A78"/>
    <w:p w14:paraId="28968692" w14:textId="77777777" w:rsidR="002849D1" w:rsidRDefault="002849D1" w:rsidP="00950A78">
      <w:r>
        <w:t xml:space="preserve">Isothermal Volume of Helium = 1.02 </w:t>
      </w:r>
      <w:proofErr w:type="spellStart"/>
      <w:r>
        <w:t>Mpa</w:t>
      </w:r>
      <w:proofErr w:type="spellEnd"/>
    </w:p>
    <w:p w14:paraId="31B56356" w14:textId="77777777" w:rsidR="002849D1" w:rsidRDefault="002849D1" w:rsidP="00950A78">
      <w:r>
        <w:t>Isothermal Helium mass = 66.23 kg</w:t>
      </w:r>
    </w:p>
    <w:p w14:paraId="16B09AFC" w14:textId="77777777" w:rsidR="002849D1" w:rsidRDefault="002849D1" w:rsidP="00950A78">
      <w:r>
        <w:t>Isothermal Helium tank mass = 1241.97 kg</w:t>
      </w:r>
    </w:p>
    <w:p w14:paraId="103666A1" w14:textId="77777777" w:rsidR="002849D1" w:rsidRDefault="002849D1" w:rsidP="00950A78"/>
    <w:p w14:paraId="120BE0FE" w14:textId="77777777" w:rsidR="002849D1" w:rsidRDefault="002849D1" w:rsidP="002849D1">
      <w:r>
        <w:t xml:space="preserve">Isothermal Volume of Helium = 1.33 </w:t>
      </w:r>
      <w:proofErr w:type="spellStart"/>
      <w:r>
        <w:t>Mpa</w:t>
      </w:r>
      <w:proofErr w:type="spellEnd"/>
    </w:p>
    <w:p w14:paraId="6CC33415" w14:textId="77777777" w:rsidR="002849D1" w:rsidRDefault="002849D1" w:rsidP="002849D1">
      <w:r>
        <w:t>Isothermal Helium mass = 86.85 kg</w:t>
      </w:r>
    </w:p>
    <w:p w14:paraId="17B1F23B" w14:textId="77777777" w:rsidR="002849D1" w:rsidRPr="00DB1A92" w:rsidRDefault="002849D1" w:rsidP="002849D1">
      <w:r>
        <w:t>Isothermal Helium tank mass = 1628.55 kg</w:t>
      </w:r>
    </w:p>
    <w:p w14:paraId="20A68ACA" w14:textId="77777777" w:rsidR="00DB1A92" w:rsidRDefault="00DB1A92" w:rsidP="00950A78"/>
    <w:p w14:paraId="30273A8E" w14:textId="77777777" w:rsidR="002849D1" w:rsidRDefault="002849D1" w:rsidP="00950A78"/>
    <w:p w14:paraId="6BFE24E3" w14:textId="77777777" w:rsidR="002849D1" w:rsidRDefault="00DB1A92" w:rsidP="00950A78">
      <w:proofErr w:type="gramStart"/>
      <w:r>
        <w:t>d</w:t>
      </w:r>
      <w:proofErr w:type="gramEnd"/>
      <w:r>
        <w:t>)</w:t>
      </w:r>
    </w:p>
    <w:p w14:paraId="0FDA075D" w14:textId="77777777" w:rsidR="00DB1A92" w:rsidRDefault="00DB1A92" w:rsidP="00950A78"/>
    <w:p w14:paraId="3A5927AB" w14:textId="77777777" w:rsidR="002849D1" w:rsidRDefault="002849D1" w:rsidP="00950A78">
      <w:r>
        <w:rPr>
          <w:noProof/>
        </w:rPr>
        <w:drawing>
          <wp:inline distT="0" distB="0" distL="0" distR="0" wp14:anchorId="19D48295" wp14:editId="08A251B8">
            <wp:extent cx="5486400" cy="2616835"/>
            <wp:effectExtent l="0" t="0" r="2540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539D65" w14:textId="77777777" w:rsidR="003A2315" w:rsidRDefault="002849D1" w:rsidP="00950A78">
      <w:r>
        <w:t xml:space="preserve">Figure 1: Propellant tank volume versus </w:t>
      </w:r>
      <w:proofErr w:type="spellStart"/>
      <w:r>
        <w:t>pressurant</w:t>
      </w:r>
      <w:proofErr w:type="spellEnd"/>
      <w:r>
        <w:t xml:space="preserve"> tank volume</w:t>
      </w:r>
    </w:p>
    <w:p w14:paraId="67C9F019" w14:textId="77777777" w:rsidR="003A2315" w:rsidRDefault="003A2315" w:rsidP="00950A78"/>
    <w:p w14:paraId="490CE911" w14:textId="77777777" w:rsidR="003A2315" w:rsidRDefault="003A2315" w:rsidP="00950A78"/>
    <w:p w14:paraId="0F55FFEE" w14:textId="77777777" w:rsidR="003A2315" w:rsidRDefault="003A2315" w:rsidP="00950A78"/>
    <w:p w14:paraId="7147FD43" w14:textId="77777777" w:rsidR="002849D1" w:rsidRDefault="002849D1"/>
    <w:p w14:paraId="71CBEF32" w14:textId="77777777" w:rsidR="0044012A" w:rsidRDefault="002849D1">
      <w:r>
        <w:rPr>
          <w:noProof/>
        </w:rPr>
        <w:drawing>
          <wp:inline distT="0" distB="0" distL="0" distR="0" wp14:anchorId="5625AD2D" wp14:editId="7E716D10">
            <wp:extent cx="5486400" cy="3008630"/>
            <wp:effectExtent l="0" t="0" r="2540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t xml:space="preserve">Figure 2: Propellant tank mass versus </w:t>
      </w:r>
      <w:proofErr w:type="spellStart"/>
      <w:r>
        <w:t>Pressurant</w:t>
      </w:r>
      <w:proofErr w:type="spellEnd"/>
      <w:r>
        <w:t xml:space="preserve"> tank mass</w:t>
      </w:r>
    </w:p>
    <w:p w14:paraId="37A434BF" w14:textId="77777777" w:rsidR="0044012A" w:rsidRDefault="0044012A"/>
    <w:p w14:paraId="3188464D" w14:textId="77777777" w:rsidR="0044012A" w:rsidRDefault="0044012A"/>
    <w:p w14:paraId="53FDB351" w14:textId="77777777" w:rsidR="0044012A" w:rsidRDefault="0044012A">
      <w:r>
        <w:t>e) The main difference between the two is the final temperature and pressure at End of Life. This will affect performance the overall mass that will need to be carried with the spacecraft. The more conservative mass estimate would be the isentropic estimate, since it takes into consideration the pressure loss due to temperature decrease. There is a need to bring more Helium along, since the craft will need more pressure to complete its mission.</w:t>
      </w:r>
    </w:p>
    <w:p w14:paraId="46D4FEDF" w14:textId="77777777" w:rsidR="0044012A" w:rsidRDefault="0044012A"/>
    <w:p w14:paraId="74427FAF" w14:textId="77777777" w:rsidR="0060035B" w:rsidRDefault="0060035B">
      <w:r>
        <w:br w:type="page"/>
      </w:r>
    </w:p>
    <w:p w14:paraId="36295223" w14:textId="77777777" w:rsidR="003A2315" w:rsidRDefault="0044012A" w:rsidP="00950A78">
      <w:r>
        <w:lastRenderedPageBreak/>
        <w:t>Problem 2</w:t>
      </w:r>
      <w:r w:rsidR="003A2315">
        <w:t>:</w:t>
      </w:r>
    </w:p>
    <w:p w14:paraId="6A40E267" w14:textId="77777777" w:rsidR="003A2315" w:rsidRDefault="003A2315" w:rsidP="00950A78"/>
    <w:p w14:paraId="563A7384" w14:textId="77777777" w:rsidR="003A2315" w:rsidRDefault="004E426F" w:rsidP="00950A78">
      <w:r>
        <w:t>a)</w:t>
      </w:r>
      <w:r w:rsidR="00A93729">
        <w:t xml:space="preserve"> I chose Engines TR-312-100MN and MR-111C. These were both “rubberized”. </w:t>
      </w:r>
    </w:p>
    <w:p w14:paraId="1B6E7096" w14:textId="77777777" w:rsidR="0060035B" w:rsidRDefault="0060035B" w:rsidP="00950A78"/>
    <w:p w14:paraId="76E1F7F7" w14:textId="77777777" w:rsidR="003A2315" w:rsidRDefault="004E426F" w:rsidP="00950A78">
      <w:r>
        <w:t>b)</w:t>
      </w:r>
      <w:r w:rsidR="00A93729">
        <w:t xml:space="preserve"> The bulk density is in the oxidizer. 1.64 is commonly used to even out the tanks, so it is easier to build two of the same size tanks. This is also a trade off with other variables.</w:t>
      </w:r>
    </w:p>
    <w:p w14:paraId="55F2B7E3" w14:textId="77777777" w:rsidR="004E426F" w:rsidRDefault="004E426F" w:rsidP="00950A78"/>
    <w:p w14:paraId="5B8574BA" w14:textId="77777777" w:rsidR="00A93729" w:rsidRDefault="00A93729" w:rsidP="00950A78">
      <w:proofErr w:type="gramStart"/>
      <w:r>
        <w:t>c</w:t>
      </w:r>
      <w:proofErr w:type="gramEnd"/>
      <w:r>
        <w:t>)</w:t>
      </w:r>
    </w:p>
    <w:p w14:paraId="29DBE7AD" w14:textId="77777777" w:rsidR="004E426F" w:rsidRPr="0060035B" w:rsidRDefault="00A93729" w:rsidP="00950A78">
      <w:pPr>
        <w:rPr>
          <w:b/>
        </w:rPr>
      </w:pPr>
      <w:r>
        <w:rPr>
          <w:b/>
        </w:rPr>
        <w:t>Table 1: Payload mass breakdown for Cassini spacecraft</w:t>
      </w:r>
      <w:r w:rsidR="004E426F" w:rsidRPr="0060035B">
        <w:rPr>
          <w:b/>
        </w:rPr>
        <w:t>.</w:t>
      </w:r>
    </w:p>
    <w:p w14:paraId="7453A519" w14:textId="77777777" w:rsidR="00A93729" w:rsidRDefault="00A93729" w:rsidP="0060035B">
      <w:r w:rsidRPr="00A93729">
        <w:drawing>
          <wp:inline distT="0" distB="0" distL="0" distR="0" wp14:anchorId="6071F738" wp14:editId="0F261BA7">
            <wp:extent cx="5369964" cy="5970977"/>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964" cy="5970977"/>
                    </a:xfrm>
                    <a:prstGeom prst="rect">
                      <a:avLst/>
                    </a:prstGeom>
                    <a:noFill/>
                    <a:ln>
                      <a:noFill/>
                    </a:ln>
                  </pic:spPr>
                </pic:pic>
              </a:graphicData>
            </a:graphic>
          </wp:inline>
        </w:drawing>
      </w:r>
    </w:p>
    <w:p w14:paraId="47F19456" w14:textId="77777777" w:rsidR="0060035B" w:rsidRPr="00A93729" w:rsidRDefault="00A93729" w:rsidP="00950A78">
      <w:r>
        <w:t>d</w:t>
      </w:r>
      <w:r w:rsidR="004E426F">
        <w:t>)</w:t>
      </w:r>
      <w:r w:rsidR="0060035B" w:rsidRPr="0060035B">
        <w:t xml:space="preserve"> </w:t>
      </w:r>
      <w:r>
        <w:t>The mass margin is around 9.22%. I think this is too low for any part of the planning stage.</w:t>
      </w:r>
    </w:p>
    <w:sectPr w:rsidR="0060035B" w:rsidRPr="00A93729" w:rsidSect="0095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DF"/>
    <w:rsid w:val="002849D1"/>
    <w:rsid w:val="003554DF"/>
    <w:rsid w:val="003A2315"/>
    <w:rsid w:val="0044012A"/>
    <w:rsid w:val="004D2A95"/>
    <w:rsid w:val="004E426F"/>
    <w:rsid w:val="0060035B"/>
    <w:rsid w:val="0064564A"/>
    <w:rsid w:val="00950A78"/>
    <w:rsid w:val="00A93729"/>
    <w:rsid w:val="00A9605A"/>
    <w:rsid w:val="00DB1A92"/>
    <w:rsid w:val="00FB3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A0A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A78"/>
    <w:rPr>
      <w:color w:val="808080"/>
    </w:rPr>
  </w:style>
  <w:style w:type="paragraph" w:styleId="BalloonText">
    <w:name w:val="Balloon Text"/>
    <w:basedOn w:val="Normal"/>
    <w:link w:val="BalloonTextChar"/>
    <w:uiPriority w:val="99"/>
    <w:semiHidden/>
    <w:unhideWhenUsed/>
    <w:rsid w:val="00950A78"/>
    <w:rPr>
      <w:rFonts w:ascii="Lucida Grande" w:hAnsi="Lucida Grande"/>
      <w:sz w:val="18"/>
      <w:szCs w:val="18"/>
    </w:rPr>
  </w:style>
  <w:style w:type="character" w:customStyle="1" w:styleId="BalloonTextChar">
    <w:name w:val="Balloon Text Char"/>
    <w:basedOn w:val="DefaultParagraphFont"/>
    <w:link w:val="BalloonText"/>
    <w:uiPriority w:val="99"/>
    <w:semiHidden/>
    <w:rsid w:val="00950A7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A78"/>
    <w:rPr>
      <w:color w:val="808080"/>
    </w:rPr>
  </w:style>
  <w:style w:type="paragraph" w:styleId="BalloonText">
    <w:name w:val="Balloon Text"/>
    <w:basedOn w:val="Normal"/>
    <w:link w:val="BalloonTextChar"/>
    <w:uiPriority w:val="99"/>
    <w:semiHidden/>
    <w:unhideWhenUsed/>
    <w:rsid w:val="00950A78"/>
    <w:rPr>
      <w:rFonts w:ascii="Lucida Grande" w:hAnsi="Lucida Grande"/>
      <w:sz w:val="18"/>
      <w:szCs w:val="18"/>
    </w:rPr>
  </w:style>
  <w:style w:type="character" w:customStyle="1" w:styleId="BalloonTextChar">
    <w:name w:val="Balloon Text Char"/>
    <w:basedOn w:val="DefaultParagraphFont"/>
    <w:link w:val="BalloonText"/>
    <w:uiPriority w:val="99"/>
    <w:semiHidden/>
    <w:rsid w:val="00950A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113">
      <w:bodyDiv w:val="1"/>
      <w:marLeft w:val="0"/>
      <w:marRight w:val="0"/>
      <w:marTop w:val="0"/>
      <w:marBottom w:val="0"/>
      <w:divBdr>
        <w:top w:val="none" w:sz="0" w:space="0" w:color="auto"/>
        <w:left w:val="none" w:sz="0" w:space="0" w:color="auto"/>
        <w:bottom w:val="none" w:sz="0" w:space="0" w:color="auto"/>
        <w:right w:val="none" w:sz="0" w:space="0" w:color="auto"/>
      </w:divBdr>
    </w:div>
    <w:div w:id="525599241">
      <w:bodyDiv w:val="1"/>
      <w:marLeft w:val="0"/>
      <w:marRight w:val="0"/>
      <w:marTop w:val="0"/>
      <w:marBottom w:val="0"/>
      <w:divBdr>
        <w:top w:val="none" w:sz="0" w:space="0" w:color="auto"/>
        <w:left w:val="none" w:sz="0" w:space="0" w:color="auto"/>
        <w:bottom w:val="none" w:sz="0" w:space="0" w:color="auto"/>
        <w:right w:val="none" w:sz="0" w:space="0" w:color="auto"/>
      </w:divBdr>
    </w:div>
    <w:div w:id="900215416">
      <w:bodyDiv w:val="1"/>
      <w:marLeft w:val="0"/>
      <w:marRight w:val="0"/>
      <w:marTop w:val="0"/>
      <w:marBottom w:val="0"/>
      <w:divBdr>
        <w:top w:val="none" w:sz="0" w:space="0" w:color="auto"/>
        <w:left w:val="none" w:sz="0" w:space="0" w:color="auto"/>
        <w:bottom w:val="none" w:sz="0" w:space="0" w:color="auto"/>
        <w:right w:val="none" w:sz="0" w:space="0" w:color="auto"/>
      </w:divBdr>
    </w:div>
    <w:div w:id="1170292705">
      <w:bodyDiv w:val="1"/>
      <w:marLeft w:val="0"/>
      <w:marRight w:val="0"/>
      <w:marTop w:val="0"/>
      <w:marBottom w:val="0"/>
      <w:divBdr>
        <w:top w:val="none" w:sz="0" w:space="0" w:color="auto"/>
        <w:left w:val="none" w:sz="0" w:space="0" w:color="auto"/>
        <w:bottom w:val="none" w:sz="0" w:space="0" w:color="auto"/>
        <w:right w:val="none" w:sz="0" w:space="0" w:color="auto"/>
      </w:divBdr>
    </w:div>
    <w:div w:id="1519193468">
      <w:bodyDiv w:val="1"/>
      <w:marLeft w:val="0"/>
      <w:marRight w:val="0"/>
      <w:marTop w:val="0"/>
      <w:marBottom w:val="0"/>
      <w:divBdr>
        <w:top w:val="none" w:sz="0" w:space="0" w:color="auto"/>
        <w:left w:val="none" w:sz="0" w:space="0" w:color="auto"/>
        <w:bottom w:val="none" w:sz="0" w:space="0" w:color="auto"/>
        <w:right w:val="none" w:sz="0" w:space="0" w:color="auto"/>
      </w:divBdr>
    </w:div>
    <w:div w:id="1584610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Spacecraft%20Systems%20Laboratory:Lab2:Prob%201%20Templat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Spacecraft%20Systems%20Laboratory:Lab2:Prob%201%20Templ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0"/>
          <c:tx>
            <c:v>Isothermal</c:v>
          </c:tx>
          <c:spPr>
            <a:ln>
              <a:solidFill>
                <a:schemeClr val="tx1"/>
              </a:solidFill>
              <a:prstDash val="sysDash"/>
            </a:ln>
          </c:spPr>
          <c:marker>
            <c:symbol val="none"/>
          </c:marker>
          <c:cat>
            <c:numRef>
              <c:f>Sheet1!$C$19:$L$19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Sheet1!$C$21:$L$21</c:f>
              <c:numCache>
                <c:formatCode>General</c:formatCode>
                <c:ptCount val="10"/>
                <c:pt idx="0">
                  <c:v>0.483479855175701</c:v>
                </c:pt>
                <c:pt idx="1">
                  <c:v>0.966959710351403</c:v>
                </c:pt>
                <c:pt idx="2">
                  <c:v>1.450439565527105</c:v>
                </c:pt>
                <c:pt idx="3">
                  <c:v>1.933919420702806</c:v>
                </c:pt>
                <c:pt idx="4">
                  <c:v>2.417399275878508</c:v>
                </c:pt>
                <c:pt idx="5">
                  <c:v>2.900879131054209</c:v>
                </c:pt>
                <c:pt idx="6">
                  <c:v>3.384358986229911</c:v>
                </c:pt>
                <c:pt idx="7">
                  <c:v>3.867838841405612</c:v>
                </c:pt>
                <c:pt idx="8">
                  <c:v>4.351318696581313</c:v>
                </c:pt>
                <c:pt idx="9">
                  <c:v>4.834798551757015</c:v>
                </c:pt>
              </c:numCache>
            </c:numRef>
          </c:val>
          <c:smooth val="0"/>
        </c:ser>
        <c:ser>
          <c:idx val="2"/>
          <c:order val="1"/>
          <c:tx>
            <c:v>Isentropic</c:v>
          </c:tx>
          <c:spPr>
            <a:ln>
              <a:solidFill>
                <a:schemeClr val="tx1"/>
              </a:solidFill>
            </a:ln>
          </c:spPr>
          <c:marker>
            <c:symbol val="none"/>
          </c:marker>
          <c:cat>
            <c:numRef>
              <c:f>Sheet1!$C$19:$L$19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Sheet1!$C$23:$L$23</c:f>
              <c:numCache>
                <c:formatCode>General</c:formatCode>
                <c:ptCount val="10"/>
                <c:pt idx="0">
                  <c:v>0.633972352919337</c:v>
                </c:pt>
                <c:pt idx="1">
                  <c:v>1.267944705838674</c:v>
                </c:pt>
                <c:pt idx="2">
                  <c:v>1.901917058758011</c:v>
                </c:pt>
                <c:pt idx="3">
                  <c:v>2.535889411677348</c:v>
                </c:pt>
                <c:pt idx="4">
                  <c:v>3.169861764596685</c:v>
                </c:pt>
                <c:pt idx="5">
                  <c:v>3.803834117516022</c:v>
                </c:pt>
                <c:pt idx="6">
                  <c:v>4.437806470435359</c:v>
                </c:pt>
                <c:pt idx="7">
                  <c:v>5.071778823354695</c:v>
                </c:pt>
                <c:pt idx="8">
                  <c:v>5.705751176274033</c:v>
                </c:pt>
                <c:pt idx="9">
                  <c:v>6.33972352919337</c:v>
                </c:pt>
              </c:numCache>
            </c:numRef>
          </c:val>
          <c:smooth val="0"/>
        </c:ser>
        <c:dLbls>
          <c:showLegendKey val="0"/>
          <c:showVal val="0"/>
          <c:showCatName val="0"/>
          <c:showSerName val="0"/>
          <c:showPercent val="0"/>
          <c:showBubbleSize val="0"/>
        </c:dLbls>
        <c:marker val="1"/>
        <c:smooth val="0"/>
        <c:axId val="2078069160"/>
        <c:axId val="2078074824"/>
      </c:lineChart>
      <c:catAx>
        <c:axId val="2078069160"/>
        <c:scaling>
          <c:orientation val="minMax"/>
        </c:scaling>
        <c:delete val="0"/>
        <c:axPos val="b"/>
        <c:majorGridlines/>
        <c:title>
          <c:tx>
            <c:rich>
              <a:bodyPr/>
              <a:lstStyle/>
              <a:p>
                <a:pPr>
                  <a:defRPr/>
                </a:pPr>
                <a:r>
                  <a:rPr lang="en-US"/>
                  <a:t>Propellant tank volume</a:t>
                </a:r>
                <a:r>
                  <a:rPr lang="en-US" baseline="0"/>
                  <a:t> (m^3)</a:t>
                </a:r>
              </a:p>
            </c:rich>
          </c:tx>
          <c:layout>
            <c:manualLayout>
              <c:xMode val="edge"/>
              <c:yMode val="edge"/>
              <c:x val="0.250606408573928"/>
              <c:y val="0.894893258459169"/>
            </c:manualLayout>
          </c:layout>
          <c:overlay val="0"/>
        </c:title>
        <c:numFmt formatCode="General" sourceLinked="1"/>
        <c:majorTickMark val="out"/>
        <c:minorTickMark val="none"/>
        <c:tickLblPos val="nextTo"/>
        <c:crossAx val="2078074824"/>
        <c:crosses val="autoZero"/>
        <c:auto val="1"/>
        <c:lblAlgn val="ctr"/>
        <c:lblOffset val="100"/>
        <c:noMultiLvlLbl val="0"/>
      </c:catAx>
      <c:valAx>
        <c:axId val="2078074824"/>
        <c:scaling>
          <c:orientation val="minMax"/>
        </c:scaling>
        <c:delete val="0"/>
        <c:axPos val="l"/>
        <c:majorGridlines/>
        <c:title>
          <c:tx>
            <c:rich>
              <a:bodyPr rot="-5400000" vert="horz"/>
              <a:lstStyle/>
              <a:p>
                <a:pPr>
                  <a:defRPr/>
                </a:pPr>
                <a:r>
                  <a:rPr lang="en-US"/>
                  <a:t>Pressurant tank</a:t>
                </a:r>
                <a:r>
                  <a:rPr lang="en-US" baseline="0"/>
                  <a:t> volume (m^3)</a:t>
                </a:r>
                <a:endParaRPr lang="en-US"/>
              </a:p>
            </c:rich>
          </c:tx>
          <c:layout/>
          <c:overlay val="0"/>
        </c:title>
        <c:numFmt formatCode="General" sourceLinked="1"/>
        <c:majorTickMark val="out"/>
        <c:minorTickMark val="none"/>
        <c:tickLblPos val="nextTo"/>
        <c:crossAx val="20780691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0"/>
          <c:tx>
            <c:v>Isothermal</c:v>
          </c:tx>
          <c:spPr>
            <a:ln>
              <a:solidFill>
                <a:schemeClr val="tx1"/>
              </a:solidFill>
              <a:prstDash val="sysDash"/>
            </a:ln>
          </c:spPr>
          <c:marker>
            <c:symbol val="none"/>
          </c:marker>
          <c:cat>
            <c:numRef>
              <c:f>Sheet1!$C$20:$L$20</c:f>
              <c:numCache>
                <c:formatCode>0</c:formatCode>
                <c:ptCount val="10"/>
                <c:pt idx="0">
                  <c:v>72.47546057667516</c:v>
                </c:pt>
                <c:pt idx="1">
                  <c:v>132.6352734715904</c:v>
                </c:pt>
                <c:pt idx="2">
                  <c:v>188.8830582701962</c:v>
                </c:pt>
                <c:pt idx="3">
                  <c:v>242.732031351109</c:v>
                </c:pt>
                <c:pt idx="4">
                  <c:v>294.8647998262407</c:v>
                </c:pt>
                <c:pt idx="5">
                  <c:v>345.6694981788153</c:v>
                </c:pt>
                <c:pt idx="6">
                  <c:v>395.3957209985944</c:v>
                </c:pt>
                <c:pt idx="7">
                  <c:v>444.2169680937534</c:v>
                </c:pt>
                <c:pt idx="8">
                  <c:v>492.2605447088973</c:v>
                </c:pt>
                <c:pt idx="9">
                  <c:v>539.623660904141</c:v>
                </c:pt>
              </c:numCache>
            </c:numRef>
          </c:cat>
          <c:val>
            <c:numRef>
              <c:f>Sheet1!$C$22:$L$22</c:f>
              <c:numCache>
                <c:formatCode>General</c:formatCode>
                <c:ptCount val="10"/>
                <c:pt idx="0">
                  <c:v>31.53878172103541</c:v>
                </c:pt>
                <c:pt idx="1">
                  <c:v>63.07756344207082</c:v>
                </c:pt>
                <c:pt idx="2">
                  <c:v>94.61634516310625</c:v>
                </c:pt>
                <c:pt idx="3">
                  <c:v>126.1551268841416</c:v>
                </c:pt>
                <c:pt idx="4">
                  <c:v>157.6939086051771</c:v>
                </c:pt>
                <c:pt idx="5">
                  <c:v>189.2326903262125</c:v>
                </c:pt>
                <c:pt idx="6">
                  <c:v>220.7714720472479</c:v>
                </c:pt>
                <c:pt idx="7">
                  <c:v>252.3102537682833</c:v>
                </c:pt>
                <c:pt idx="8">
                  <c:v>283.8490354893186</c:v>
                </c:pt>
                <c:pt idx="9">
                  <c:v>315.3878172103541</c:v>
                </c:pt>
              </c:numCache>
            </c:numRef>
          </c:val>
          <c:smooth val="0"/>
        </c:ser>
        <c:ser>
          <c:idx val="2"/>
          <c:order val="1"/>
          <c:tx>
            <c:v>Isentropic</c:v>
          </c:tx>
          <c:spPr>
            <a:ln>
              <a:solidFill>
                <a:schemeClr val="tx1"/>
              </a:solidFill>
            </a:ln>
          </c:spPr>
          <c:marker>
            <c:symbol val="none"/>
          </c:marker>
          <c:cat>
            <c:numRef>
              <c:f>Sheet1!$C$20:$L$20</c:f>
              <c:numCache>
                <c:formatCode>0</c:formatCode>
                <c:ptCount val="10"/>
                <c:pt idx="0">
                  <c:v>72.47546057667516</c:v>
                </c:pt>
                <c:pt idx="1">
                  <c:v>132.6352734715904</c:v>
                </c:pt>
                <c:pt idx="2">
                  <c:v>188.8830582701962</c:v>
                </c:pt>
                <c:pt idx="3">
                  <c:v>242.732031351109</c:v>
                </c:pt>
                <c:pt idx="4">
                  <c:v>294.8647998262407</c:v>
                </c:pt>
                <c:pt idx="5">
                  <c:v>345.6694981788153</c:v>
                </c:pt>
                <c:pt idx="6">
                  <c:v>395.3957209985944</c:v>
                </c:pt>
                <c:pt idx="7">
                  <c:v>444.2169680937534</c:v>
                </c:pt>
                <c:pt idx="8">
                  <c:v>492.2605447088973</c:v>
                </c:pt>
                <c:pt idx="9">
                  <c:v>539.623660904141</c:v>
                </c:pt>
              </c:numCache>
            </c:numRef>
          </c:cat>
          <c:val>
            <c:numRef>
              <c:f>Sheet1!$C$24:$L$24</c:f>
              <c:numCache>
                <c:formatCode>General</c:formatCode>
                <c:ptCount val="10"/>
                <c:pt idx="0">
                  <c:v>41.35584025238841</c:v>
                </c:pt>
                <c:pt idx="1">
                  <c:v>82.71168050477682</c:v>
                </c:pt>
                <c:pt idx="2">
                  <c:v>124.0675207571652</c:v>
                </c:pt>
                <c:pt idx="3">
                  <c:v>165.4233610095536</c:v>
                </c:pt>
                <c:pt idx="4">
                  <c:v>206.7792012619421</c:v>
                </c:pt>
                <c:pt idx="5">
                  <c:v>248.1350415143305</c:v>
                </c:pt>
                <c:pt idx="6">
                  <c:v>289.4908817667189</c:v>
                </c:pt>
                <c:pt idx="7">
                  <c:v>330.8467220191073</c:v>
                </c:pt>
                <c:pt idx="8">
                  <c:v>372.2025622714957</c:v>
                </c:pt>
                <c:pt idx="9">
                  <c:v>413.5584025238841</c:v>
                </c:pt>
              </c:numCache>
            </c:numRef>
          </c:val>
          <c:smooth val="0"/>
        </c:ser>
        <c:dLbls>
          <c:showLegendKey val="0"/>
          <c:showVal val="0"/>
          <c:showCatName val="0"/>
          <c:showSerName val="0"/>
          <c:showPercent val="0"/>
          <c:showBubbleSize val="0"/>
        </c:dLbls>
        <c:marker val="1"/>
        <c:smooth val="0"/>
        <c:axId val="2073316632"/>
        <c:axId val="2073274888"/>
      </c:lineChart>
      <c:catAx>
        <c:axId val="2073316632"/>
        <c:scaling>
          <c:orientation val="minMax"/>
        </c:scaling>
        <c:delete val="0"/>
        <c:axPos val="b"/>
        <c:majorGridlines/>
        <c:title>
          <c:tx>
            <c:rich>
              <a:bodyPr/>
              <a:lstStyle/>
              <a:p>
                <a:pPr>
                  <a:defRPr/>
                </a:pPr>
                <a:r>
                  <a:rPr lang="en-US"/>
                  <a:t>Propellant tank mass(kg)</a:t>
                </a:r>
              </a:p>
            </c:rich>
          </c:tx>
          <c:layout/>
          <c:overlay val="0"/>
        </c:title>
        <c:numFmt formatCode="0" sourceLinked="1"/>
        <c:majorTickMark val="out"/>
        <c:minorTickMark val="none"/>
        <c:tickLblPos val="nextTo"/>
        <c:crossAx val="2073274888"/>
        <c:crosses val="autoZero"/>
        <c:auto val="1"/>
        <c:lblAlgn val="ctr"/>
        <c:lblOffset val="100"/>
        <c:noMultiLvlLbl val="0"/>
      </c:catAx>
      <c:valAx>
        <c:axId val="2073274888"/>
        <c:scaling>
          <c:orientation val="minMax"/>
        </c:scaling>
        <c:delete val="0"/>
        <c:axPos val="l"/>
        <c:majorGridlines/>
        <c:title>
          <c:tx>
            <c:rich>
              <a:bodyPr rot="-5400000" vert="horz"/>
              <a:lstStyle/>
              <a:p>
                <a:pPr>
                  <a:defRPr/>
                </a:pPr>
                <a:r>
                  <a:rPr lang="en-US"/>
                  <a:t>Pressurant tank mass (kg)</a:t>
                </a:r>
              </a:p>
            </c:rich>
          </c:tx>
          <c:layout/>
          <c:overlay val="0"/>
        </c:title>
        <c:numFmt formatCode="General" sourceLinked="1"/>
        <c:majorTickMark val="out"/>
        <c:minorTickMark val="none"/>
        <c:tickLblPos val="nextTo"/>
        <c:crossAx val="20733166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C22C6-8F80-F742-A247-96759C71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235</Words>
  <Characters>1340</Characters>
  <Application>Microsoft Macintosh Word</Application>
  <DocSecurity>0</DocSecurity>
  <Lines>11</Lines>
  <Paragraphs>3</Paragraphs>
  <ScaleCrop>false</ScaleCrop>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Zachary Tschirhart</cp:lastModifiedBy>
  <cp:revision>2</cp:revision>
  <cp:lastPrinted>2013-09-26T12:26:00Z</cp:lastPrinted>
  <dcterms:created xsi:type="dcterms:W3CDTF">2013-09-10T01:55:00Z</dcterms:created>
  <dcterms:modified xsi:type="dcterms:W3CDTF">2013-09-26T12:26:00Z</dcterms:modified>
</cp:coreProperties>
</file>