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0"/>
        <w:jc w:val="center"/>
      </w:pPr>
      <w:r>
        <w:rPr>
          <w:rFonts w:ascii="华文中宋" w:hAnsi="华文中宋" w:eastAsia="华文中宋"/>
          <w:b/>
          <w:color w:val="000000"/>
          <w:sz w:val="44"/>
        </w:rPr>
        <w:t>【X月X日】国务院常务会议舆情综述</w:t>
      </w:r>
    </w:p>
    <w:p>
      <w:r>
        <w:t>国务院总理李强【X月X日】主持召开国务院常务会议，【议题一】，【议题二】，【议题三】。本次国务院常务会议舆情传播情况如下：</w:t>
      </w:r>
    </w:p>
    <w:p>
      <w:pPr>
        <w:pStyle w:val="Heading1"/>
        <w:spacing w:before="0" w:after="0" w:line="240" w:lineRule="auto"/>
        <w:ind w:firstLine="640"/>
        <w:jc w:val="both"/>
      </w:pPr>
      <w:r>
        <w:rPr>
          <w:rFonts w:ascii="黑体" w:hAnsi="黑体" w:eastAsia="黑体"/>
          <w:b w:val="0"/>
          <w:color w:val="000000"/>
          <w:sz w:val="32"/>
        </w:rPr>
        <w:t>一、舆情传播情况</w:t>
      </w:r>
    </w:p>
    <w:p>
      <w:pPr>
        <w:pStyle w:val="Heading2"/>
        <w:spacing w:before="0" w:after="0" w:line="240" w:lineRule="auto"/>
        <w:ind w:firstLine="643"/>
        <w:jc w:val="left"/>
      </w:pPr>
      <w:r>
        <w:rPr>
          <w:rFonts w:ascii="楷体_GB2312" w:hAnsi="楷体_GB2312" w:eastAsia="楷体_GB2312"/>
          <w:b/>
          <w:color w:val="000000"/>
          <w:sz w:val="32"/>
        </w:rPr>
        <w:t>（一）总事件传播情况</w:t>
      </w:r>
    </w:p>
    <w:p>
      <w:r>
        <w:t>本次常务会引发境内外媒体广泛报道，境内外传播总量约【总量】条，舆论关注“李强主持召开国务院常务会议 【首个议题】等”相关话题。经发酵，舆情热度于【峰值日期】达到峰值。</w:t>
      </w:r>
    </w:p>
    <w:p>
      <w:r>
        <w:t>境内主流媒体如人民网、新华网、央视网等均在显著位置刊文，共有相关报道【境内主流媒体量】条。</w:t>
      </w:r>
    </w:p>
    <w:p>
      <w:r>
        <w:t>新媒体中，微信公众平台相关信息【微信量】条、微博相关信息【微博量】条，视频号相关信息【视频号量】条，新闻客户端、论坛等渠道共有相关信息【其他新媒体量】条。</w:t>
      </w:r>
    </w:p>
    <w:p>
      <w:r>
        <w:t>境外媒体如【代表性境外媒体一】、【代表性境外媒体二】、【代表性境外媒体三】等予以关注，共有相关报道（含转载）【境外量】条。具体主流报道情况见附表。</w:t>
      </w:r>
    </w:p>
    <w:p>
      <w:r>
        <w:t>【此处插入总事件传播走势图；横轴为监测日期，纵轴为传播量，标注峰值日。】</w:t>
      </w:r>
    </w:p>
    <w:p>
      <w:pPr>
        <w:pStyle w:val="Heading2"/>
        <w:spacing w:before="0" w:after="0" w:line="240" w:lineRule="auto"/>
        <w:ind w:firstLine="643"/>
        <w:jc w:val="left"/>
      </w:pPr>
      <w:r>
        <w:rPr>
          <w:rFonts w:ascii="楷体_GB2312" w:hAnsi="楷体_GB2312" w:eastAsia="楷体_GB2312"/>
          <w:b/>
          <w:color w:val="000000"/>
          <w:sz w:val="32"/>
        </w:rPr>
        <w:t>（二）子议题传播情况</w:t>
      </w:r>
    </w:p>
    <w:tbl>
      <w:tblPr>
        <w:tblStyle w:val="TableGrid"/>
        <w:tblW w:type="dxa" w:w="8416"/>
        <w:jc w:val="center"/>
        <w:tblLayout w:type="fixed"/>
        <w:tblLook w:firstColumn="1" w:firstRow="1" w:lastColumn="0" w:lastRow="0" w:noHBand="0" w:noVBand="1" w:val="04A0"/>
      </w:tblPr>
      <w:tblGrid>
        <w:gridCol w:w="710"/>
        <w:gridCol w:w="1558"/>
        <w:gridCol w:w="944"/>
        <w:gridCol w:w="1040"/>
        <w:gridCol w:w="850"/>
        <w:gridCol w:w="994"/>
        <w:gridCol w:w="850"/>
        <w:gridCol w:w="814"/>
        <w:gridCol w:w="656"/>
      </w:tblGrid>
      <w:tr>
        <w:trPr>
          <w:tblHeader/>
          <w:cantSplit/>
        </w:trPr>
        <w:tc>
          <w:tcPr>
            <w:tcW w:type="dxa" w:w="922"/>
            <w:vMerge w:val="restart"/>
            <w:vAlign w:val="center"/>
          </w:tcPr>
          <w:p>
            <w:pPr>
              <w:spacing w:before="0" w:after="0"/>
              <w:ind w:firstLine="0"/>
              <w:jc w:val="center"/>
            </w:pPr>
            <w:r>
              <w:rPr>
                <w:rFonts w:ascii="微软雅黑" w:hAnsi="微软雅黑" w:eastAsia="微软雅黑"/>
                <w:b/>
                <w:color w:val="000000"/>
                <w:sz w:val="22"/>
              </w:rPr>
              <w:t>序号</w:t>
            </w:r>
          </w:p>
        </w:tc>
        <w:tc>
          <w:tcPr>
            <w:tcW w:type="dxa" w:w="922"/>
            <w:vMerge w:val="restart"/>
            <w:vAlign w:val="center"/>
          </w:tcPr>
          <w:p>
            <w:pPr>
              <w:spacing w:before="0" w:after="0"/>
              <w:ind w:firstLine="0"/>
              <w:jc w:val="center"/>
            </w:pPr>
            <w:r>
              <w:rPr>
                <w:rFonts w:ascii="微软雅黑" w:hAnsi="微软雅黑" w:eastAsia="微软雅黑"/>
                <w:b/>
                <w:color w:val="000000"/>
                <w:sz w:val="22"/>
              </w:rPr>
              <w:t>标题</w:t>
            </w:r>
          </w:p>
        </w:tc>
        <w:tc>
          <w:tcPr>
            <w:tcW w:type="dxa" w:w="922"/>
            <w:vMerge w:val="restart"/>
            <w:vAlign w:val="center"/>
          </w:tcPr>
          <w:p>
            <w:pPr>
              <w:spacing w:before="0" w:after="0"/>
              <w:ind w:firstLine="0"/>
              <w:jc w:val="center"/>
            </w:pPr>
            <w:r>
              <w:rPr>
                <w:rFonts w:ascii="微软雅黑" w:hAnsi="微软雅黑" w:eastAsia="微软雅黑"/>
                <w:b/>
                <w:color w:val="000000"/>
                <w:sz w:val="22"/>
              </w:rPr>
              <w:t>境内主流媒体</w:t>
            </w:r>
          </w:p>
        </w:tc>
        <w:tc>
          <w:tcPr>
            <w:tcW w:type="dxa" w:w="922"/>
            <w:vMerge w:val="restart"/>
            <w:vAlign w:val="center"/>
          </w:tcPr>
          <w:p>
            <w:pPr>
              <w:spacing w:before="0" w:after="0"/>
              <w:ind w:firstLine="0"/>
              <w:jc w:val="center"/>
            </w:pPr>
            <w:r>
              <w:rPr>
                <w:rFonts w:ascii="微软雅黑" w:hAnsi="微软雅黑" w:eastAsia="微软雅黑"/>
                <w:b/>
                <w:color w:val="000000"/>
                <w:sz w:val="22"/>
              </w:rPr>
              <w:t>新媒体</w:t>
            </w:r>
          </w:p>
        </w:tc>
        <w:tc>
          <w:tcPr>
            <w:tcW w:type="dxa" w:w="922"/>
            <w:vMerge w:val="restart"/>
            <w:vAlign w:val="center"/>
          </w:tcPr>
          <w:p>
            <w:pPr>
              <w:spacing w:before="0" w:after="0"/>
              <w:ind w:firstLine="0"/>
              <w:jc w:val="center"/>
            </w:pPr>
            <w:r>
              <w:rPr>
                <w:rFonts w:ascii="微软雅黑" w:hAnsi="微软雅黑" w:eastAsia="微软雅黑"/>
                <w:b/>
                <w:color w:val="000000"/>
                <w:sz w:val="22"/>
              </w:rPr>
              <w:t>境外媒体</w:t>
            </w:r>
          </w:p>
        </w:tc>
        <w:tc>
          <w:tcPr>
            <w:tcW w:type="dxa" w:w="922"/>
            <w:vMerge w:val="restart"/>
            <w:vAlign w:val="center"/>
          </w:tcPr>
          <w:p>
            <w:pPr>
              <w:spacing w:before="0" w:after="0"/>
              <w:ind w:firstLine="0"/>
              <w:jc w:val="center"/>
            </w:pPr>
            <w:r>
              <w:rPr>
                <w:rFonts w:ascii="微软雅黑" w:hAnsi="微软雅黑" w:eastAsia="微软雅黑"/>
                <w:b/>
                <w:color w:val="000000"/>
                <w:sz w:val="22"/>
              </w:rPr>
              <w:t>总量</w:t>
            </w:r>
          </w:p>
        </w:tc>
        <w:tc>
          <w:tcPr>
            <w:tcW w:type="dxa" w:w="2766"/>
            <w:gridSpan w:val="3"/>
            <w:vAlign w:val="center"/>
          </w:tcPr>
          <w:p>
            <w:pPr>
              <w:spacing w:before="0" w:after="0"/>
              <w:ind w:firstLine="0"/>
              <w:jc w:val="center"/>
            </w:pPr>
            <w:r>
              <w:rPr>
                <w:rFonts w:ascii="微软雅黑" w:hAnsi="微软雅黑" w:eastAsia="微软雅黑"/>
                <w:b/>
                <w:color w:val="000000"/>
                <w:sz w:val="22"/>
              </w:rPr>
              <w:t>网民情感</w:t>
            </w:r>
          </w:p>
        </w:tc>
      </w:tr>
      <w:tr>
        <w:trPr>
          <w:tblHeader/>
          <w:cantSplit/>
        </w:trPr>
        <w:tc>
          <w:tcPr>
            <w:tcW w:type="dxa" w:w="922"/>
            <w:vMerge/>
          </w:tcPr>
          <w:p/>
        </w:tc>
        <w:tc>
          <w:tcPr>
            <w:tcW w:type="dxa" w:w="922"/>
            <w:vMerge/>
          </w:tcPr>
          <w:p/>
        </w:tc>
        <w:tc>
          <w:tcPr>
            <w:tcW w:type="dxa" w:w="922"/>
            <w:vMerge/>
          </w:tcPr>
          <w:p/>
        </w:tc>
        <w:tc>
          <w:tcPr>
            <w:tcW w:type="dxa" w:w="922"/>
            <w:vMerge/>
          </w:tcPr>
          <w:p/>
        </w:tc>
        <w:tc>
          <w:tcPr>
            <w:tcW w:type="dxa" w:w="922"/>
            <w:vMerge/>
          </w:tcPr>
          <w:p/>
        </w:tc>
        <w:tc>
          <w:tcPr>
            <w:tcW w:type="dxa" w:w="922"/>
            <w:vMerge/>
          </w:tcPr>
          <w:p/>
        </w:tc>
        <w:tc>
          <w:tcPr>
            <w:tcW w:type="dxa" w:w="922"/>
            <w:vAlign w:val="center"/>
          </w:tcPr>
          <w:p>
            <w:pPr>
              <w:spacing w:before="0" w:after="0"/>
              <w:ind w:firstLine="0"/>
              <w:jc w:val="center"/>
            </w:pPr>
            <w:r>
              <w:rPr>
                <w:rFonts w:ascii="微软雅黑" w:hAnsi="微软雅黑" w:eastAsia="微软雅黑"/>
                <w:b/>
                <w:color w:val="000000"/>
                <w:sz w:val="22"/>
              </w:rPr>
              <w:t>正面</w:t>
            </w:r>
          </w:p>
        </w:tc>
        <w:tc>
          <w:tcPr>
            <w:tcW w:type="dxa" w:w="922"/>
            <w:vAlign w:val="center"/>
          </w:tcPr>
          <w:p>
            <w:pPr>
              <w:spacing w:before="0" w:after="0"/>
              <w:ind w:firstLine="0"/>
              <w:jc w:val="center"/>
            </w:pPr>
            <w:r>
              <w:rPr>
                <w:rFonts w:ascii="微软雅黑" w:hAnsi="微软雅黑" w:eastAsia="微软雅黑"/>
                <w:b/>
                <w:color w:val="000000"/>
                <w:sz w:val="22"/>
              </w:rPr>
              <w:t>中立</w:t>
            </w:r>
          </w:p>
        </w:tc>
        <w:tc>
          <w:tcPr>
            <w:tcW w:type="dxa" w:w="922"/>
            <w:vAlign w:val="center"/>
          </w:tcPr>
          <w:p>
            <w:pPr>
              <w:spacing w:before="0" w:after="0"/>
              <w:ind w:firstLine="0"/>
              <w:jc w:val="center"/>
            </w:pPr>
            <w:r>
              <w:rPr>
                <w:rFonts w:ascii="微软雅黑" w:hAnsi="微软雅黑" w:eastAsia="微软雅黑"/>
                <w:b/>
                <w:color w:val="000000"/>
                <w:sz w:val="22"/>
              </w:rPr>
              <w:t>负面</w:t>
            </w:r>
          </w:p>
        </w:tc>
      </w:tr>
      <w:tr>
        <w:trPr>
          <w:cantSplit/>
        </w:trPr>
        <w:tc>
          <w:tcPr>
            <w:tcW w:type="dxa" w:w="922"/>
            <w:vAlign w:val="center"/>
          </w:tcPr>
          <w:p>
            <w:pPr>
              <w:spacing w:before="0" w:after="0"/>
              <w:ind w:firstLine="0"/>
              <w:jc w:val="center"/>
            </w:pPr>
            <w:r>
              <w:rPr>
                <w:rFonts w:ascii="微软雅黑" w:hAnsi="微软雅黑" w:eastAsia="微软雅黑"/>
                <w:b w:val="0"/>
                <w:color w:val="000000"/>
                <w:sz w:val="22"/>
              </w:rPr>
              <w:t>1</w:t>
            </w:r>
          </w:p>
        </w:tc>
        <w:tc>
          <w:tcPr>
            <w:tcW w:type="dxa" w:w="922"/>
            <w:vAlign w:val="center"/>
          </w:tcPr>
          <w:p>
            <w:pPr>
              <w:spacing w:before="0" w:after="0"/>
              <w:ind w:firstLine="0"/>
              <w:jc w:val="center"/>
            </w:pPr>
            <w:r>
              <w:rPr>
                <w:rFonts w:ascii="微软雅黑" w:hAnsi="微软雅黑" w:eastAsia="微软雅黑"/>
                <w:b w:val="0"/>
                <w:color w:val="000000"/>
                <w:sz w:val="22"/>
              </w:rPr>
              <w:t>【子议题标题】</w:t>
            </w:r>
          </w:p>
        </w:tc>
        <w:tc>
          <w:tcPr>
            <w:tcW w:type="dxa" w:w="922"/>
            <w:vAlign w:val="center"/>
          </w:tcPr>
          <w:p>
            <w:pPr>
              <w:spacing w:before="0" w:after="0"/>
              <w:ind w:firstLine="0"/>
              <w:jc w:val="center"/>
            </w:pPr>
            <w:r>
              <w:rPr>
                <w:rFonts w:ascii="微软雅黑" w:hAnsi="微软雅黑" w:eastAsia="微软雅黑"/>
                <w:b w:val="0"/>
                <w:color w:val="000000"/>
                <w:sz w:val="22"/>
              </w:rPr>
              <w:t>【数值】</w:t>
            </w:r>
          </w:p>
        </w:tc>
        <w:tc>
          <w:tcPr>
            <w:tcW w:type="dxa" w:w="922"/>
            <w:vAlign w:val="center"/>
          </w:tcPr>
          <w:p>
            <w:pPr>
              <w:spacing w:before="0" w:after="0"/>
              <w:ind w:firstLine="0"/>
              <w:jc w:val="center"/>
            </w:pPr>
            <w:r>
              <w:rPr>
                <w:rFonts w:ascii="微软雅黑" w:hAnsi="微软雅黑" w:eastAsia="微软雅黑"/>
                <w:b w:val="0"/>
                <w:color w:val="000000"/>
                <w:sz w:val="22"/>
              </w:rPr>
              <w:t>【数值】</w:t>
            </w:r>
          </w:p>
        </w:tc>
        <w:tc>
          <w:tcPr>
            <w:tcW w:type="dxa" w:w="922"/>
            <w:vAlign w:val="center"/>
          </w:tcPr>
          <w:p>
            <w:pPr>
              <w:spacing w:before="0" w:after="0"/>
              <w:ind w:firstLine="0"/>
              <w:jc w:val="center"/>
            </w:pPr>
            <w:r>
              <w:rPr>
                <w:rFonts w:ascii="微软雅黑" w:hAnsi="微软雅黑" w:eastAsia="微软雅黑"/>
                <w:b w:val="0"/>
                <w:color w:val="000000"/>
                <w:sz w:val="22"/>
              </w:rPr>
              <w:t>【数值】</w:t>
            </w:r>
          </w:p>
        </w:tc>
        <w:tc>
          <w:tcPr>
            <w:tcW w:type="dxa" w:w="922"/>
            <w:vAlign w:val="center"/>
          </w:tcPr>
          <w:p>
            <w:pPr>
              <w:spacing w:before="0" w:after="0"/>
              <w:ind w:firstLine="0"/>
              <w:jc w:val="center"/>
            </w:pPr>
            <w:r>
              <w:rPr>
                <w:rFonts w:ascii="微软雅黑" w:hAnsi="微软雅黑" w:eastAsia="微软雅黑"/>
                <w:b w:val="0"/>
                <w:color w:val="000000"/>
                <w:sz w:val="22"/>
              </w:rPr>
              <w:t>【数值】</w:t>
            </w:r>
          </w:p>
        </w:tc>
        <w:tc>
          <w:tcPr>
            <w:tcW w:type="dxa" w:w="922"/>
            <w:vAlign w:val="center"/>
          </w:tcPr>
          <w:p>
            <w:pPr>
              <w:spacing w:before="0" w:after="0"/>
              <w:ind w:firstLine="0"/>
              <w:jc w:val="center"/>
            </w:pPr>
            <w:r>
              <w:rPr>
                <w:rFonts w:ascii="微软雅黑" w:hAnsi="微软雅黑" w:eastAsia="微软雅黑"/>
                <w:b w:val="0"/>
                <w:color w:val="000000"/>
                <w:sz w:val="22"/>
              </w:rPr>
              <w:t>【%】</w:t>
            </w:r>
          </w:p>
        </w:tc>
        <w:tc>
          <w:tcPr>
            <w:tcW w:type="dxa" w:w="922"/>
            <w:vAlign w:val="center"/>
          </w:tcPr>
          <w:p>
            <w:pPr>
              <w:spacing w:before="0" w:after="0"/>
              <w:ind w:firstLine="0"/>
              <w:jc w:val="center"/>
            </w:pPr>
            <w:r>
              <w:rPr>
                <w:rFonts w:ascii="微软雅黑" w:hAnsi="微软雅黑" w:eastAsia="微软雅黑"/>
                <w:b w:val="0"/>
                <w:color w:val="000000"/>
                <w:sz w:val="22"/>
              </w:rPr>
              <w:t>【%】</w:t>
            </w:r>
          </w:p>
        </w:tc>
        <w:tc>
          <w:tcPr>
            <w:tcW w:type="dxa" w:w="922"/>
            <w:vAlign w:val="center"/>
          </w:tcPr>
          <w:p>
            <w:pPr>
              <w:spacing w:before="0" w:after="0"/>
              <w:ind w:firstLine="0"/>
              <w:jc w:val="center"/>
            </w:pPr>
            <w:r>
              <w:rPr>
                <w:rFonts w:ascii="微软雅黑" w:hAnsi="微软雅黑" w:eastAsia="微软雅黑"/>
                <w:b w:val="0"/>
                <w:color w:val="000000"/>
                <w:sz w:val="22"/>
              </w:rPr>
              <w:t>【%】</w:t>
            </w:r>
          </w:p>
        </w:tc>
      </w:tr>
    </w:tbl>
    <w:p>
      <w:r>
        <w:t>【此处插入子议题传播量对比图；按总量排序，保留全部子议题。】</w:t>
      </w:r>
    </w:p>
    <w:p>
      <w:pPr>
        <w:pStyle w:val="Heading1"/>
        <w:spacing w:before="0" w:after="0" w:line="240" w:lineRule="auto"/>
        <w:ind w:firstLine="640"/>
        <w:jc w:val="both"/>
      </w:pPr>
      <w:r>
        <w:rPr>
          <w:rFonts w:ascii="黑体" w:hAnsi="黑体" w:eastAsia="黑体"/>
          <w:b w:val="0"/>
          <w:color w:val="000000"/>
          <w:sz w:val="32"/>
        </w:rPr>
        <w:t>二、境内舆论情况</w:t>
      </w:r>
    </w:p>
    <w:p>
      <w:pPr>
        <w:pStyle w:val="Heading2"/>
        <w:spacing w:before="0" w:after="0" w:line="240" w:lineRule="auto"/>
        <w:ind w:firstLine="643"/>
        <w:jc w:val="left"/>
      </w:pPr>
      <w:r>
        <w:rPr>
          <w:rFonts w:ascii="楷体_GB2312" w:hAnsi="楷体_GB2312" w:eastAsia="楷体_GB2312"/>
          <w:b/>
          <w:color w:val="000000"/>
          <w:sz w:val="32"/>
        </w:rPr>
        <w:t>（一）境内媒体自媒体情况</w:t>
      </w:r>
    </w:p>
    <w:p>
      <w:pPr>
        <w:pStyle w:val="Heading3"/>
        <w:spacing w:before="0" w:after="0" w:line="240" w:lineRule="auto"/>
        <w:ind w:firstLine="643"/>
        <w:jc w:val="both"/>
      </w:pPr>
      <w:r>
        <w:rPr>
          <w:rFonts w:ascii="仿宋_GB2312" w:hAnsi="仿宋_GB2312" w:eastAsia="仿宋_GB2312"/>
          <w:b/>
          <w:color w:val="000000"/>
          <w:sz w:val="32"/>
        </w:rPr>
        <w:t>1.【建议/认可/肯定/认为/期待类观点组标题】</w:t>
      </w:r>
    </w:p>
    <w:p>
      <w:r>
        <w:t>【单一稳定观点簇写法】某专家称，【观点内容】。某媒体报道称，【观点内容】。微信公众号“【账号】”称，【观点内容】。</w:t>
      </w:r>
    </w:p>
    <w:p>
      <w:r>
        <w:t>【多个稳定观点簇写法】一是【观点概括】。某专家称，【观点内容】。某媒体报道称，【观点内容】。微信公众号“【账号】”称，【观点内容】。</w:t>
      </w:r>
    </w:p>
    <w:p>
      <w:r>
        <w:t>二是【观点概括】。某机构认为，【观点内容】。</w:t>
      </w:r>
    </w:p>
    <w:p>
      <w:r>
        <w:t>三是【观点概括】。某媒体援引业内人士观点称，【观点内容】。</w:t>
      </w:r>
    </w:p>
    <w:p>
      <w:r>
        <w:t>四是【观点概括】。微信公众号“【账号】”称，【观点内容】。</w:t>
      </w:r>
    </w:p>
    <w:p>
      <w:r>
        <w:t>五是【观点概括】。【专家/媒体/机构】建议，【观点内容】。</w:t>
      </w:r>
    </w:p>
    <w:p>
      <w:pPr>
        <w:pStyle w:val="Heading3"/>
        <w:spacing w:before="0" w:after="0" w:line="240" w:lineRule="auto"/>
        <w:ind w:firstLine="643"/>
        <w:jc w:val="both"/>
      </w:pPr>
      <w:r>
        <w:rPr>
          <w:rFonts w:ascii="仿宋_GB2312" w:hAnsi="仿宋_GB2312" w:eastAsia="仿宋_GB2312"/>
          <w:b/>
          <w:color w:val="000000"/>
          <w:sz w:val="32"/>
        </w:rPr>
        <w:t>2.【下一子议题的观点组标题；按识别出的子议题动态扩展】</w:t>
      </w:r>
    </w:p>
    <w:p>
      <w:pPr>
        <w:pStyle w:val="Heading2"/>
        <w:spacing w:before="0" w:after="0" w:line="240" w:lineRule="auto"/>
        <w:ind w:firstLine="643"/>
        <w:jc w:val="left"/>
      </w:pPr>
      <w:r>
        <w:rPr>
          <w:rFonts w:ascii="楷体_GB2312" w:hAnsi="楷体_GB2312" w:eastAsia="楷体_GB2312"/>
          <w:b/>
          <w:color w:val="000000"/>
          <w:sz w:val="32"/>
        </w:rPr>
        <w:t>（二）网民评论情况</w:t>
      </w:r>
    </w:p>
    <w:p>
      <w:r>
        <w:t>网民有关本次国务院常务会议讨论的情感属性以积极正面和客观中立为主，主要有【评论关注点】等。主要评论如下：</w:t>
      </w:r>
    </w:p>
    <w:p>
      <w:r>
        <w:t>一是【评论类别】。网民称，“【评论原话】”“【评论原话】”。</w:t>
      </w:r>
    </w:p>
    <w:p>
      <w:r>
        <w:t>二是【评论类别】。网民称，“【评论原话】”“【评论原话】”。</w:t>
      </w:r>
    </w:p>
    <w:p>
      <w:r>
        <w:t>三是【评论类别】。网民称，“【评论原话】”“【评论原话】”。</w:t>
      </w:r>
    </w:p>
    <w:p>
      <w:r>
        <w:t>四是【评论类别】。网民称，“【评论原话】”“【评论原话】”。</w:t>
      </w:r>
    </w:p>
    <w:p>
      <w:r>
        <w:t>五是【评论类别】。网民称，“【评论原话】”“【评论原话】”。</w:t>
      </w:r>
    </w:p>
    <w:p>
      <w:pPr>
        <w:pStyle w:val="Heading2"/>
        <w:spacing w:before="0" w:after="0" w:line="240" w:lineRule="auto"/>
        <w:ind w:firstLine="643"/>
        <w:jc w:val="left"/>
      </w:pPr>
      <w:r>
        <w:rPr>
          <w:rFonts w:ascii="楷体_GB2312" w:hAnsi="楷体_GB2312" w:eastAsia="楷体_GB2312"/>
          <w:b/>
          <w:color w:val="000000"/>
          <w:sz w:val="32"/>
        </w:rPr>
        <w:t>（三）热词分布情况</w:t>
      </w:r>
    </w:p>
    <w:p>
      <w:r>
        <w:t>从热词分布来看，“【热词一】”“【热词二】”“【热词三】”等词位居前列，舆论【第一关注点解释】。“【热词四】”“【热词五】”“【热词六】”等词热度较高，舆论【第二关注点解释】。“【热词七】”“【热词八】”“【热词九】”等词热传，舆论【第三关注点解释】。“【热词十】”“【热词十一】”“【热词十二】”等词受到关注，舆论【第四关注点解释】。此外，“【补充热词】”等词也受到关注，舆论【补充关注点解释】。</w:t>
      </w:r>
    </w:p>
    <w:p>
      <w:r>
        <w:t>【此处插入词云或热词分布图；热词来自监测窗口内全部有效文本。】</w:t>
      </w:r>
    </w:p>
    <w:p>
      <w:pPr>
        <w:pStyle w:val="Heading1"/>
        <w:spacing w:before="0" w:after="0" w:line="240" w:lineRule="auto"/>
        <w:ind w:firstLine="640"/>
        <w:jc w:val="both"/>
      </w:pPr>
      <w:r>
        <w:rPr>
          <w:rFonts w:ascii="黑体" w:hAnsi="黑体" w:eastAsia="黑体"/>
          <w:b w:val="0"/>
          <w:color w:val="000000"/>
          <w:sz w:val="32"/>
        </w:rPr>
        <w:t>三、境外舆论情况</w:t>
      </w:r>
    </w:p>
    <w:p>
      <w:pPr>
        <w:pStyle w:val="Heading2"/>
        <w:spacing w:before="0" w:after="0" w:line="240" w:lineRule="auto"/>
        <w:ind w:firstLine="643"/>
        <w:jc w:val="left"/>
      </w:pPr>
      <w:r>
        <w:rPr>
          <w:rFonts w:ascii="楷体_GB2312" w:hAnsi="楷体_GB2312" w:eastAsia="楷体_GB2312"/>
          <w:b/>
          <w:color w:val="000000"/>
          <w:sz w:val="32"/>
        </w:rPr>
        <w:t>（一）境外媒体情况</w:t>
      </w:r>
    </w:p>
    <w:p>
      <w:r>
        <w:t>【仅有事实性报道时】数据周期内，境外媒体以事实性报道为主。如【来源】文章《【标题】》、【来源】文章《【标题】》、【来源】文章《【标题】》等，暂无评论性文章。</w:t>
      </w:r>
    </w:p>
    <w:p>
      <w:r>
        <w:t>【存在评论性解读时】数据周期内，境外媒体以事实性报道为主。如【来源】文章《【标题】》、【来源】文章《【标题】》、【来源】文章《【标题】》等，少量解读如下：</w:t>
      </w:r>
    </w:p>
    <w:p>
      <w:r>
        <w:t>【解读主题判断】。【境外媒体】引述【专家/机构】观点称，【核心解读或风险叙事】。</w:t>
      </w:r>
    </w:p>
    <w:p>
      <w:pPr>
        <w:pStyle w:val="Heading2"/>
        <w:spacing w:before="0" w:after="0" w:line="240" w:lineRule="auto"/>
        <w:ind w:firstLine="643"/>
        <w:jc w:val="left"/>
      </w:pPr>
      <w:r>
        <w:rPr>
          <w:rFonts w:ascii="楷体_GB2312" w:hAnsi="楷体_GB2312" w:eastAsia="楷体_GB2312"/>
          <w:b/>
          <w:color w:val="000000"/>
          <w:sz w:val="32"/>
        </w:rPr>
        <w:t>（二）境外网民评论</w:t>
      </w:r>
    </w:p>
    <w:p>
      <w:r>
        <w:t>境外网民对本次国务院常务会议关注度较低，暂无评论性观点。</w:t>
      </w:r>
    </w:p>
    <w:p>
      <w:pPr>
        <w:pStyle w:val="Heading1"/>
        <w:spacing w:before="0" w:after="0" w:line="240" w:lineRule="auto"/>
        <w:ind w:firstLine="640"/>
        <w:jc w:val="both"/>
      </w:pPr>
      <w:r>
        <w:rPr>
          <w:rFonts w:ascii="黑体" w:hAnsi="黑体" w:eastAsia="黑体"/>
          <w:b w:val="0"/>
          <w:color w:val="000000"/>
          <w:sz w:val="32"/>
        </w:rPr>
        <w:t>附录</w:t>
      </w:r>
    </w:p>
    <w:p>
      <w:pPr>
        <w:pStyle w:val="Heading2"/>
        <w:spacing w:before="0" w:after="0" w:line="240" w:lineRule="auto"/>
        <w:ind w:firstLine="643"/>
        <w:jc w:val="left"/>
      </w:pPr>
      <w:r>
        <w:rPr>
          <w:rFonts w:ascii="楷体_GB2312" w:hAnsi="楷体_GB2312" w:eastAsia="楷体_GB2312"/>
          <w:b/>
          <w:color w:val="000000"/>
          <w:sz w:val="32"/>
        </w:rPr>
        <w:t>（一）外媒报道列表（部分）</w:t>
      </w:r>
    </w:p>
    <w:tbl>
      <w:tblPr>
        <w:tblStyle w:val="TableGrid"/>
        <w:tblW w:type="dxa" w:w="8640"/>
        <w:jc w:val="center"/>
        <w:tblLayout w:type="fixed"/>
        <w:tblLook w:firstColumn="1" w:firstRow="1" w:lastColumn="0" w:lastRow="0" w:noHBand="0" w:noVBand="1" w:val="04A0"/>
      </w:tblPr>
      <w:tblGrid>
        <w:gridCol w:w="734"/>
        <w:gridCol w:w="2410"/>
        <w:gridCol w:w="1418"/>
        <w:gridCol w:w="4078"/>
      </w:tblGrid>
      <w:tr>
        <w:trPr>
          <w:tblHeader/>
          <w:cantSplit/>
        </w:trPr>
        <w:tc>
          <w:tcPr>
            <w:tcW w:type="dxa" w:w="2075"/>
            <w:vAlign w:val="center"/>
          </w:tcPr>
          <w:p>
            <w:pPr>
              <w:spacing w:before="0" w:after="0"/>
              <w:ind w:firstLine="0"/>
              <w:jc w:val="center"/>
            </w:pPr>
            <w:r>
              <w:rPr>
                <w:rFonts w:ascii="微软雅黑" w:hAnsi="微软雅黑" w:eastAsia="微软雅黑"/>
                <w:b/>
                <w:color w:val="000000"/>
                <w:sz w:val="22"/>
              </w:rPr>
              <w:t>序号</w:t>
            </w:r>
          </w:p>
        </w:tc>
        <w:tc>
          <w:tcPr>
            <w:tcW w:type="dxa" w:w="2075"/>
            <w:vAlign w:val="center"/>
          </w:tcPr>
          <w:p>
            <w:pPr>
              <w:spacing w:before="0" w:after="0"/>
              <w:ind w:firstLine="0"/>
              <w:jc w:val="center"/>
            </w:pPr>
            <w:r>
              <w:rPr>
                <w:rFonts w:ascii="微软雅黑" w:hAnsi="微软雅黑" w:eastAsia="微软雅黑"/>
                <w:b/>
                <w:color w:val="000000"/>
                <w:sz w:val="22"/>
              </w:rPr>
              <w:t>来源</w:t>
            </w:r>
          </w:p>
        </w:tc>
        <w:tc>
          <w:tcPr>
            <w:tcW w:type="dxa" w:w="2075"/>
            <w:vAlign w:val="center"/>
          </w:tcPr>
          <w:p>
            <w:pPr>
              <w:spacing w:before="0" w:after="0"/>
              <w:ind w:firstLine="0"/>
              <w:jc w:val="center"/>
            </w:pPr>
            <w:r>
              <w:rPr>
                <w:rFonts w:ascii="微软雅黑" w:hAnsi="微软雅黑" w:eastAsia="微软雅黑"/>
                <w:b/>
                <w:color w:val="000000"/>
                <w:sz w:val="22"/>
              </w:rPr>
              <w:t>报道日期</w:t>
            </w:r>
          </w:p>
        </w:tc>
        <w:tc>
          <w:tcPr>
            <w:tcW w:type="dxa" w:w="2075"/>
            <w:vAlign w:val="center"/>
          </w:tcPr>
          <w:p>
            <w:pPr>
              <w:spacing w:before="0" w:after="0"/>
              <w:ind w:firstLine="0"/>
              <w:jc w:val="center"/>
            </w:pPr>
            <w:r>
              <w:rPr>
                <w:rFonts w:ascii="微软雅黑" w:hAnsi="微软雅黑" w:eastAsia="微软雅黑"/>
                <w:b/>
                <w:color w:val="000000"/>
                <w:sz w:val="22"/>
              </w:rPr>
              <w:t>超链接标题</w:t>
            </w:r>
          </w:p>
        </w:tc>
      </w:tr>
      <w:tr>
        <w:trPr>
          <w:cantSplit/>
        </w:trPr>
        <w:tc>
          <w:tcPr>
            <w:tcW w:type="dxa" w:w="2075"/>
            <w:vAlign w:val="center"/>
          </w:tcPr>
          <w:p>
            <w:pPr>
              <w:spacing w:before="0" w:after="0"/>
              <w:ind w:firstLine="0"/>
              <w:jc w:val="center"/>
            </w:pPr>
            <w:r>
              <w:rPr>
                <w:rFonts w:ascii="微软雅黑" w:hAnsi="微软雅黑" w:eastAsia="微软雅黑"/>
                <w:b w:val="0"/>
                <w:color w:val="000000"/>
                <w:sz w:val="22"/>
              </w:rPr>
              <w:t>1</w:t>
            </w:r>
          </w:p>
        </w:tc>
        <w:tc>
          <w:tcPr>
            <w:tcW w:type="dxa" w:w="2075"/>
            <w:vAlign w:val="center"/>
          </w:tcPr>
          <w:p>
            <w:pPr>
              <w:spacing w:before="0" w:after="0"/>
              <w:ind w:firstLine="0"/>
              <w:jc w:val="center"/>
            </w:pPr>
            <w:r>
              <w:rPr>
                <w:rFonts w:ascii="微软雅黑" w:hAnsi="微软雅黑" w:eastAsia="微软雅黑"/>
                <w:b w:val="0"/>
                <w:color w:val="000000"/>
                <w:sz w:val="22"/>
              </w:rPr>
              <w:t>【来源】</w:t>
            </w:r>
          </w:p>
        </w:tc>
        <w:tc>
          <w:tcPr>
            <w:tcW w:type="dxa" w:w="2075"/>
            <w:vAlign w:val="center"/>
          </w:tcPr>
          <w:p>
            <w:pPr>
              <w:spacing w:before="0" w:after="0"/>
              <w:ind w:firstLine="0"/>
              <w:jc w:val="center"/>
            </w:pPr>
            <w:r>
              <w:rPr>
                <w:rFonts w:ascii="微软雅黑" w:hAnsi="微软雅黑" w:eastAsia="微软雅黑"/>
                <w:b w:val="0"/>
                <w:color w:val="000000"/>
                <w:sz w:val="22"/>
              </w:rPr>
              <w:t>【日期】</w:t>
            </w:r>
          </w:p>
        </w:tc>
        <w:tc>
          <w:tcPr>
            <w:tcW w:type="dxa" w:w="2075"/>
            <w:vAlign w:val="center"/>
          </w:tcPr>
          <w:p>
            <w:pPr>
              <w:spacing w:before="0" w:after="0"/>
              <w:ind w:firstLine="0"/>
              <w:jc w:val="center"/>
            </w:pPr>
            <w:r>
              <w:rPr>
                <w:rFonts w:ascii="微软雅黑" w:hAnsi="微软雅黑" w:eastAsia="微软雅黑"/>
                <w:b w:val="0"/>
                <w:color w:val="000000"/>
                <w:sz w:val="22"/>
              </w:rPr>
              <w:t>【标题】</w:t>
            </w:r>
          </w:p>
        </w:tc>
      </w:tr>
    </w:tbl>
    <w:p>
      <w:pPr>
        <w:pStyle w:val="Heading2"/>
        <w:spacing w:before="0" w:after="0" w:line="240" w:lineRule="auto"/>
        <w:ind w:firstLine="643"/>
        <w:jc w:val="left"/>
      </w:pPr>
      <w:r>
        <w:rPr>
          <w:rFonts w:ascii="楷体_GB2312" w:hAnsi="楷体_GB2312" w:eastAsia="楷体_GB2312"/>
          <w:b/>
          <w:color w:val="000000"/>
          <w:sz w:val="32"/>
        </w:rPr>
        <w:t>（二）传播量较大的公众号文章</w:t>
      </w:r>
    </w:p>
    <w:tbl>
      <w:tblPr>
        <w:tblStyle w:val="TableGrid"/>
        <w:tblW w:type="dxa" w:w="8464"/>
        <w:jc w:val="center"/>
        <w:tblLayout w:type="fixed"/>
        <w:tblLook w:firstColumn="1" w:firstRow="1" w:lastColumn="0" w:lastRow="0" w:noHBand="0" w:noVBand="1" w:val="04A0"/>
      </w:tblPr>
      <w:tblGrid>
        <w:gridCol w:w="704"/>
        <w:gridCol w:w="1702"/>
        <w:gridCol w:w="3828"/>
        <w:gridCol w:w="1134"/>
        <w:gridCol w:w="1096"/>
      </w:tblGrid>
      <w:tr>
        <w:trPr>
          <w:tblHeader/>
          <w:cantSplit/>
        </w:trPr>
        <w:tc>
          <w:tcPr>
            <w:tcW w:type="dxa" w:w="8300"/>
            <w:gridSpan w:val="5"/>
            <w:vAlign w:val="center"/>
          </w:tcPr>
          <w:p>
            <w:pPr>
              <w:spacing w:before="0" w:after="0"/>
              <w:ind w:firstLine="0"/>
              <w:jc w:val="center"/>
            </w:pPr>
            <w:r>
              <w:rPr>
                <w:rFonts w:ascii="仿宋" w:hAnsi="仿宋" w:eastAsia="仿宋"/>
                <w:b/>
                <w:color w:val="000000"/>
                <w:sz w:val="24"/>
              </w:rPr>
              <w:t>微信公号文章阅读量TOP</w:t>
            </w:r>
          </w:p>
        </w:tc>
      </w:tr>
      <w:tr>
        <w:trPr>
          <w:tblHeader/>
          <w:cantSplit/>
        </w:trPr>
        <w:tc>
          <w:tcPr>
            <w:tcW w:type="dxa" w:w="1660"/>
            <w:vAlign w:val="center"/>
          </w:tcPr>
          <w:p>
            <w:pPr>
              <w:spacing w:before="0" w:after="0"/>
              <w:ind w:firstLine="0"/>
              <w:jc w:val="center"/>
            </w:pPr>
            <w:r>
              <w:rPr>
                <w:rFonts w:ascii="仿宋" w:hAnsi="仿宋" w:eastAsia="仿宋"/>
                <w:b/>
                <w:color w:val="000000"/>
                <w:sz w:val="24"/>
              </w:rPr>
              <w:t>序号</w:t>
            </w:r>
          </w:p>
        </w:tc>
        <w:tc>
          <w:tcPr>
            <w:tcW w:type="dxa" w:w="1660"/>
            <w:vAlign w:val="center"/>
          </w:tcPr>
          <w:p>
            <w:pPr>
              <w:spacing w:before="0" w:after="0"/>
              <w:ind w:firstLine="0"/>
              <w:jc w:val="center"/>
            </w:pPr>
            <w:r>
              <w:rPr>
                <w:rFonts w:ascii="仿宋" w:hAnsi="仿宋" w:eastAsia="仿宋"/>
                <w:b/>
                <w:color w:val="000000"/>
                <w:sz w:val="24"/>
              </w:rPr>
              <w:t>账号</w:t>
            </w:r>
          </w:p>
        </w:tc>
        <w:tc>
          <w:tcPr>
            <w:tcW w:type="dxa" w:w="1660"/>
            <w:vAlign w:val="center"/>
          </w:tcPr>
          <w:p>
            <w:pPr>
              <w:spacing w:before="0" w:after="0"/>
              <w:ind w:firstLine="0"/>
              <w:jc w:val="center"/>
            </w:pPr>
            <w:r>
              <w:rPr>
                <w:rFonts w:ascii="仿宋" w:hAnsi="仿宋" w:eastAsia="仿宋"/>
                <w:b/>
                <w:color w:val="000000"/>
                <w:sz w:val="24"/>
              </w:rPr>
              <w:t>标题</w:t>
            </w:r>
          </w:p>
        </w:tc>
        <w:tc>
          <w:tcPr>
            <w:tcW w:type="dxa" w:w="1660"/>
            <w:vAlign w:val="center"/>
          </w:tcPr>
          <w:p>
            <w:pPr>
              <w:spacing w:before="0" w:after="0"/>
              <w:ind w:firstLine="0"/>
              <w:jc w:val="center"/>
            </w:pPr>
            <w:r>
              <w:rPr>
                <w:rFonts w:ascii="仿宋" w:hAnsi="仿宋" w:eastAsia="仿宋"/>
                <w:b/>
                <w:color w:val="000000"/>
                <w:sz w:val="24"/>
              </w:rPr>
              <w:t>阅读量</w:t>
            </w:r>
          </w:p>
        </w:tc>
        <w:tc>
          <w:tcPr>
            <w:tcW w:type="dxa" w:w="1660"/>
            <w:vAlign w:val="center"/>
          </w:tcPr>
          <w:p>
            <w:pPr>
              <w:spacing w:before="0" w:after="0"/>
              <w:ind w:firstLine="0"/>
              <w:jc w:val="center"/>
            </w:pPr>
            <w:r>
              <w:rPr>
                <w:rFonts w:ascii="仿宋" w:hAnsi="仿宋" w:eastAsia="仿宋"/>
                <w:b/>
                <w:color w:val="000000"/>
                <w:sz w:val="24"/>
              </w:rPr>
              <w:t>在看量</w:t>
            </w:r>
          </w:p>
        </w:tc>
      </w:tr>
      <w:tr>
        <w:trPr>
          <w:cantSplit/>
        </w:trPr>
        <w:tc>
          <w:tcPr>
            <w:tcW w:type="dxa" w:w="1660"/>
            <w:vAlign w:val="center"/>
          </w:tcPr>
          <w:p>
            <w:pPr>
              <w:spacing w:before="0" w:after="0"/>
              <w:ind w:firstLine="0"/>
              <w:jc w:val="center"/>
            </w:pPr>
            <w:r>
              <w:rPr>
                <w:rFonts w:ascii="仿宋" w:hAnsi="仿宋" w:eastAsia="仿宋"/>
                <w:b w:val="0"/>
                <w:color w:val="000000"/>
                <w:sz w:val="24"/>
              </w:rPr>
              <w:t>1</w:t>
            </w:r>
          </w:p>
        </w:tc>
        <w:tc>
          <w:tcPr>
            <w:tcW w:type="dxa" w:w="1660"/>
            <w:vAlign w:val="center"/>
          </w:tcPr>
          <w:p>
            <w:pPr>
              <w:spacing w:before="0" w:after="0"/>
              <w:ind w:firstLine="0"/>
              <w:jc w:val="center"/>
            </w:pPr>
            <w:r>
              <w:rPr>
                <w:rFonts w:ascii="仿宋" w:hAnsi="仿宋" w:eastAsia="仿宋"/>
                <w:b w:val="0"/>
                <w:color w:val="000000"/>
                <w:sz w:val="24"/>
              </w:rPr>
              <w:t>【账号】</w:t>
            </w:r>
          </w:p>
        </w:tc>
        <w:tc>
          <w:tcPr>
            <w:tcW w:type="dxa" w:w="1660"/>
            <w:vAlign w:val="center"/>
          </w:tcPr>
          <w:p>
            <w:pPr>
              <w:spacing w:before="0" w:after="0"/>
              <w:ind w:firstLine="0"/>
              <w:jc w:val="center"/>
            </w:pPr>
            <w:r>
              <w:rPr>
                <w:rFonts w:ascii="仿宋" w:hAnsi="仿宋" w:eastAsia="仿宋"/>
                <w:b w:val="0"/>
                <w:color w:val="000000"/>
                <w:sz w:val="24"/>
              </w:rPr>
              <w:t>【标题】</w:t>
            </w:r>
          </w:p>
        </w:tc>
        <w:tc>
          <w:tcPr>
            <w:tcW w:type="dxa" w:w="1660"/>
            <w:vAlign w:val="center"/>
          </w:tcPr>
          <w:p>
            <w:pPr>
              <w:spacing w:before="0" w:after="0"/>
              <w:ind w:firstLine="0"/>
              <w:jc w:val="center"/>
            </w:pPr>
            <w:r>
              <w:rPr>
                <w:rFonts w:ascii="仿宋" w:hAnsi="仿宋" w:eastAsia="仿宋"/>
                <w:b w:val="0"/>
                <w:color w:val="000000"/>
                <w:sz w:val="24"/>
              </w:rPr>
              <w:t>【阅读量】</w:t>
            </w:r>
          </w:p>
        </w:tc>
        <w:tc>
          <w:tcPr>
            <w:tcW w:type="dxa" w:w="1660"/>
            <w:vAlign w:val="center"/>
          </w:tcPr>
          <w:p>
            <w:pPr>
              <w:spacing w:before="0" w:after="0"/>
              <w:ind w:firstLine="0"/>
              <w:jc w:val="center"/>
            </w:pPr>
            <w:r>
              <w:rPr>
                <w:rFonts w:ascii="仿宋" w:hAnsi="仿宋" w:eastAsia="仿宋"/>
                <w:b w:val="0"/>
                <w:color w:val="000000"/>
                <w:sz w:val="24"/>
              </w:rPr>
              <w:t>【在看量】</w:t>
            </w:r>
          </w:p>
        </w:tc>
      </w:tr>
    </w:tbl>
    <w:sectPr w:rsidR="00FC693F" w:rsidRPr="0006063C" w:rsidSect="00034616">
      <w:footerReference w:type="default" r:id="rId9"/>
      <w:pgSz w:w="11906" w:h="16838"/>
      <w:pgMar w:top="1440" w:right="1803" w:bottom="1440" w:left="1803" w:header="720" w:footer="720" w:gutter="0"/>
      <w:cols w:space="720"/>
      <w:docGrid w:linePitch="312" w:type="lines"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firstLine="640"/>
      <w:jc w:val="both"/>
    </w:pPr>
    <w:rPr>
      <w:rFonts w:ascii="仿宋_GB2312" w:hAnsi="仿宋_GB2312" w:eastAsia="仿宋_GB2312"/>
      <w:b w:val="0"/>
      <w:color w:val="000000"/>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spacing w:before="0" w:after="0" w:line="240" w:lineRule="auto"/>
      <w:ind w:firstLine="640"/>
      <w:jc w:val="both"/>
      <w:outlineLvl w:val="0"/>
    </w:pPr>
    <w:rPr>
      <w:rFonts w:ascii="黑体" w:hAnsi="黑体" w:eastAsia="黑体"/>
      <w:b w:val="0"/>
      <w:bCs/>
      <w:color w:val="000000"/>
      <w:sz w:val="32"/>
      <w:szCs w:val="28"/>
    </w:rPr>
  </w:style>
  <w:style w:type="paragraph" w:styleId="Heading2">
    <w:name w:val="heading 2"/>
    <w:basedOn w:val="Normal"/>
    <w:next w:val="Normal"/>
    <w:link w:val="Heading2Char"/>
    <w:uiPriority w:val="9"/>
    <w:unhideWhenUsed/>
    <w:qFormat/>
    <w:rsid w:val="00FC693F"/>
    <w:pPr>
      <w:spacing w:before="0" w:after="0" w:line="240" w:lineRule="auto"/>
      <w:ind w:firstLine="640"/>
      <w:jc w:val="both"/>
      <w:outlineLvl w:val="1"/>
    </w:pPr>
    <w:rPr>
      <w:rFonts w:ascii="楷体_GB2312" w:hAnsi="楷体_GB2312" w:eastAsia="楷体_GB2312"/>
      <w:b/>
      <w:bCs/>
      <w:color w:val="000000"/>
      <w:sz w:val="32"/>
      <w:szCs w:val="26"/>
    </w:rPr>
  </w:style>
  <w:style w:type="paragraph" w:styleId="Heading3">
    <w:name w:val="heading 3"/>
    <w:basedOn w:val="Normal"/>
    <w:next w:val="Normal"/>
    <w:link w:val="Heading3Char"/>
    <w:uiPriority w:val="9"/>
    <w:unhideWhenUsed/>
    <w:qFormat/>
    <w:rsid w:val="00FC693F"/>
    <w:pPr>
      <w:spacing w:before="0" w:after="0" w:line="240" w:lineRule="auto"/>
      <w:ind w:firstLine="640"/>
      <w:jc w:val="both"/>
      <w:outlineLvl w:val="2"/>
    </w:pPr>
    <w:rPr>
      <w:rFonts w:ascii="仿宋_GB2312" w:hAnsi="仿宋_GB2312" w:eastAsia="仿宋_GB2312"/>
      <w:b/>
      <w:bCs/>
      <w:color w:val="000000"/>
      <w:sz w:val="32"/>
    </w:rPr>
  </w:style>
  <w:style w:type="paragraph" w:styleId="Heading4">
    <w:name w:val="heading 4"/>
    <w:basedOn w:val="Normal"/>
    <w:next w:val="Normal"/>
    <w:link w:val="Heading4Char"/>
    <w:uiPriority w:val="9"/>
    <w:semiHidden/>
    <w:unhideWhenUsed/>
    <w:qFormat/>
    <w:rsid w:val="00FC693F"/>
    <w:p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240" w:lineRule="auto" w:before="0"/>
      <w:ind w:firstLine="0"/>
      <w:contextualSpacing/>
      <w:jc w:val="center"/>
    </w:pPr>
    <w:rPr>
      <w:rFonts w:ascii="华文中宋" w:hAnsi="华文中宋" w:eastAsia="华文中宋"/>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CWH正式舆情综述模板</dc:title>
  <dc:subject>用于cwh-report-skill渲染正式报告的可见骨架和样式模板</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