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knockiq-privacy-policy"/>
      <w:r>
        <w:rPr/>
        <w:t>KnockIQ Privacy Policy</w:t>
      </w:r>
      <w:bookmarkEnd w:id="0"/>
    </w:p>
    <w:p>
      <w:pPr>
        <w:pStyle w:val="FirstParagraph"/>
        <w:rPr/>
      </w:pPr>
      <w:r>
        <w:rPr>
          <w:b/>
        </w:rPr>
        <w:t>Effective Date:</w:t>
      </w:r>
      <w:r>
        <w:rPr/>
        <w:t xml:space="preserve"> [INSERT — date the policy goes live] </w:t>
      </w:r>
      <w:r>
        <w:rPr>
          <w:b/>
        </w:rPr>
        <w:t>Last Updated:</w:t>
      </w:r>
      <w:r>
        <w:rPr/>
        <w:t xml:space="preserve"> [INSERT]</w:t>
      </w:r>
    </w:p>
    <w:p>
      <w:pPr>
        <w:pStyle w:val="BlockText"/>
        <w:rPr/>
      </w:pPr>
      <w:r>
        <w:rPr>
          <w:b/>
        </w:rPr>
        <w:t>[ATTORNEY REVIEW: Every bracketed section in this document needs your input or confirmation. Before publishing, also confirm: legal entity name, state of incorporation, principal place of business, Data Protection Officer / privacy contact name, registered agent for service of process, and the technical accuracy of every system claim against the engineering team.]</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about-this-policy"/>
      <w:r>
        <w:rPr/>
        <w:t>1. About This Policy</w:t>
      </w:r>
      <w:bookmarkEnd w:id="1"/>
    </w:p>
    <w:p>
      <w:pPr>
        <w:pStyle w:val="FirstParagraph"/>
        <w:rPr/>
      </w:pPr>
      <w:r>
        <w:rPr/>
        <w:t>KnockIQ is a software platform that helps door-to-door canvassing companies coordinate their field sales representatives. This Privacy Policy explains what information we collect, why, who we share it with, how long we keep it, and the rights you have over it.</w:t>
      </w:r>
    </w:p>
    <w:p>
      <w:pPr>
        <w:pStyle w:val="BodyText"/>
        <w:rPr/>
      </w:pPr>
      <w:r>
        <w:rPr>
          <w:b/>
        </w:rPr>
        <w:t>This policy applies to three categories of people:</w:t>
      </w:r>
    </w:p>
    <w:p>
      <w:pPr>
        <w:pStyle w:val="Compact"/>
        <w:numPr>
          <w:ilvl w:val="0"/>
          <w:numId w:val="16"/>
        </w:numPr>
        <w:rPr/>
      </w:pPr>
      <w:r>
        <w:rPr>
          <w:b/>
        </w:rPr>
        <w:t>Sales representatives (“Reps”)</w:t>
      </w:r>
      <w:r>
        <w:rPr/>
        <w:t xml:space="preserve"> who use the KnockIQ application as employees or contractors of a canvassing company.</w:t>
      </w:r>
    </w:p>
    <w:p>
      <w:pPr>
        <w:pStyle w:val="Compact"/>
        <w:numPr>
          <w:ilvl w:val="0"/>
          <w:numId w:val="1"/>
        </w:numPr>
        <w:rPr/>
      </w:pPr>
      <w:r>
        <w:rPr>
          <w:b/>
        </w:rPr>
        <w:t>Canvassing companies (“Customers”)</w:t>
      </w:r>
      <w:r>
        <w:rPr/>
        <w:t xml:space="preserve"> that subscribe to KnockIQ — typically owners, managers, and administrators.</w:t>
      </w:r>
    </w:p>
    <w:p>
      <w:pPr>
        <w:pStyle w:val="Compact"/>
        <w:numPr>
          <w:ilvl w:val="0"/>
          <w:numId w:val="1"/>
        </w:numPr>
        <w:rPr/>
      </w:pPr>
      <w:r>
        <w:rPr>
          <w:b/>
        </w:rPr>
        <w:t>Homeowners and other prospects (“Visited Persons”)</w:t>
      </w:r>
      <w:r>
        <w:rPr/>
        <w:t xml:space="preserve"> whose information is recorded by Reps during canvassing activity, even though Visited Persons do not have a direct relationship with KnockIQ.</w:t>
      </w:r>
    </w:p>
    <w:p>
      <w:pPr>
        <w:pStyle w:val="FirstParagraph"/>
        <w:rPr/>
      </w:pPr>
      <w:r>
        <w:rPr/>
        <w:t xml:space="preserve">If you are a Visited Person and want to understand or exercise your rights, go directly to </w:t>
      </w:r>
      <w:r>
        <w:rPr>
          <w:b/>
        </w:rPr>
        <w:t>Section 14 (Your Privacy Rights — Visited Persons)</w:t>
      </w:r>
      <w:r>
        <w:rPr/>
        <w:t xml:space="preserve"> below.</w:t>
      </w:r>
    </w:p>
    <w:p>
      <w:pPr>
        <w:pStyle w:val="BlockText"/>
        <w:rPr/>
      </w:pPr>
      <w:r>
        <w:rPr>
          <w:b/>
        </w:rPr>
        <w:t>[ATTORNEY REVIEW: confirm whether “Visited Persons” should be defined more narrowly (e.g., “individuals residing at addresses visited”) or more broadly. Some state laws treat any identifiable person as a “consumer,” so the policy should mirror that broad scope.]</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 w:name="X1277490bb06a88605b86423c50b78733c125b78"/>
      <w:r>
        <w:rPr/>
        <w:t>2. Who We Are and Our Role Under Privacy Law</w:t>
      </w:r>
      <w:bookmarkEnd w:id="2"/>
    </w:p>
    <w:p>
      <w:pPr>
        <w:pStyle w:val="FirstParagraph"/>
        <w:rPr/>
      </w:pPr>
      <w:r>
        <w:rPr>
          <w:b/>
        </w:rPr>
        <w:t>KnockIQ</w:t>
      </w:r>
      <w:r>
        <w:rPr/>
        <w:t xml:space="preserve"> ([ENTITY LEGAL NAME — e.g., “KnockIQ Software, Inc.”]) is a [STATE] [ENTITY TYPE — corporation / LLC] with its principal place of business at [ADDRESS].</w:t>
      </w:r>
    </w:p>
    <w:p>
      <w:pPr>
        <w:pStyle w:val="BodyText"/>
        <w:rPr/>
      </w:pPr>
      <w:r>
        <w:rPr/>
        <w:t>Under US state privacy laws (California CCPA/CPRA, Virginia VCDPA, Colorado CPA, Connecticut CTDPA, Utah UCPA, Texas TDPSA, Oregon OCPA, Montana MCDPA, Iowa ICDPA, Delaware DPDPA, New Hampshire NHPA, New Jersey NJDPA, Tennessee TIPA, Minnesota MCDPA, Maryland MODPA, Indiana INCDPA, Kentucky KCDPA, Rhode Island RIDTPPA, Nebraska NDPA, and Florida FDBR), Canadian PIPEDA, Quebec Law 25, and Alberta/British Columbia PIPA, our role depends on whose data is in question:</w:t>
      </w:r>
    </w:p>
    <w:tbl>
      <w:tblPr>
        <w:tblStyle w:val="Table"/>
        <w:tblW w:w="5000" w:type="pct"/>
        <w:jc w:val="start"/>
        <w:tblInd w:w="0" w:type="dxa"/>
        <w:tblLayout w:type="fixed"/>
        <w:tblCellMar>
          <w:top w:w="0" w:type="dxa"/>
          <w:start w:w="108" w:type="dxa"/>
          <w:bottom w:w="0" w:type="dxa"/>
          <w:end w:w="108" w:type="dxa"/>
        </w:tblCellMar>
        <w:tblLook w:firstRow="1"/>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category</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Our role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Controller (decides why and how)</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 account, location, voice notes, performance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Processor / Service Provider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 (canvassing company)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account, billing, configuration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Controller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KnockIQ</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Visited Person address, lat/lng, contact info, notes, photos, voice transcripts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Controller</w:t>
            </w:r>
            <w:r>
              <w:rPr>
                <w:rFonts w:eastAsia="Cambria" w:cs=""/>
                <w:kern w:val="0"/>
                <w:sz w:val="24"/>
                <w:szCs w:val="24"/>
                <w:lang w:val="en-US" w:eastAsia="en-US" w:bidi="ar-SA"/>
              </w:rPr>
              <w:t xml:space="preserve"> (jointly with the Customer in most cases)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KnockIQ and the Customer</w:t>
            </w:r>
          </w:p>
        </w:tc>
      </w:tr>
    </w:tbl>
    <w:p>
      <w:pPr>
        <w:pStyle w:val="BlockText"/>
        <w:rPr/>
      </w:pPr>
      <w:r>
        <w:rPr>
          <w:b/>
        </w:rPr>
        <w:t>[ATTORNEY REVIEW: confirm controller posture for Visited Person data. The “processor only” model is not defensible — no contract authorizes KnockIQ to capture that data through the homeowner, so KnockIQ inherits direct controller obligations. Confirm whether joint-controller framing is preferable to sole-controller framing for indemnification purposes.]</w:t>
      </w:r>
    </w:p>
    <w:p>
      <w:pPr>
        <w:pStyle w:val="Normal"/>
        <w:rPr/>
      </w:pPr>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 w:name="information-we-collect"/>
      <w:r>
        <w:rPr/>
        <w:t>3. Information We Collect</w:t>
      </w:r>
      <w:bookmarkEnd w:id="3"/>
    </w:p>
    <w:p>
      <w:pPr>
        <w:pStyle w:val="Heading3"/>
        <w:rPr/>
      </w:pPr>
      <w:bookmarkStart w:id="4" w:name="information-about-reps"/>
      <w:r>
        <w:rPr/>
        <w:t>3.1 Information about Reps</w:t>
      </w:r>
      <w:bookmarkEnd w:id="4"/>
    </w:p>
    <w:p>
      <w:pPr>
        <w:pStyle w:val="FirstParagraph"/>
        <w:rPr/>
      </w:pPr>
      <w:r>
        <w:rPr/>
        <w:t>When you use KnockIQ as a Rep, we collect:</w:t>
      </w:r>
    </w:p>
    <w:p>
      <w:pPr>
        <w:pStyle w:val="Compact"/>
        <w:numPr>
          <w:ilvl w:val="0"/>
          <w:numId w:val="2"/>
        </w:numPr>
        <w:rPr/>
      </w:pPr>
      <w:r>
        <w:rPr>
          <w:b/>
        </w:rPr>
        <w:t>Account information</w:t>
      </w:r>
      <w:r>
        <w:rPr/>
        <w:t xml:space="preserve"> you provide directly: name, email address, phone number (optional), profile photo (optional), password (stored only as a salted hash).</w:t>
      </w:r>
    </w:p>
    <w:p>
      <w:pPr>
        <w:pStyle w:val="Compact"/>
        <w:numPr>
          <w:ilvl w:val="0"/>
          <w:numId w:val="2"/>
        </w:numPr>
        <w:rPr/>
      </w:pPr>
      <w:r>
        <w:rPr>
          <w:b/>
        </w:rPr>
        <w:t>Account information</w:t>
      </w:r>
      <w:r>
        <w:rPr/>
        <w:t xml:space="preserve"> assigned by your Customer or by KnockIQ: role, organization assignment, employment-status flags, manager-assigned commission configuration.</w:t>
      </w:r>
    </w:p>
    <w:p>
      <w:pPr>
        <w:pStyle w:val="Compact"/>
        <w:numPr>
          <w:ilvl w:val="0"/>
          <w:numId w:val="2"/>
        </w:numPr>
        <w:rPr/>
      </w:pPr>
      <w:r>
        <w:rPr>
          <w:b/>
        </w:rPr>
        <w:t>Geolocation data</w:t>
      </w:r>
      <w:r>
        <w:rPr/>
        <w:t>, including precise GPS coordinates, accuracy, speed, heading, and timestamps. We collect this:</w:t>
      </w:r>
    </w:p>
    <w:p>
      <w:pPr>
        <w:pStyle w:val="Compact"/>
        <w:numPr>
          <w:ilvl w:val="1"/>
          <w:numId w:val="2"/>
        </w:numPr>
        <w:rPr/>
      </w:pPr>
      <w:r>
        <w:rPr/>
        <w:t>Continuously, every approximately 30 seconds, while a canvassing session is active on your device, using your browser’s geolocation interface.</w:t>
      </w:r>
    </w:p>
    <w:p>
      <w:pPr>
        <w:pStyle w:val="Compact"/>
        <w:numPr>
          <w:ilvl w:val="1"/>
          <w:numId w:val="2"/>
        </w:numPr>
        <w:rPr/>
      </w:pPr>
      <w:r>
        <w:rPr/>
        <w:t>As individual coordinates each time you log a door interaction.</w:t>
      </w:r>
    </w:p>
    <w:p>
      <w:pPr>
        <w:pStyle w:val="Compact"/>
        <w:numPr>
          <w:ilvl w:val="1"/>
          <w:numId w:val="2"/>
        </w:numPr>
        <w:rPr/>
      </w:pPr>
      <w:r>
        <w:rPr/>
        <w:t>Continuously, broadcast to your manager’s dashboard in real time while a session is active.</w:t>
      </w:r>
    </w:p>
    <w:p>
      <w:pPr>
        <w:pStyle w:val="Compact"/>
        <w:numPr>
          <w:ilvl w:val="0"/>
          <w:numId w:val="2"/>
        </w:numPr>
        <w:rPr/>
      </w:pPr>
      <w:r>
        <w:rPr>
          <w:b/>
        </w:rPr>
        <w:t>Voice recordings</w:t>
      </w:r>
      <w:r>
        <w:rPr/>
        <w:t>, when you tap the voice-note button. Audio is transmitted to a third-party speech-to-text service (OpenAI Whisper) and converted to text. We do not retain the raw audio on KnockIQ servers; the resulting text is saved to the interaction record only if you save the modal.</w:t>
      </w:r>
    </w:p>
    <w:p>
      <w:pPr>
        <w:pStyle w:val="Compact"/>
        <w:numPr>
          <w:ilvl w:val="0"/>
          <w:numId w:val="2"/>
        </w:numPr>
        <w:rPr/>
      </w:pPr>
      <w:r>
        <w:rPr>
          <w:b/>
        </w:rPr>
        <w:t>Device motion data</w:t>
      </w:r>
      <w:r>
        <w:rPr/>
        <w:t xml:space="preserve"> (accelerometer readings) captured locally by your browser to classify whether you are walking, in a vehicle, or stationary. This data is processed only in your device memory and is not transmitted to or stored by KnockIQ.</w:t>
      </w:r>
    </w:p>
    <w:p>
      <w:pPr>
        <w:pStyle w:val="Compact"/>
        <w:numPr>
          <w:ilvl w:val="0"/>
          <w:numId w:val="2"/>
        </w:numPr>
        <w:rPr/>
      </w:pPr>
      <w:r>
        <w:rPr>
          <w:b/>
        </w:rPr>
        <w:t>Performance data</w:t>
      </w:r>
      <w:r>
        <w:rPr/>
        <w:t xml:space="preserve"> derived from your activity: doors knocked, conversations, estimates, bookings, revenue booked, hour-of-day patterns, and similar metrics.</w:t>
      </w:r>
    </w:p>
    <w:p>
      <w:pPr>
        <w:pStyle w:val="Compact"/>
        <w:numPr>
          <w:ilvl w:val="0"/>
          <w:numId w:val="2"/>
        </w:numPr>
        <w:rPr/>
      </w:pPr>
      <w:r>
        <w:rPr>
          <w:b/>
        </w:rPr>
        <w:t>Device and connection information</w:t>
      </w:r>
      <w:r>
        <w:rPr/>
        <w:t>, including IP address, browser type and version, operating system, and approximate location from IP (collected automatically by our hosting provider and any embedded map or font services).</w:t>
      </w:r>
    </w:p>
    <w:p>
      <w:pPr>
        <w:pStyle w:val="Compact"/>
        <w:numPr>
          <w:ilvl w:val="0"/>
          <w:numId w:val="2"/>
        </w:numPr>
        <w:rPr/>
      </w:pPr>
      <w:r>
        <w:rPr>
          <w:b/>
        </w:rPr>
        <w:t>Local storage on your device</w:t>
      </w:r>
      <w:r>
        <w:rPr/>
        <w:t xml:space="preserve"> including your authentication session token and, while a canvassing session is active, an offline copy of the session and its logged interactions (which contain Visited Person information).</w:t>
      </w:r>
    </w:p>
    <w:p>
      <w:pPr>
        <w:pStyle w:val="Heading3"/>
        <w:rPr/>
      </w:pPr>
      <w:bookmarkStart w:id="5" w:name="X321167da64d8de98fadf82491bab782f809d7d9"/>
      <w:r>
        <w:rPr/>
        <w:t>3.2 Information about Customers (canvassing companies)</w:t>
      </w:r>
      <w:bookmarkEnd w:id="5"/>
    </w:p>
    <w:p>
      <w:pPr>
        <w:pStyle w:val="FirstParagraph"/>
        <w:rPr/>
      </w:pPr>
      <w:r>
        <w:rPr/>
        <w:t>We collect:</w:t>
      </w:r>
    </w:p>
    <w:p>
      <w:pPr>
        <w:pStyle w:val="Compact"/>
        <w:numPr>
          <w:ilvl w:val="0"/>
          <w:numId w:val="2"/>
        </w:numPr>
        <w:rPr/>
      </w:pPr>
      <w:r>
        <w:rPr>
          <w:b/>
        </w:rPr>
        <w:t>Company information</w:t>
      </w:r>
      <w:r>
        <w:rPr/>
        <w:t>: legal name, billing contact, subscription tier, trial dates, integrations configured (e.g., a Zapier webhook URL if provided).</w:t>
      </w:r>
    </w:p>
    <w:p>
      <w:pPr>
        <w:pStyle w:val="Compact"/>
        <w:numPr>
          <w:ilvl w:val="0"/>
          <w:numId w:val="2"/>
        </w:numPr>
        <w:rPr/>
      </w:pPr>
      <w:r>
        <w:rPr>
          <w:b/>
        </w:rPr>
        <w:t>Billing information</w:t>
      </w:r>
      <w:r>
        <w:rPr/>
        <w:t xml:space="preserve"> processed by our payment provider, Stripe: payment card details (handled directly by Stripe; KnockIQ stores only the Stripe customer and subscription identifiers), billing address, subscription status, plan history.</w:t>
      </w:r>
    </w:p>
    <w:p>
      <w:pPr>
        <w:pStyle w:val="Compact"/>
        <w:numPr>
          <w:ilvl w:val="0"/>
          <w:numId w:val="2"/>
        </w:numPr>
        <w:rPr/>
      </w:pPr>
      <w:r>
        <w:rPr>
          <w:b/>
        </w:rPr>
        <w:t>Operational configuration</w:t>
      </w:r>
      <w:r>
        <w:rPr/>
        <w:t>: territories drawn on the map, do-not-knock pins and zones, service catalog, daily goals, branding settings.</w:t>
      </w:r>
    </w:p>
    <w:p>
      <w:pPr>
        <w:pStyle w:val="Heading3"/>
        <w:rPr/>
      </w:pPr>
      <w:bookmarkStart w:id="6" w:name="information-about-visited-persons"/>
      <w:r>
        <w:rPr/>
        <w:t>3.3 Information about Visited Persons</w:t>
      </w:r>
      <w:bookmarkEnd w:id="6"/>
    </w:p>
    <w:p>
      <w:pPr>
        <w:pStyle w:val="FirstParagraph"/>
        <w:rPr/>
      </w:pPr>
      <w:r>
        <w:rPr/>
        <w:t>When a Rep logs a door interaction, KnockIQ stores:</w:t>
      </w:r>
    </w:p>
    <w:p>
      <w:pPr>
        <w:pStyle w:val="Compact"/>
        <w:numPr>
          <w:ilvl w:val="0"/>
          <w:numId w:val="2"/>
        </w:numPr>
        <w:rPr/>
      </w:pPr>
      <w:r>
        <w:rPr>
          <w:b/>
        </w:rPr>
        <w:t>Address</w:t>
      </w:r>
      <w:r>
        <w:rPr/>
        <w:t xml:space="preserve"> of the residence visited (auto-filled by reverse geocoding the GPS coordinate, editable by the Rep).</w:t>
      </w:r>
    </w:p>
    <w:p>
      <w:pPr>
        <w:pStyle w:val="Compact"/>
        <w:numPr>
          <w:ilvl w:val="0"/>
          <w:numId w:val="2"/>
        </w:numPr>
        <w:rPr/>
      </w:pPr>
      <w:r>
        <w:rPr>
          <w:b/>
        </w:rPr>
        <w:t>Precise geographic coordinates</w:t>
      </w:r>
      <w:r>
        <w:rPr/>
        <w:t xml:space="preserve"> (latitude and longitude) of the doorstep.</w:t>
      </w:r>
    </w:p>
    <w:p>
      <w:pPr>
        <w:pStyle w:val="Compact"/>
        <w:numPr>
          <w:ilvl w:val="0"/>
          <w:numId w:val="2"/>
        </w:numPr>
        <w:rPr/>
      </w:pPr>
      <w:r>
        <w:rPr>
          <w:b/>
        </w:rPr>
        <w:t>Outcome</w:t>
      </w:r>
      <w:r>
        <w:rPr/>
        <w:t xml:space="preserve"> of the visit (no answer, not interested, estimate requested, booked).</w:t>
      </w:r>
    </w:p>
    <w:p>
      <w:pPr>
        <w:pStyle w:val="Compact"/>
        <w:numPr>
          <w:ilvl w:val="0"/>
          <w:numId w:val="2"/>
        </w:numPr>
        <w:rPr/>
      </w:pPr>
      <w:r>
        <w:rPr>
          <w:b/>
        </w:rPr>
        <w:t>Contact information</w:t>
      </w:r>
      <w:r>
        <w:rPr/>
        <w:t xml:space="preserve"> if the Visited Person provided it, including name, phone number, and email address.</w:t>
      </w:r>
    </w:p>
    <w:p>
      <w:pPr>
        <w:pStyle w:val="Compact"/>
        <w:numPr>
          <w:ilvl w:val="0"/>
          <w:numId w:val="2"/>
        </w:numPr>
        <w:rPr/>
      </w:pPr>
      <w:r>
        <w:rPr>
          <w:b/>
        </w:rPr>
        <w:t>Service interest and estimated value</w:t>
      </w:r>
      <w:r>
        <w:rPr/>
        <w:t xml:space="preserve"> for any quoted job.</w:t>
      </w:r>
    </w:p>
    <w:p>
      <w:pPr>
        <w:pStyle w:val="Compact"/>
        <w:numPr>
          <w:ilvl w:val="0"/>
          <w:numId w:val="2"/>
        </w:numPr>
        <w:rPr/>
      </w:pPr>
      <w:r>
        <w:rPr>
          <w:b/>
        </w:rPr>
        <w:t>Free-text notes</w:t>
      </w:r>
      <w:r>
        <w:rPr/>
        <w:t xml:space="preserve"> entered by the Rep, which may include direct quotes from the conversation, descriptions of the residence or its occupants, and follow-up instructions.</w:t>
      </w:r>
    </w:p>
    <w:p>
      <w:pPr>
        <w:pStyle w:val="Compact"/>
        <w:numPr>
          <w:ilvl w:val="0"/>
          <w:numId w:val="2"/>
        </w:numPr>
        <w:rPr/>
      </w:pPr>
      <w:r>
        <w:rPr>
          <w:b/>
        </w:rPr>
        <w:t>Voice-note transcripts</w:t>
      </w:r>
      <w:r>
        <w:rPr/>
        <w:t xml:space="preserve"> when the Rep dictates a note instead of typing it. The transcript text is stored; the audio is not retained on KnockIQ servers but is transmitted to OpenAI in the United States during transcription.</w:t>
      </w:r>
    </w:p>
    <w:p>
      <w:pPr>
        <w:pStyle w:val="Compact"/>
        <w:numPr>
          <w:ilvl w:val="0"/>
          <w:numId w:val="2"/>
        </w:numPr>
        <w:rPr/>
      </w:pPr>
      <w:r>
        <w:rPr>
          <w:b/>
        </w:rPr>
        <w:t>Photographs</w:t>
      </w:r>
      <w:r>
        <w:rPr/>
        <w:t xml:space="preserve"> uploaded by the Rep, typically of structures relevant to the quoted service (roof, siding, gutters, driveway). Reps are contractually prohibited from photographing interiors, identifiable people, license plates, or minors.</w:t>
      </w:r>
    </w:p>
    <w:p>
      <w:pPr>
        <w:pStyle w:val="Compact"/>
        <w:numPr>
          <w:ilvl w:val="0"/>
          <w:numId w:val="2"/>
        </w:numPr>
        <w:rPr/>
      </w:pPr>
      <w:r>
        <w:rPr>
          <w:b/>
        </w:rPr>
        <w:t>Do-not-knock entries</w:t>
      </w:r>
      <w:r>
        <w:rPr/>
        <w:t>: if you have requested not to be solicited, your address (and optionally a reason) may be recorded in a do-not-knock list maintained by the Customer.</w:t>
      </w:r>
    </w:p>
    <w:p>
      <w:pPr>
        <w:pStyle w:val="FirstParagraph"/>
        <w:rPr/>
      </w:pPr>
      <w:r>
        <w:rPr>
          <w:b/>
        </w:rPr>
        <w:t>A record is created for every door visited, including doors where no one answered.</w:t>
      </w:r>
      <w:r>
        <w:rPr/>
        <w:t xml:space="preserve"> This means an entry exists about your residence regardless of whether anyone in your household interacted with the Rep.</w:t>
      </w:r>
    </w:p>
    <w:p>
      <w:pPr>
        <w:pStyle w:val="BlockText"/>
        <w:rPr/>
      </w:pPr>
      <w:r>
        <w:rPr>
          <w:b/>
        </w:rPr>
        <w:t>[ATTORNEY REVIEW: confirm whether this disclosure is sufficient under CCPA/CPRA “categories of personal information collected” requirements when the data subject (Visited Person) never directly interacted with KnockIQ. Consider whether a more prominent standalone notice — separate from this policy — is required.]</w:t>
      </w:r>
    </w:p>
    <w:p>
      <w:pPr>
        <w:pStyle w:val="Normal"/>
        <w:rPr/>
      </w:pPr>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7" w:name="sources-of-information"/>
      <w:r>
        <w:rPr/>
        <w:t>4. Sources of Information</w:t>
      </w:r>
      <w:bookmarkEnd w:id="7"/>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 account info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Rep directly, or the Rep’s Customer (when a manager invites the Rep)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 geolocation, voice, performance</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Rep’s device while the application is in use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info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 directly during signup or in account settings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Visited Person info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Rep entering the data during a canvassing visit; reverse-geocoding services (OpenStreetMap Overpass / Nominatim, and Google Maps Geocoding if the Customer has enabled it) translating coordinates into addresses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Billing info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Customer directly; Stripe via its webhook</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8" w:name="X841e96a1f031cb7f2a09074739c190555978fcf"/>
      <w:r>
        <w:rPr/>
        <w:t>5. Why We Collect This Information (Purposes of Processing)</w:t>
      </w:r>
      <w:bookmarkEnd w:id="8"/>
    </w:p>
    <w:p>
      <w:pPr>
        <w:pStyle w:val="FirstParagraph"/>
        <w:rPr/>
      </w:pPr>
      <w:r>
        <w:rPr/>
        <w:t>We use information for the following purposes:</w:t>
      </w:r>
    </w:p>
    <w:p>
      <w:pPr>
        <w:pStyle w:val="BodyText"/>
        <w:rPr/>
      </w:pPr>
      <w:r>
        <w:rPr>
          <w:b/>
        </w:rPr>
        <w:t>To provide the KnockIQ service to Customers and Reps:</w:t>
      </w:r>
      <w:r>
        <w:rPr/>
        <w:t xml:space="preserve"> - Authenticate users and maintain accounts. - Log canvassing activity, render maps, calculate territories, attribute leads to Reps. - Provide voice-to-text dictation so Reps can take notes hands-free. - Surface real-time Rep locations to managers for safety, coordination, and oversight. - Generate performance reports, leaderboards, and analytics for the Customer. - Process payments and manage subscriptions.</w:t>
      </w:r>
    </w:p>
    <w:p>
      <w:pPr>
        <w:pStyle w:val="BodyText"/>
        <w:rPr/>
      </w:pPr>
      <w:r>
        <w:rPr>
          <w:b/>
        </w:rPr>
        <w:t>To operate, maintain, and improve our platform:</w:t>
      </w:r>
      <w:r>
        <w:rPr/>
        <w:t xml:space="preserve"> - Diagnose and resolve technical issues. - Detect and prevent fraud, abuse, and security incidents. - Conduct internal analytics about how the product is used, in aggregated and de-identified form.</w:t>
      </w:r>
    </w:p>
    <w:p>
      <w:pPr>
        <w:pStyle w:val="BodyText"/>
        <w:rPr/>
      </w:pPr>
      <w:r>
        <w:rPr>
          <w:b/>
        </w:rPr>
        <w:t>To comply with law and protect our rights:</w:t>
      </w:r>
      <w:r>
        <w:rPr/>
        <w:t xml:space="preserve"> - Respond to lawful legal process (subpoenas, court orders, regulatory requests). - Enforce our Terms of Service. - Establish, exercise, or defend legal claims.</w:t>
      </w:r>
    </w:p>
    <w:p>
      <w:pPr>
        <w:pStyle w:val="BodyText"/>
        <w:rPr/>
      </w:pPr>
      <w:r>
        <w:rPr>
          <w:b/>
        </w:rPr>
        <w:t>Sensitive personal information — strict necessity.</w:t>
      </w:r>
      <w:r>
        <w:rPr/>
        <w:t xml:space="preserve"> For precise geolocation and any data treated as sensitive under applicable state law (including, in Maryland, biometric data and certain other categories), we process it </w:t>
      </w:r>
      <w:r>
        <w:rPr>
          <w:b/>
        </w:rPr>
        <w:t>only as strictly necessary</w:t>
      </w:r>
      <w:r>
        <w:rPr/>
        <w:t xml:space="preserve"> to provide the canvassing-coordination service the Customer requested. We do not use sensitive personal information for targeted advertising, profiling unrelated to service delivery, training of generative AI models, or any other secondary purpose. We do not sell sensitive personal information.</w:t>
      </w:r>
    </w:p>
    <w:p>
      <w:pPr>
        <w:pStyle w:val="BlockText"/>
        <w:rPr/>
      </w:pPr>
      <w:r>
        <w:rPr>
          <w:b/>
        </w:rPr>
        <w:t>[ATTORNEY REVIEW: Maryland MODPA’s “strictly necessary” standard for sensitive data is the strictest baseline. Confirm that “strict necessity” is the correct positioning given the actual product use. If KnockIQ uses precise geolocation for any purpose beyond service delivery (e.g., heatmaps shown to other Customer companies), that must be disclosed or stopped.]</w:t>
      </w:r>
    </w:p>
    <w:p>
      <w:pPr>
        <w:pStyle w:val="Normal"/>
        <w:rPr/>
      </w:pPr>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 w:name="X13bb43ffd5d3daf41f6fe0c3dc9ff91244eadf3"/>
      <w:r>
        <w:rPr/>
        <w:t>6. Legal Bases for Processing (Canada, and where US state law requires)</w:t>
      </w:r>
      <w:bookmarkEnd w:id="9"/>
    </w:p>
    <w:p>
      <w:pPr>
        <w:pStyle w:val="FirstParagraph"/>
        <w:rPr/>
      </w:pPr>
      <w:r>
        <w:rPr/>
        <w:t>Where applicable Canadian law requires us to identify a legal basis:</w:t>
      </w:r>
    </w:p>
    <w:p>
      <w:pPr>
        <w:pStyle w:val="Compact"/>
        <w:numPr>
          <w:ilvl w:val="0"/>
          <w:numId w:val="2"/>
        </w:numPr>
        <w:rPr/>
      </w:pPr>
      <w:r>
        <w:rPr>
          <w:b/>
        </w:rPr>
        <w:t>Performance of a contract</w:t>
      </w:r>
      <w:r>
        <w:rPr/>
        <w:t xml:space="preserve"> for processing necessary to provide services Reps and Customers signed up for.</w:t>
      </w:r>
    </w:p>
    <w:p>
      <w:pPr>
        <w:pStyle w:val="Compact"/>
        <w:numPr>
          <w:ilvl w:val="0"/>
          <w:numId w:val="2"/>
        </w:numPr>
        <w:rPr/>
      </w:pPr>
      <w:r>
        <w:rPr>
          <w:b/>
        </w:rPr>
        <w:t>Meaningful consent</w:t>
      </w:r>
      <w:r>
        <w:rPr/>
        <w:t xml:space="preserve"> for collection of geolocation, voice, and other personal information from Reps. Reps consent to this collection by accepting their employer’s directive to use KnockIQ and by granting the relevant device permissions.</w:t>
      </w:r>
    </w:p>
    <w:p>
      <w:pPr>
        <w:pStyle w:val="Compact"/>
        <w:numPr>
          <w:ilvl w:val="0"/>
          <w:numId w:val="2"/>
        </w:numPr>
        <w:rPr/>
      </w:pPr>
      <w:r>
        <w:rPr>
          <w:b/>
        </w:rPr>
        <w:t>Legitimate business interest</w:t>
      </w:r>
      <w:r>
        <w:rPr/>
        <w:t xml:space="preserve"> for security, fraud prevention, and product analytics.</w:t>
      </w:r>
    </w:p>
    <w:p>
      <w:pPr>
        <w:pStyle w:val="Compact"/>
        <w:numPr>
          <w:ilvl w:val="0"/>
          <w:numId w:val="2"/>
        </w:numPr>
        <w:rPr/>
      </w:pPr>
      <w:r>
        <w:rPr>
          <w:b/>
        </w:rPr>
        <w:t>Legal obligation</w:t>
      </w:r>
      <w:r>
        <w:rPr/>
        <w:t xml:space="preserve"> for tax, accounting, and law-enforcement responses.</w:t>
      </w:r>
    </w:p>
    <w:p>
      <w:pPr>
        <w:pStyle w:val="FirstParagraph"/>
        <w:rPr/>
      </w:pPr>
      <w:r>
        <w:rPr/>
        <w:t xml:space="preserve">For Visited Person information, we rely on the Customer’s representation in our Terms of Service that the Customer has the lawful basis required to capture this information through its Reps. </w:t>
      </w:r>
      <w:r>
        <w:rPr>
          <w:b/>
        </w:rPr>
        <w:t>If you are a Visited Person and you want your information removed, see Section 14.</w:t>
      </w:r>
    </w:p>
    <w:p>
      <w:pPr>
        <w:pStyle w:val="BlockText"/>
        <w:rPr/>
      </w:pPr>
      <w:r>
        <w:rPr>
          <w:b/>
        </w:rPr>
        <w:t>[ATTORNEY REVIEW: PIPEDA’s “meaningful consent” standard requires that consent be voluntary, informed, and specific. For Visited Persons, KnockIQ cannot claim consent because none was obtained. Consider whether this section requires a more candid statement about that gap and a stronger commitment to honor deletion requests.]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0" w:name="X3443b43bc29fababd9abdfd3296aba9e95ec255"/>
      <w:r>
        <w:rPr/>
        <w:t>7. Who We Share Information With (Sub-Processors and Third Parties)</w:t>
      </w:r>
      <w:bookmarkEnd w:id="10"/>
    </w:p>
    <w:p>
      <w:pPr>
        <w:pStyle w:val="FirstParagraph"/>
        <w:rPr/>
      </w:pPr>
      <w:r>
        <w:rPr/>
        <w:t>We rely on the following service providers to operate KnockIQ. Each one receives only the information they need to perform their function and is contractually required to protect that information.</w:t>
      </w:r>
    </w:p>
    <w:tbl>
      <w:tblPr>
        <w:tblStyle w:val="Table"/>
        <w:tblW w:w="5000" w:type="pct"/>
        <w:jc w:val="start"/>
        <w:tblInd w:w="0" w:type="dxa"/>
        <w:tblLayout w:type="fixed"/>
        <w:tblCellMar>
          <w:top w:w="0" w:type="dxa"/>
          <w:start w:w="108" w:type="dxa"/>
          <w:bottom w:w="0" w:type="dxa"/>
          <w:end w:w="108" w:type="dxa"/>
        </w:tblCellMar>
        <w:tblLook w:firstRow="1"/>
      </w:tblPr>
      <w:tblGrid>
        <w:gridCol w:w="2339"/>
        <w:gridCol w:w="2340"/>
        <w:gridCol w:w="2340"/>
        <w:gridCol w:w="2341"/>
      </w:tblGrid>
      <w:tr>
        <w:trPr>
          <w:cnfStyle w:firstRow="1"/>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Sub-processor</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w:t>
            </w:r>
          </w:p>
        </w:tc>
        <w:tc>
          <w:tcPr>
            <w:tcW w:w="234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 transmitted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Supabase, Inc.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Hosted database, authentication, file storage, edge compute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KnockIQ-stored data</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OpenAI</w:t>
            </w:r>
            <w:r>
              <w:rPr>
                <w:rFonts w:eastAsia="Cambria" w:cs=""/>
                <w:kern w:val="0"/>
                <w:sz w:val="24"/>
                <w:szCs w:val="24"/>
                <w:lang w:val="en-US" w:eastAsia="en-US" w:bidi="ar-SA"/>
              </w:rPr>
              <w:t xml:space="preserve"> (Whisper API)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Audio-to-text transcription for voice notes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audio at the moment of transcription (not persisted by KnockIQ)</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Stripe, Inc.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Subscription billing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billing identifiers, payment events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Resend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 delivery (Rep invitations and account emails)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 / EU</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 email address, name, organization name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OpenStreetMap Foundation</w:t>
            </w:r>
            <w:r>
              <w:rPr>
                <w:rFonts w:eastAsia="Cambria" w:cs=""/>
                <w:kern w:val="0"/>
                <w:sz w:val="24"/>
                <w:szCs w:val="24"/>
                <w:lang w:val="en-US" w:eastAsia="en-US" w:bidi="ar-SA"/>
              </w:rPr>
              <w:t xml:space="preserve"> (tile servers, Overpass, Nominatim)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Map rendering and reverse geocoding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Germany / EU</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IP address and viewport coordinates of the requesting device; door coordinates during reverse geocoding</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Google Maps Platform</w:t>
            </w:r>
            <w:r>
              <w:rPr>
                <w:rFonts w:eastAsia="Cambria" w:cs=""/>
                <w:kern w:val="0"/>
                <w:sz w:val="24"/>
                <w:szCs w:val="24"/>
                <w:lang w:val="en-US" w:eastAsia="en-US" w:bidi="ar-SA"/>
              </w:rPr>
              <w:t xml:space="preserve"> (Geocoding API)</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Optional reverse geocoding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Door coordinates; only used when the Customer has enabled this option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Customer-configured webhooks</w:t>
            </w:r>
            <w:r>
              <w:rPr>
                <w:rFonts w:eastAsia="Cambria" w:cs=""/>
                <w:kern w:val="0"/>
                <w:sz w:val="24"/>
                <w:szCs w:val="24"/>
                <w:lang w:val="en-US" w:eastAsia="en-US" w:bidi="ar-SA"/>
              </w:rPr>
              <w:t xml:space="preserve"> (e.g., Zapier)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Outbound integrations selected by the Customer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Session-level rollups only; per-Visited-Person data is not currently sent to webhooks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kern w:val="0"/>
                <w:sz w:val="24"/>
                <w:szCs w:val="24"/>
                <w:lang w:val="en-US" w:eastAsia="en-US" w:bidi="ar-SA"/>
              </w:rPr>
              <w:t>Google Fonts, unpkg.com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asset delivery (fonts, CSS libraries)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United States</w:t>
            </w:r>
          </w:p>
        </w:tc>
        <w:tc>
          <w:tcPr>
            <w:tcW w:w="234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IP address and user-agent of the requesting device</w:t>
            </w:r>
          </w:p>
        </w:tc>
      </w:tr>
    </w:tbl>
    <w:p>
      <w:pPr>
        <w:pStyle w:val="BodyText"/>
        <w:rPr/>
      </w:pPr>
      <w:r>
        <w:rPr/>
        <w:t xml:space="preserve">We do not </w:t>
      </w:r>
      <w:r>
        <w:rPr>
          <w:b/>
        </w:rPr>
        <w:t>sell</w:t>
      </w:r>
      <w:r>
        <w:rPr/>
        <w:t xml:space="preserve"> personal information for monetary consideration, and we do not </w:t>
      </w:r>
      <w:r>
        <w:rPr>
          <w:b/>
        </w:rPr>
        <w:t>share</w:t>
      </w:r>
      <w:r>
        <w:rPr/>
        <w:t xml:space="preserve"> personal information for cross-context behavioral advertising. We do not currently engage in profiling that produces legal or similarly significant effects.</w:t>
      </w:r>
    </w:p>
    <w:p>
      <w:pPr>
        <w:pStyle w:val="BodyText"/>
        <w:rPr/>
      </w:pPr>
      <w:r>
        <w:rPr>
          <w:b/>
        </w:rPr>
        <w:t>Visited Person information specifically:</w:t>
      </w:r>
      <w:r>
        <w:rPr/>
        <w:t xml:space="preserve"> we transmit address, latitude, longitude, photographs, and voice-derived transcripts to the sub-processors listed above as needed to operate the service. We do not sell Visited Person data, we do not use it for advertising, and (in compliance with Maryland law and Virginia law effective July 1, 2026) we </w:t>
      </w:r>
      <w:r>
        <w:rPr>
          <w:b/>
        </w:rPr>
        <w:t>do not sell precise geolocation data</w:t>
      </w:r>
      <w:r>
        <w:rPr/>
        <w:t>.</w:t>
      </w:r>
    </w:p>
    <w:p>
      <w:pPr>
        <w:pStyle w:val="BlockText"/>
        <w:rPr/>
      </w:pPr>
      <w:r>
        <w:rPr>
          <w:b/>
        </w:rPr>
        <w:t>[ATTORNEY REVIEW: confirm that the OpenAI account used by KnockIQ is on enterprise/API terms with zero-day retention and no use of submitted data for training. If the account is on default consumer terms, this section is materially inaccurate and OpenAI must be reconfigured before publication.]</w:t>
      </w:r>
    </w:p>
    <w:p>
      <w:pPr>
        <w:pStyle w:val="BlockText"/>
        <w:rPr/>
      </w:pPr>
      <w:r>
        <w:rPr>
          <w:b/>
        </w:rPr>
        <w:t>[ATTORNEY REVIEW: confirm whether KnockIQ ever combines Customer-specific data for cross-Customer benchmarking, “industry insights,” or product improvement. If yes, that must be disclosed here and is likely a sub-processor-restricted purpose under MODPA’s strict-necessity rule.]</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1" w:name="sensitive-personal-information"/>
      <w:r>
        <w:rPr/>
        <w:t>8. Sensitive Personal Information</w:t>
      </w:r>
      <w:bookmarkEnd w:id="11"/>
    </w:p>
    <w:p>
      <w:pPr>
        <w:pStyle w:val="FirstParagraph"/>
        <w:rPr/>
      </w:pPr>
      <w:r>
        <w:rPr/>
        <w:t>We collect personal information that is treated as “sensitive” under one or more applicable laws:</w:t>
      </w:r>
    </w:p>
    <w:p>
      <w:pPr>
        <w:pStyle w:val="Compact"/>
        <w:numPr>
          <w:ilvl w:val="0"/>
          <w:numId w:val="2"/>
        </w:numPr>
        <w:rPr/>
      </w:pPr>
      <w:r>
        <w:rPr>
          <w:b/>
        </w:rPr>
        <w:t>Precise geolocation</w:t>
      </w:r>
      <w:r>
        <w:rPr/>
        <w:t xml:space="preserve"> — both of Reps (continuously, during active sessions) and of Visited Persons (at the doorstep). Under California law, “precise” means within an 1,850-foot radius; under other state laws, within 1,750 feet. Every coordinate we collect falls within both thresholds.</w:t>
      </w:r>
    </w:p>
    <w:p>
      <w:pPr>
        <w:pStyle w:val="Compact"/>
        <w:numPr>
          <w:ilvl w:val="0"/>
          <w:numId w:val="2"/>
        </w:numPr>
        <w:rPr/>
      </w:pPr>
      <w:r>
        <w:rPr>
          <w:b/>
        </w:rPr>
        <w:t>Voice recordings</w:t>
      </w:r>
      <w:r>
        <w:rPr/>
        <w:t xml:space="preserve"> of Reps (transient, transmitted to OpenAI for transcription, not retained by KnockIQ).</w:t>
      </w:r>
    </w:p>
    <w:p>
      <w:pPr>
        <w:pStyle w:val="Compact"/>
        <w:numPr>
          <w:ilvl w:val="0"/>
          <w:numId w:val="2"/>
        </w:numPr>
        <w:rPr/>
      </w:pPr>
      <w:r>
        <w:rPr>
          <w:b/>
        </w:rPr>
        <w:t>Photographs</w:t>
      </w:r>
      <w:r>
        <w:rPr/>
        <w:t xml:space="preserve"> uploaded by Reps that may incidentally depict identifiable persons.</w:t>
      </w:r>
    </w:p>
    <w:p>
      <w:pPr>
        <w:pStyle w:val="FirstParagraph"/>
        <w:rPr/>
      </w:pPr>
      <w:r>
        <w:rPr/>
        <w:t>We do not knowingly collect: - Social Security numbers, driver’s license numbers, or government-issued identifiers. - Account credentials beyond those required to use KnockIQ. - Information about racial or ethnic origin, religion, political beliefs, union membership, health, sexual orientation, or gender identity. - Genetic information or biometric identifiers used for identification.</w:t>
      </w:r>
    </w:p>
    <w:p>
      <w:pPr>
        <w:pStyle w:val="BodyText"/>
        <w:rPr/>
      </w:pPr>
      <w:r>
        <w:rPr>
          <w:b/>
        </w:rPr>
        <w:t>Right to limit use of sensitive personal information (California, Virginia, Colorado, Connecticut, Utah, and other applicable states).</w:t>
      </w:r>
      <w:r>
        <w:rPr/>
        <w:t xml:space="preserve"> You may request that we limit our use of sensitive personal information about you to the purposes strictly necessary to provide the service. Contact us at [privacy@knockiq.com] to make this request. Because precise geolocation is essential to canvassing coordination, limiting its use will substantially impair or end your ability to use KnockIQ as a Rep.</w:t>
      </w:r>
    </w:p>
    <w:p>
      <w:pPr>
        <w:pStyle w:val="Normal"/>
        <w:rPr/>
      </w:pP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2" w:name="voice-recordings-and-biometric-notice"/>
      <w:r>
        <w:rPr/>
        <w:t>9. Voice Recordings and Biometric Notice</w:t>
      </w:r>
      <w:bookmarkEnd w:id="12"/>
    </w:p>
    <w:p>
      <w:pPr>
        <w:pStyle w:val="FirstParagraph"/>
        <w:rPr/>
      </w:pPr>
      <w:r>
        <w:rPr/>
        <w:t>KnockIQ provides a voice-note feature that captures audio from a Rep’s device microphone and transmits it to OpenAI for transcription into text. The text is saved as part of the Rep’s interaction record; the audio itself is not stored on KnockIQ servers.</w:t>
      </w:r>
    </w:p>
    <w:p>
      <w:pPr>
        <w:pStyle w:val="BodyText"/>
        <w:rPr/>
      </w:pPr>
      <w:r>
        <w:rPr>
          <w:b/>
        </w:rPr>
        <w:t>We do not generate voiceprints.</w:t>
      </w:r>
      <w:r>
        <w:rPr/>
        <w:t xml:space="preserve"> We do not run speaker identification, speaker diarization, voice biometrics, or any other process that would produce a “biometric identifier” within the meaning of the Illinois Biometric Information Privacy Act (740 ILCS 14), the Texas Capture or Use of Biometric Identifier Act (Tex. Bus. &amp; Com. Code § 503.001 as amended by HB 149 / TRAIGA effective January 1, 2026), the Washington biometric statute (RCW 19.375), or the New York City biometric ordinance (NYC Admin. Code § 22-1201 et seq.). The audio sent to OpenAI is processed only for the immediate purpose of speech-to-text conversion and then discarded by the request lifecycle.</w:t>
      </w:r>
    </w:p>
    <w:p>
      <w:pPr>
        <w:pStyle w:val="BlockText"/>
        <w:rPr/>
      </w:pPr>
      <w:r>
        <w:rPr>
          <w:b/>
        </w:rPr>
        <w:t>[ATTORNEY REVIEW: this statement is only true if the actual OpenAI pipeline is confirmed to do no speaker diarization and to discard audio after the request. The audit shows OpenAI Whisper as the endpoint, which is straight transcription — but enterprise contract terms and any future changes to the pipeline must preserve this. If KnockIQ ever adds a feature that generates voiceprints or speaker embeddings, this section must be replaced with a full BIPA-compliant notice (written notice + written release + public retention schedule) BEFORE the feature ships.]</w:t>
      </w:r>
    </w:p>
    <w:p>
      <w:pPr>
        <w:pStyle w:val="FirstParagraph"/>
        <w:rPr/>
      </w:pPr>
      <w:r>
        <w:rPr>
          <w:b/>
        </w:rPr>
        <w:t>Recording-consent disclosure.</w:t>
      </w:r>
      <w:r>
        <w:rPr/>
        <w:t xml:space="preserve"> Many US states require all parties to a conversation to consent to its recording. These states currently include California, Connecticut, Delaware, Florida, Illinois, Maryland, Massachusetts, Montana, Nevada, New Hampshire, Pennsylvania, and Washington. The KnockIQ voice-note feature is intended for Rep-side dictation after the conversation has ended or out of earshot of the Visited Person. Our Terms of Service require Customers to train their Reps in compliance with all applicable recording laws. If you are a Visited Person and believe your voice was captured by a KnockIQ voice note without your consent, contact us at [privacy@knockiq.com] and we will work with the relevant Customer to delete the recording and any derived transcript.</w:t>
      </w:r>
    </w:p>
    <w:p>
      <w:pPr>
        <w:pStyle w:val="Normal"/>
        <w:rPr/>
      </w:pPr>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3" w:name="sale-and-sharing-of-personal-information"/>
      <w:r>
        <w:rPr/>
        <w:t>10. Sale and Sharing of Personal Information</w:t>
      </w:r>
      <w:bookmarkEnd w:id="13"/>
    </w:p>
    <w:p>
      <w:pPr>
        <w:pStyle w:val="FirstParagraph"/>
        <w:rPr/>
      </w:pPr>
      <w:r>
        <w:rPr>
          <w:b/>
        </w:rPr>
        <w:t>We do not sell personal information</w:t>
      </w:r>
      <w:r>
        <w:rPr/>
        <w:t xml:space="preserve"> in exchange for money, and </w:t>
      </w:r>
      <w:r>
        <w:rPr>
          <w:b/>
        </w:rPr>
        <w:t>we do not share personal information for cross-context behavioral advertising</w:t>
      </w:r>
      <w:r>
        <w:rPr/>
        <w:t>, within the meaning of the California Consumer Privacy Act as amended (CPRA) and the comprehensive privacy laws of the other states listed in Section 2.</w:t>
      </w:r>
    </w:p>
    <w:p>
      <w:pPr>
        <w:pStyle w:val="BodyText"/>
        <w:rPr/>
      </w:pPr>
      <w:r>
        <w:rPr>
          <w:b/>
        </w:rPr>
        <w:t>We do not sell precise geolocation data</w:t>
      </w:r>
      <w:r>
        <w:rPr/>
        <w:t>, consistent with Maryland MODPA (effective October 1, 2025; enforced April 1, 2026) and Virginia’s geolocation-sale ban (effective July 1, 2026), and we apply this prohibition nationwide.</w:t>
      </w:r>
    </w:p>
    <w:p>
      <w:pPr>
        <w:pStyle w:val="BodyText"/>
        <w:rPr/>
      </w:pPr>
      <w:r>
        <w:rPr>
          <w:b/>
        </w:rPr>
        <w:t>Targeted advertising and profiling.</w:t>
      </w:r>
      <w:r>
        <w:rPr/>
        <w:t xml:space="preserve"> We do not currently engage in targeted advertising, and we do not profile individuals in a manner that produces legal or similarly significant effects. If this changes, we will update this Policy and provide opt-out / opt-in mechanisms as required by your jurisdiction.</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4" w:name="cross-border-data-transfers"/>
      <w:r>
        <w:rPr/>
        <w:t>11. Cross-Border Data Transfers</w:t>
      </w:r>
      <w:bookmarkEnd w:id="14"/>
    </w:p>
    <w:p>
      <w:pPr>
        <w:pStyle w:val="FirstParagraph"/>
        <w:rPr/>
      </w:pPr>
      <w:r>
        <w:rPr/>
        <w:t>KnockIQ is headquartered in [STATE], United States, and our primary database and storage are hosted in the United States by Supabase, Inc. The following cross-border transfers may occur:</w:t>
      </w:r>
    </w:p>
    <w:p>
      <w:pPr>
        <w:pStyle w:val="Compact"/>
        <w:numPr>
          <w:ilvl w:val="0"/>
          <w:numId w:val="2"/>
        </w:numPr>
        <w:rPr/>
      </w:pPr>
      <w:r>
        <w:rPr>
          <w:b/>
        </w:rPr>
        <w:t>From all users to the United States:</w:t>
      </w:r>
      <w:r>
        <w:rPr/>
        <w:t xml:space="preserve"> all data stored in KnockIQ.</w:t>
      </w:r>
    </w:p>
    <w:p>
      <w:pPr>
        <w:pStyle w:val="Compact"/>
        <w:numPr>
          <w:ilvl w:val="0"/>
          <w:numId w:val="2"/>
        </w:numPr>
        <w:rPr/>
      </w:pPr>
      <w:r>
        <w:rPr>
          <w:b/>
        </w:rPr>
        <w:t>From all users to Germany:</w:t>
      </w:r>
      <w:r>
        <w:rPr/>
        <w:t xml:space="preserve"> map-tile, reverse-geocoding, and address-lookup requests directed to OpenStreetMap-operated services.</w:t>
      </w:r>
    </w:p>
    <w:p>
      <w:pPr>
        <w:pStyle w:val="Compact"/>
        <w:numPr>
          <w:ilvl w:val="0"/>
          <w:numId w:val="2"/>
        </w:numPr>
        <w:rPr/>
      </w:pPr>
      <w:r>
        <w:rPr>
          <w:b/>
        </w:rPr>
        <w:t>Canadian users:</w:t>
      </w:r>
      <w:r>
        <w:rPr/>
        <w:t xml:space="preserve"> all of the above transfers leave Canada. If you are a resident of </w:t>
      </w:r>
      <w:r>
        <w:rPr>
          <w:b/>
        </w:rPr>
        <w:t>Quebec</w:t>
      </w:r>
      <w:r>
        <w:rPr/>
        <w:t>, please note that we have conducted (or will conduct, prior to the effective date of this Policy) a privacy impact assessment under section 17 of Quebec Law 25 to evaluate the protection afforded by each receiving jurisdiction and the contractual safeguards in place. A summary is available on request at [privacy@knockiq.com].</w:t>
      </w:r>
    </w:p>
    <w:p>
      <w:pPr>
        <w:pStyle w:val="FirstParagraph"/>
        <w:rPr/>
      </w:pPr>
      <w:r>
        <w:rPr/>
        <w:t>For Canadian users, we rely on contractual protections in our agreements with each sub-processor and on the disclosure of these transfers as part of obtaining your consent to use KnockIQ.</w:t>
      </w:r>
    </w:p>
    <w:p>
      <w:pPr>
        <w:pStyle w:val="BlockText"/>
        <w:rPr/>
      </w:pPr>
      <w:r>
        <w:rPr>
          <w:b/>
        </w:rPr>
        <w:t>[ATTORNEY REVIEW: the Quebec Law 25 §17 PIA must actually exist before this Policy is published in any market where Quebec residents might use KnockIQ. The PIA is also required for any future change of sub-processor or processing location. Confirm scope and store the executed PIA in the legal file.]</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 w:name="how-long-we-keep-information-retention"/>
      <w:r>
        <w:rPr/>
        <w:t>12. How Long We Keep Information (Retention)</w:t>
      </w:r>
      <w:bookmarkEnd w:id="15"/>
    </w:p>
    <w:p>
      <w:pPr>
        <w:pStyle w:val="FirstParagraph"/>
        <w:rPr/>
      </w:pPr>
      <w:r>
        <w:rPr/>
        <w:t>We retain personal information only as long as needed for the purposes described in this Policy or as required by law.</w:t>
      </w:r>
    </w:p>
    <w:tbl>
      <w:tblPr>
        <w:tblStyle w:val="Table"/>
        <w:tblW w:w="5000" w:type="pct"/>
        <w:jc w:val="start"/>
        <w:tblInd w:w="0" w:type="dxa"/>
        <w:tblLayout w:type="fixed"/>
        <w:tblCellMar>
          <w:top w:w="0" w:type="dxa"/>
          <w:start w:w="108" w:type="dxa"/>
          <w:bottom w:w="0" w:type="dxa"/>
          <w:end w:w="108" w:type="dxa"/>
        </w:tblCellMar>
        <w:tblLook w:firstRow="1"/>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468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Retention period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Rep account records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while the account exists; deleted within [INSERT — e.g., 90 days] of account deletion, except records we are required to keep for tax, billing, or audit purposes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Canvassing session records, interaction records, GPS breadcrumbs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Retained for [INSERT — e.g., 24 months] from creation; longer retention only on Customer instruction or where required by litigation hold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Customer billing records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Retained for [INSERT — e.g., 7 years] for tax and accounting compliance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Voice-note audio</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 retained by KnockIQ after transcription completes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Voice-note transcripts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with the interaction record they belong to; deleted on the same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Photographs uploaded by Reps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Stored with the interaction record they belong to; deleted on the same schedule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Do-not-knock entries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Retained indefinitely while the Customer’s account is active, because the purpose is precisely to remember the request not to be visited; you may request deletion at any time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Logs and security records</w:t>
            </w:r>
          </w:p>
        </w:tc>
        <w:tc>
          <w:tcPr>
            <w:tcW w:w="468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Retained for [INSERT — e.g., 12 months]</w:t>
            </w:r>
          </w:p>
        </w:tc>
      </w:tr>
    </w:tbl>
    <w:p>
      <w:pPr>
        <w:pStyle w:val="BlockText"/>
        <w:rPr/>
      </w:pPr>
      <w:r>
        <w:rPr>
          <w:b/>
        </w:rPr>
        <w:t xml:space="preserve">[ATTORNEY REVIEW: KnockIQ does not currently have retention/deletion lifecycles implemented in code for </w:t>
      </w:r>
      <w:r>
        <w:rPr>
          <w:rStyle w:val="VerbatimChar"/>
          <w:b/>
        </w:rPr>
        <w:t>interactions</w:t>
      </w:r>
      <w:r>
        <w:rPr>
          <w:b/>
        </w:rPr>
        <w:t xml:space="preserve">, </w:t>
      </w:r>
      <w:r>
        <w:rPr>
          <w:rStyle w:val="VerbatimChar"/>
          <w:b/>
        </w:rPr>
        <w:t>gps_points</w:t>
      </w:r>
      <w:r>
        <w:rPr>
          <w:b/>
        </w:rPr>
        <w:t xml:space="preserve">, </w:t>
      </w:r>
      <w:r>
        <w:rPr>
          <w:rStyle w:val="VerbatimChar"/>
          <w:b/>
        </w:rPr>
        <w:t>do_not_knock</w:t>
      </w:r>
      <w:r>
        <w:rPr>
          <w:b/>
        </w:rPr>
        <w:t>, photos, or audio. Confirm that engineering will implement the lifecycles before this Policy is published, or rewrite the table to reflect what is actually in place. Publishing a retention schedule the product does not enforce creates direct regulatory and litigation exposure.]</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6" w:name="security"/>
      <w:r>
        <w:rPr/>
        <w:t>13. Security</w:t>
      </w:r>
      <w:bookmarkEnd w:id="16"/>
    </w:p>
    <w:p>
      <w:pPr>
        <w:pStyle w:val="FirstParagraph"/>
        <w:rPr/>
      </w:pPr>
      <w:r>
        <w:rPr/>
        <w:t>We implement administrative, technical, and physical safeguards designed to protect personal information against unauthorized access, disclosure, alteration, and destruction. These include:</w:t>
      </w:r>
    </w:p>
    <w:p>
      <w:pPr>
        <w:pStyle w:val="Compact"/>
        <w:numPr>
          <w:ilvl w:val="0"/>
          <w:numId w:val="2"/>
        </w:numPr>
        <w:rPr/>
      </w:pPr>
      <w:r>
        <w:rPr/>
        <w:t>Encryption in transit (TLS) for all communications with our servers and sub-processors.</w:t>
      </w:r>
    </w:p>
    <w:p>
      <w:pPr>
        <w:pStyle w:val="Compact"/>
        <w:numPr>
          <w:ilvl w:val="0"/>
          <w:numId w:val="2"/>
        </w:numPr>
        <w:rPr/>
      </w:pPr>
      <w:r>
        <w:rPr/>
        <w:t>Encryption at rest for our primary database and file storage, as provided by Supabase.</w:t>
      </w:r>
    </w:p>
    <w:p>
      <w:pPr>
        <w:pStyle w:val="Compact"/>
        <w:numPr>
          <w:ilvl w:val="0"/>
          <w:numId w:val="2"/>
        </w:numPr>
        <w:rPr/>
      </w:pPr>
      <w:r>
        <w:rPr/>
        <w:t>Row-level access controls in our database that restrict each Customer’s users to their own organization’s data.</w:t>
      </w:r>
    </w:p>
    <w:p>
      <w:pPr>
        <w:pStyle w:val="Compact"/>
        <w:numPr>
          <w:ilvl w:val="0"/>
          <w:numId w:val="2"/>
        </w:numPr>
        <w:rPr/>
      </w:pPr>
      <w:r>
        <w:rPr/>
        <w:t>Multi-factor authentication on administrative and infrastructure accounts.</w:t>
      </w:r>
    </w:p>
    <w:p>
      <w:pPr>
        <w:pStyle w:val="Compact"/>
        <w:numPr>
          <w:ilvl w:val="0"/>
          <w:numId w:val="2"/>
        </w:numPr>
        <w:rPr/>
      </w:pPr>
      <w:r>
        <w:rPr/>
        <w:t>Periodic review of access controls, code, and infrastructure configurations.</w:t>
      </w:r>
    </w:p>
    <w:p>
      <w:pPr>
        <w:pStyle w:val="Compact"/>
        <w:numPr>
          <w:ilvl w:val="0"/>
          <w:numId w:val="2"/>
        </w:numPr>
        <w:rPr/>
      </w:pPr>
      <w:r>
        <w:rPr/>
        <w:t>Limited use of a “super admin” role for internal support, with each cross-tenant access event logged.</w:t>
      </w:r>
    </w:p>
    <w:p>
      <w:pPr>
        <w:pStyle w:val="FirstParagraph"/>
        <w:rPr/>
      </w:pPr>
      <w:r>
        <w:rPr/>
        <w:t>No security system is perfect. If we become aware of a security incident affecting your personal information, we will notify you as required by applicable law.</w:t>
      </w:r>
    </w:p>
    <w:p>
      <w:pPr>
        <w:pStyle w:val="BlockText"/>
        <w:rPr/>
      </w:pPr>
      <w:r>
        <w:rPr>
          <w:b/>
        </w:rPr>
        <w:t xml:space="preserve">[ATTORNEY REVIEW: confirm operational readiness of every safeguard claimed here. Confirm super-admin access logging is implemented and reviewable. Confirm bucket privacy posture (the </w:t>
      </w:r>
      <w:r>
        <w:rPr>
          <w:rStyle w:val="VerbatimChar"/>
          <w:b/>
        </w:rPr>
        <w:t>interaction-photos</w:t>
      </w:r>
      <w:r>
        <w:rPr>
          <w:b/>
        </w:rPr>
        <w:t xml:space="preserve"> and </w:t>
      </w:r>
      <w:r>
        <w:rPr>
          <w:rStyle w:val="VerbatimChar"/>
          <w:b/>
        </w:rPr>
        <w:t>avatars</w:t>
      </w:r>
      <w:r>
        <w:rPr>
          <w:b/>
        </w:rPr>
        <w:t xml:space="preserve"> Supabase Storage buckets are currently public per the data audit) before claiming safeguards around photographs of Visited Persons; if those buckets remain public on launch, this section is misleading.]</w:t>
      </w:r>
    </w:p>
    <w:p>
      <w:pPr>
        <w:pStyle w:val="Normal"/>
        <w:rPr/>
      </w:pPr>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7" w:name="your-privacy-rights-united-states"/>
      <w:r>
        <w:rPr/>
        <w:t>14. Your Privacy Rights — United States</w:t>
      </w:r>
      <w:bookmarkEnd w:id="17"/>
    </w:p>
    <w:p>
      <w:pPr>
        <w:pStyle w:val="FirstParagraph"/>
        <w:rPr/>
      </w:pPr>
      <w:r>
        <w:rPr/>
        <w:t>The rights available to you depend on the state in which you reside. KnockIQ provides the following rights to all US residents, regardless of state, and provides additional rights where state law requires:</w:t>
      </w:r>
    </w:p>
    <w:p>
      <w:pPr>
        <w:pStyle w:val="Compact"/>
        <w:numPr>
          <w:ilvl w:val="0"/>
          <w:numId w:val="2"/>
        </w:numPr>
        <w:rPr/>
      </w:pPr>
      <w:r>
        <w:rPr>
          <w:b/>
        </w:rPr>
        <w:t>Right to know / right of access</w:t>
      </w:r>
      <w:r>
        <w:rPr/>
        <w:t xml:space="preserve"> — request the categories and specific pieces of personal information we have about you.</w:t>
      </w:r>
    </w:p>
    <w:p>
      <w:pPr>
        <w:pStyle w:val="Compact"/>
        <w:numPr>
          <w:ilvl w:val="0"/>
          <w:numId w:val="2"/>
        </w:numPr>
        <w:rPr/>
      </w:pPr>
      <w:r>
        <w:rPr>
          <w:b/>
        </w:rPr>
        <w:t>Right to correct</w:t>
      </w:r>
      <w:r>
        <w:rPr/>
        <w:t xml:space="preserve"> — request that inaccurate personal information be corrected.</w:t>
      </w:r>
    </w:p>
    <w:p>
      <w:pPr>
        <w:pStyle w:val="Compact"/>
        <w:numPr>
          <w:ilvl w:val="0"/>
          <w:numId w:val="2"/>
        </w:numPr>
        <w:rPr/>
      </w:pPr>
      <w:r>
        <w:rPr>
          <w:b/>
        </w:rPr>
        <w:t>Right to delete</w:t>
      </w:r>
      <w:r>
        <w:rPr/>
        <w:t xml:space="preserve"> — request deletion of personal information we hold about you.</w:t>
      </w:r>
    </w:p>
    <w:p>
      <w:pPr>
        <w:pStyle w:val="Compact"/>
        <w:numPr>
          <w:ilvl w:val="0"/>
          <w:numId w:val="2"/>
        </w:numPr>
        <w:rPr/>
      </w:pPr>
      <w:r>
        <w:rPr>
          <w:b/>
        </w:rPr>
        <w:t>Right to data portability</w:t>
      </w:r>
      <w:r>
        <w:rPr/>
        <w:t xml:space="preserve"> — receive your information in a portable, machine-readable format.</w:t>
      </w:r>
    </w:p>
    <w:p>
      <w:pPr>
        <w:pStyle w:val="Compact"/>
        <w:numPr>
          <w:ilvl w:val="0"/>
          <w:numId w:val="2"/>
        </w:numPr>
        <w:rPr/>
      </w:pPr>
      <w:r>
        <w:rPr>
          <w:b/>
        </w:rPr>
        <w:t>Right to opt out</w:t>
      </w:r>
      <w:r>
        <w:rPr/>
        <w:t xml:space="preserve"> of any sale or sharing of personal information (we do not currently sell or share, but you may register your preference for future changes).</w:t>
      </w:r>
    </w:p>
    <w:p>
      <w:pPr>
        <w:pStyle w:val="Compact"/>
        <w:numPr>
          <w:ilvl w:val="0"/>
          <w:numId w:val="2"/>
        </w:numPr>
        <w:rPr/>
      </w:pPr>
      <w:r>
        <w:rPr>
          <w:b/>
        </w:rPr>
        <w:t>Right to opt out of profiling</w:t>
      </w:r>
      <w:r>
        <w:rPr/>
        <w:t xml:space="preserve"> with legal or similarly significant effects (we do not currently profile).</w:t>
      </w:r>
    </w:p>
    <w:p>
      <w:pPr>
        <w:pStyle w:val="Compact"/>
        <w:numPr>
          <w:ilvl w:val="0"/>
          <w:numId w:val="2"/>
        </w:numPr>
        <w:rPr/>
      </w:pPr>
      <w:r>
        <w:rPr>
          <w:b/>
        </w:rPr>
        <w:t>Right to limit use of sensitive personal information</w:t>
      </w:r>
      <w:r>
        <w:rPr/>
        <w:t xml:space="preserve"> (California, Virginia, Colorado, Connecticut, Utah, and others) — see Section 8.</w:t>
      </w:r>
    </w:p>
    <w:p>
      <w:pPr>
        <w:pStyle w:val="Compact"/>
        <w:numPr>
          <w:ilvl w:val="0"/>
          <w:numId w:val="2"/>
        </w:numPr>
        <w:rPr/>
      </w:pPr>
      <w:r>
        <w:rPr>
          <w:b/>
        </w:rPr>
        <w:t>Right to appeal</w:t>
      </w:r>
      <w:r>
        <w:rPr/>
        <w:t xml:space="preserve"> a denial of any of the above (Colorado, Connecticut, Virginia, Texas, Oregon, Montana, Delaware, New Hampshire, New Jersey, Maryland, Minnesota, Tennessee, and others). If we deny your request, you may appeal by replying to the denial within 45 days; we will respond to the appeal within 60 days, and where required will provide information on how to contact your state attorney general.</w:t>
      </w:r>
    </w:p>
    <w:p>
      <w:pPr>
        <w:pStyle w:val="FirstParagraph"/>
        <w:rPr/>
      </w:pPr>
      <w:r>
        <w:rPr>
          <w:b/>
        </w:rPr>
        <w:t>How to make a request:</w:t>
      </w:r>
      <w:r>
        <w:rPr/>
        <w:t xml:space="preserve"> - Email: [privacy@knockiq.com] - Mail: [INSERT — physical address] - Online form: [INSERT — URL once built]</w:t>
      </w:r>
    </w:p>
    <w:p>
      <w:pPr>
        <w:pStyle w:val="BodyText"/>
        <w:rPr/>
      </w:pPr>
      <w:r>
        <w:rPr/>
        <w:t xml:space="preserve">We will verify your identity before responding to a request. Verification methods are proportionate to the sensitivity of the request. We will respond to most requests within </w:t>
      </w:r>
      <w:r>
        <w:rPr>
          <w:b/>
        </w:rPr>
        <w:t>45 days</w:t>
      </w:r>
      <w:r>
        <w:rPr/>
        <w:t>; if we need more time we will notify you within that period.</w:t>
      </w:r>
    </w:p>
    <w:p>
      <w:pPr>
        <w:pStyle w:val="BodyText"/>
        <w:rPr/>
      </w:pPr>
      <w:r>
        <w:rPr>
          <w:b/>
        </w:rPr>
        <w:t>No discrimination.</w:t>
      </w:r>
      <w:r>
        <w:rPr/>
        <w:t xml:space="preserve"> We will not retaliate against you or charge you a different price for exercising your privacy rights, except as permitted by law for bona fide loyalty programs (none currently offered).</w:t>
      </w:r>
    </w:p>
    <w:p>
      <w:pPr>
        <w:pStyle w:val="BodyText"/>
        <w:rPr/>
      </w:pPr>
      <w:r>
        <w:rPr>
          <w:b/>
        </w:rPr>
        <w:t>Universal opt-out signals (GPC).</w:t>
      </w:r>
      <w:r>
        <w:rPr/>
        <w:t xml:space="preserve"> If your browser sends a Global Privacy Control signal, we will treat it as a valid opt-out of any future sale or sharing of personal information from that browser. Per January 2026 California regulations, we will visibly confirm that we have processed the signal.</w:t>
      </w:r>
    </w:p>
    <w:p>
      <w:pPr>
        <w:pStyle w:val="BodyText"/>
        <w:rPr/>
      </w:pPr>
      <w:r>
        <w:rPr>
          <w:b/>
        </w:rPr>
        <w:t>Visited Persons.</w:t>
      </w:r>
      <w:r>
        <w:rPr/>
        <w:t xml:space="preserve"> If you are a Visited Person — meaning a Rep visited your residence and recorded information about you — you have </w:t>
      </w:r>
      <w:r>
        <w:rPr>
          <w:b/>
        </w:rPr>
        <w:t>the same rights</w:t>
      </w:r>
      <w:r>
        <w:rPr/>
        <w:t xml:space="preserve"> under California CCPA/CPRA and parallel state laws as any other resident of your state. You do not need to have a KnockIQ account. To exercise your rights:</w:t>
      </w:r>
    </w:p>
    <w:p>
      <w:pPr>
        <w:pStyle w:val="Compact"/>
        <w:numPr>
          <w:ilvl w:val="0"/>
          <w:numId w:val="17"/>
        </w:numPr>
        <w:rPr/>
      </w:pPr>
      <w:r>
        <w:rPr/>
        <w:t xml:space="preserve">Email </w:t>
      </w:r>
      <w:r>
        <w:rPr>
          <w:b/>
        </w:rPr>
        <w:t>[privacy@knockiq.com]</w:t>
      </w:r>
      <w:r>
        <w:rPr/>
        <w:t xml:space="preserve"> with the </w:t>
      </w:r>
      <w:r>
        <w:rPr>
          <w:b/>
        </w:rPr>
        <w:t>street address</w:t>
      </w:r>
      <w:r>
        <w:rPr/>
        <w:t xml:space="preserve"> of the visited residence (so we can locate records) and your contact information for verification.</w:t>
      </w:r>
    </w:p>
    <w:p>
      <w:pPr>
        <w:pStyle w:val="Compact"/>
        <w:numPr>
          <w:ilvl w:val="0"/>
          <w:numId w:val="1"/>
        </w:numPr>
        <w:rPr/>
      </w:pPr>
      <w:r>
        <w:rPr/>
        <w:t>We will acknowledge your request within 10 business days and complete the substantive response within 45 days.</w:t>
      </w:r>
    </w:p>
    <w:p>
      <w:pPr>
        <w:pStyle w:val="Compact"/>
        <w:numPr>
          <w:ilvl w:val="0"/>
          <w:numId w:val="1"/>
        </w:numPr>
        <w:rPr/>
      </w:pPr>
      <w:r>
        <w:rPr/>
        <w:t>We will search all of the systems where Visited Person data is stored (interaction records, GPS breadcrumbs, do-not-knock lists, photographs, voice-note transcripts) and process your request as you direct.</w:t>
      </w:r>
    </w:p>
    <w:p>
      <w:pPr>
        <w:pStyle w:val="Compact"/>
        <w:numPr>
          <w:ilvl w:val="0"/>
          <w:numId w:val="1"/>
        </w:numPr>
        <w:rPr/>
      </w:pPr>
      <w:r>
        <w:rPr/>
        <w:t>We will notify our sub-processors to delete your data as well, where applicable.</w:t>
      </w:r>
    </w:p>
    <w:p>
      <w:pPr>
        <w:pStyle w:val="BlockText"/>
        <w:rPr/>
      </w:pPr>
      <w:r>
        <w:rPr>
          <w:b/>
        </w:rPr>
        <w:t>[ATTORNEY REVIEW: this commitment requires the platform to actually have an operational search-by-address workflow that touches every system. Confirm with engineering before publication. Also confirm whether the 10-business-day acknowledgment commitment is operationally achievable; if not, drop to “without undue delay.”]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 w:name="your-privacy-rights-canada"/>
      <w:r>
        <w:rPr/>
        <w:t>15. Your Privacy Rights — Canada</w:t>
      </w:r>
      <w:bookmarkEnd w:id="18"/>
    </w:p>
    <w:p>
      <w:pPr>
        <w:pStyle w:val="FirstParagraph"/>
        <w:rPr/>
      </w:pPr>
      <w:r>
        <w:rPr/>
        <w:t>If you are a resident of Canada, you have the following rights under the federal Personal Information Protection and Electronic Documents Act (PIPEDA), Quebec’s Law 25, Alberta’s Personal Information Protection Act, and British Columbia’s Personal Information Protection Act, as applicable:</w:t>
      </w:r>
    </w:p>
    <w:p>
      <w:pPr>
        <w:pStyle w:val="Compact"/>
        <w:numPr>
          <w:ilvl w:val="0"/>
          <w:numId w:val="2"/>
        </w:numPr>
        <w:rPr/>
      </w:pPr>
      <w:r>
        <w:rPr>
          <w:b/>
        </w:rPr>
        <w:t>Right to be informed</w:t>
      </w:r>
      <w:r>
        <w:rPr/>
        <w:t xml:space="preserve"> about our collection, use, and disclosure of your personal information.</w:t>
      </w:r>
    </w:p>
    <w:p>
      <w:pPr>
        <w:pStyle w:val="Compact"/>
        <w:numPr>
          <w:ilvl w:val="0"/>
          <w:numId w:val="2"/>
        </w:numPr>
        <w:rPr/>
      </w:pPr>
      <w:r>
        <w:rPr>
          <w:b/>
        </w:rPr>
        <w:t>Right to withdraw consent</w:t>
      </w:r>
      <w:r>
        <w:rPr/>
        <w:t xml:space="preserve"> at any time, subject to legal or contractual restrictions and reasonable notice. Withdrawing consent may end your ability to use KnockIQ.</w:t>
      </w:r>
    </w:p>
    <w:p>
      <w:pPr>
        <w:pStyle w:val="Compact"/>
        <w:numPr>
          <w:ilvl w:val="0"/>
          <w:numId w:val="2"/>
        </w:numPr>
        <w:rPr/>
      </w:pPr>
      <w:r>
        <w:rPr>
          <w:b/>
        </w:rPr>
        <w:t>Right of access</w:t>
      </w:r>
      <w:r>
        <w:rPr/>
        <w:t xml:space="preserve"> to your personal information and an account of its use and disclosure.</w:t>
      </w:r>
    </w:p>
    <w:p>
      <w:pPr>
        <w:pStyle w:val="Compact"/>
        <w:numPr>
          <w:ilvl w:val="0"/>
          <w:numId w:val="2"/>
        </w:numPr>
        <w:rPr/>
      </w:pPr>
      <w:r>
        <w:rPr>
          <w:b/>
        </w:rPr>
        <w:t>Right to correct</w:t>
      </w:r>
      <w:r>
        <w:rPr/>
        <w:t xml:space="preserve"> inaccurate personal information.</w:t>
      </w:r>
    </w:p>
    <w:p>
      <w:pPr>
        <w:pStyle w:val="Compact"/>
        <w:numPr>
          <w:ilvl w:val="0"/>
          <w:numId w:val="2"/>
        </w:numPr>
        <w:rPr/>
      </w:pPr>
      <w:r>
        <w:rPr>
          <w:b/>
        </w:rPr>
        <w:t>Right to delete</w:t>
      </w:r>
      <w:r>
        <w:rPr/>
        <w:t xml:space="preserve"> personal information (a stronger right under Quebec Law 25 than under PIPEDA’s federal framework).</w:t>
      </w:r>
    </w:p>
    <w:p>
      <w:pPr>
        <w:pStyle w:val="Compact"/>
        <w:numPr>
          <w:ilvl w:val="0"/>
          <w:numId w:val="2"/>
        </w:numPr>
        <w:rPr/>
      </w:pPr>
      <w:r>
        <w:rPr>
          <w:b/>
        </w:rPr>
        <w:t>Right to portability</w:t>
      </w:r>
      <w:r>
        <w:rPr/>
        <w:t xml:space="preserve"> — to obtain a computerized copy of your personal information (Quebec only, in force).</w:t>
      </w:r>
    </w:p>
    <w:p>
      <w:pPr>
        <w:pStyle w:val="Compact"/>
        <w:numPr>
          <w:ilvl w:val="0"/>
          <w:numId w:val="2"/>
        </w:numPr>
        <w:rPr/>
      </w:pPr>
      <w:r>
        <w:rPr>
          <w:b/>
        </w:rPr>
        <w:t>Right to be informed of the use of automated decision-making</w:t>
      </w:r>
      <w:r>
        <w:rPr/>
        <w:t xml:space="preserve"> that produces legal or similarly significant effects (Quebec Law 25; not currently applicable as we do not engage in such automated decisions).</w:t>
      </w:r>
    </w:p>
    <w:p>
      <w:pPr>
        <w:pStyle w:val="Compact"/>
        <w:numPr>
          <w:ilvl w:val="0"/>
          <w:numId w:val="2"/>
        </w:numPr>
        <w:rPr/>
      </w:pPr>
      <w:r>
        <w:rPr>
          <w:b/>
        </w:rPr>
        <w:t>Right to lodge a complaint</w:t>
      </w:r>
      <w:r>
        <w:rPr/>
        <w:t xml:space="preserve"> with the Office of the Privacy Commissioner of Canada or your provincial commissioner (Quebec: Commission d’accès à l’information; Alberta: Office of the Information and Privacy Commissioner; British Columbia: Office of the Information and Privacy Commissioner).</w:t>
      </w:r>
    </w:p>
    <w:p>
      <w:pPr>
        <w:pStyle w:val="FirstParagraph"/>
        <w:rPr/>
      </w:pPr>
      <w:r>
        <w:rPr/>
        <w:t xml:space="preserve">To exercise these rights, contact our </w:t>
      </w:r>
      <w:r>
        <w:rPr>
          <w:b/>
        </w:rPr>
        <w:t>Privacy Officer</w:t>
      </w:r>
      <w:r>
        <w:rPr/>
        <w:t>: [NAME], [email], [phone], [mailing address].</w:t>
      </w:r>
    </w:p>
    <w:p>
      <w:pPr>
        <w:pStyle w:val="BodyText"/>
        <w:rPr/>
      </w:pPr>
      <w:r>
        <w:rPr/>
        <w:t xml:space="preserve">We will respond to access and correction requests within </w:t>
      </w:r>
      <w:r>
        <w:rPr>
          <w:b/>
        </w:rPr>
        <w:t>30 days</w:t>
      </w:r>
      <w:r>
        <w:rPr/>
        <w:t xml:space="preserve"> of receipt, as required by PIPEDA, unless we have notified you of an extension.</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9" w:name="childrens-privacy"/>
      <w:r>
        <w:rPr/>
        <w:t>16. Children’s Privacy</w:t>
      </w:r>
      <w:bookmarkEnd w:id="19"/>
    </w:p>
    <w:p>
      <w:pPr>
        <w:pStyle w:val="FirstParagraph"/>
        <w:rPr/>
      </w:pPr>
      <w:r>
        <w:rPr/>
        <w:t>KnockIQ is not directed at children under 13, and we do not knowingly collect personal information from children under 13.</w:t>
      </w:r>
    </w:p>
    <w:p>
      <w:pPr>
        <w:pStyle w:val="BodyText"/>
        <w:rPr/>
      </w:pPr>
      <w:r>
        <w:rPr>
          <w:b/>
        </w:rPr>
        <w:t>Reps must be 18 or older</w:t>
      </w:r>
      <w:r>
        <w:rPr/>
        <w:t xml:space="preserve"> to use the service, by the terms of their employment with a Customer. </w:t>
      </w:r>
      <w:r>
        <w:rPr>
          <w:b/>
        </w:rPr>
        <w:t>Visited Persons</w:t>
      </w:r>
      <w:r>
        <w:rPr/>
        <w:t xml:space="preserve"> are typically the adult occupants of a household. Our Terms of Service require Customers to train Reps not to collect information from a minor who answers the door, and to remove any information that may have been collected from a minor.</w:t>
      </w:r>
    </w:p>
    <w:p>
      <w:pPr>
        <w:pStyle w:val="BodyText"/>
        <w:rPr/>
      </w:pPr>
      <w:r>
        <w:rPr/>
        <w:t>If you believe we have inadvertently collected information from a child under 13, please contact us at [privacy@knockiq.com] and we will delete it.</w:t>
      </w:r>
    </w:p>
    <w:p>
      <w:pPr>
        <w:pStyle w:val="BodyText"/>
        <w:rPr/>
      </w:pPr>
      <w:r>
        <w:rPr/>
        <w:t>We comply with the Children’s Online Privacy Protection Act (COPPA) and its 2025 amendments (which took full effect April 22, 2026), and with applicable state laws governing the personal information of minors.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0" w:name="cookies-and-similar-technologies"/>
      <w:r>
        <w:rPr/>
        <w:t>17. Cookies and Similar Technologies</w:t>
      </w:r>
      <w:bookmarkEnd w:id="20"/>
    </w:p>
    <w:p>
      <w:pPr>
        <w:pStyle w:val="FirstParagraph"/>
        <w:rPr/>
      </w:pPr>
      <w:r>
        <w:rPr/>
        <w:t>KnockIQ uses a small number of cookies and local-storage items to keep you signed in and to remember your settings between visits:</w:t>
      </w:r>
    </w:p>
    <w:p>
      <w:pPr>
        <w:pStyle w:val="Compact"/>
        <w:numPr>
          <w:ilvl w:val="0"/>
          <w:numId w:val="2"/>
        </w:numPr>
        <w:rPr/>
      </w:pPr>
      <w:r>
        <w:rPr>
          <w:b/>
        </w:rPr>
        <w:t>Authentication tokens</w:t>
      </w:r>
      <w:r>
        <w:rPr/>
        <w:t xml:space="preserve"> stored in your browser’s local storage so you do not have to sign in on every page load.</w:t>
      </w:r>
    </w:p>
    <w:p>
      <w:pPr>
        <w:pStyle w:val="Compact"/>
        <w:numPr>
          <w:ilvl w:val="0"/>
          <w:numId w:val="2"/>
        </w:numPr>
        <w:rPr/>
      </w:pPr>
      <w:r>
        <w:rPr>
          <w:b/>
        </w:rPr>
        <w:t>Session state</w:t>
      </w:r>
      <w:r>
        <w:rPr/>
        <w:t xml:space="preserve"> (including a temporary cached copy of your active canvassing session) so the app continues to work briefly if you go offline mid-canvass.</w:t>
      </w:r>
    </w:p>
    <w:p>
      <w:pPr>
        <w:pStyle w:val="Compact"/>
        <w:numPr>
          <w:ilvl w:val="0"/>
          <w:numId w:val="2"/>
        </w:numPr>
        <w:rPr/>
      </w:pPr>
      <w:r>
        <w:rPr>
          <w:b/>
        </w:rPr>
        <w:t>UI preferences</w:t>
      </w:r>
      <w:r>
        <w:rPr/>
        <w:t xml:space="preserve"> (such as your last-selected map view).</w:t>
      </w:r>
    </w:p>
    <w:p>
      <w:pPr>
        <w:pStyle w:val="FirstParagraph"/>
        <w:rPr/>
      </w:pPr>
      <w:r>
        <w:rPr/>
        <w:t>We do not use third-party advertising cookies, retargeting pixels, or cross-site tracking technologies. We do not currently use analytics SDKs (e.g., Google Analytics, Mixpanel, Segment).</w:t>
      </w:r>
    </w:p>
    <w:p>
      <w:pPr>
        <w:pStyle w:val="BodyText"/>
        <w:rPr/>
      </w:pPr>
      <w:r>
        <w:rPr/>
        <w:t>If we add analytics or other tracking technologies in the future, we will update this Policy and provide appropriate opt-out mechanisms.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1" w:name="do-not-track-global-privacy-control"/>
      <w:r>
        <w:rPr/>
        <w:t>18. Do Not Track / Global Privacy Control</w:t>
      </w:r>
      <w:bookmarkEnd w:id="21"/>
    </w:p>
    <w:p>
      <w:pPr>
        <w:pStyle w:val="FirstParagraph"/>
        <w:rPr/>
      </w:pPr>
      <w:r>
        <w:rPr/>
        <w:t>Our service responds to Global Privacy Control (GPC) signals as an opt-out of sale and sharing of personal information, per Section 14. We do not currently respond to legacy “Do Not Track” headers, which are not standardized.</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 w:name="third-party-links-and-integrations"/>
      <w:r>
        <w:rPr/>
        <w:t>19. Third-Party Links and Integrations</w:t>
      </w:r>
      <w:bookmarkEnd w:id="22"/>
    </w:p>
    <w:p>
      <w:pPr>
        <w:pStyle w:val="FirstParagraph"/>
        <w:rPr/>
      </w:pPr>
      <w:r>
        <w:rPr/>
        <w:t>The KnockIQ application may link to or integrate with third-party services that the Customer has enabled (for example, a Zapier webhook configured by the Customer’s account owner). When you interact with those services, their own privacy policies govern. We are not responsible for the privacy practices of third-party services, including but not limited to OpenStreetMap, Google Maps, Stripe, Resend, OpenAI, and Zapier.</w:t>
      </w:r>
    </w:p>
    <w:p>
      <w:pPr>
        <w:pStyle w:val="Normal"/>
        <w:rPr/>
      </w:pPr>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3" w:name="changes-to-this-policy"/>
      <w:r>
        <w:rPr/>
        <w:t>20. Changes to This Policy</w:t>
      </w:r>
      <w:bookmarkEnd w:id="23"/>
    </w:p>
    <w:p>
      <w:pPr>
        <w:pStyle w:val="FirstParagraph"/>
        <w:rPr/>
      </w:pPr>
      <w:r>
        <w:rPr/>
        <w:t>We may update this Policy from time to time. The “Last Updated” date at the top of the Policy reflects the most recent change. If we make material changes, we will:</w:t>
      </w:r>
    </w:p>
    <w:p>
      <w:pPr>
        <w:pStyle w:val="Compact"/>
        <w:numPr>
          <w:ilvl w:val="0"/>
          <w:numId w:val="2"/>
        </w:numPr>
        <w:rPr/>
      </w:pPr>
      <w:r>
        <w:rPr/>
        <w:t xml:space="preserve">Notify you by email (for Reps and Customer administrators) at least </w:t>
      </w:r>
      <w:r>
        <w:rPr>
          <w:b/>
        </w:rPr>
        <w:t>30 days</w:t>
      </w:r>
      <w:r>
        <w:rPr/>
        <w:t xml:space="preserve"> before the changes take effect, and</w:t>
      </w:r>
    </w:p>
    <w:p>
      <w:pPr>
        <w:pStyle w:val="Compact"/>
        <w:numPr>
          <w:ilvl w:val="0"/>
          <w:numId w:val="2"/>
        </w:numPr>
        <w:rPr/>
      </w:pPr>
      <w:r>
        <w:rPr/>
        <w:t>Post a prominent notice on knockiq.com and in the application.</w:t>
      </w:r>
    </w:p>
    <w:p>
      <w:pPr>
        <w:pStyle w:val="FirstParagraph"/>
        <w:rPr/>
      </w:pPr>
      <w:r>
        <w:rPr/>
        <w:t>For Visited Persons, we will post material changes prominently on knockiq.com/privacy. Continued use of KnockIQ after the effective date of any change constitutes acceptance of the updated Policy.</w:t>
      </w:r>
    </w:p>
    <w:p>
      <w:pPr>
        <w:pStyle w:val="Normal"/>
        <w:rPr/>
      </w:pPr>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4" w:name="contact-us"/>
      <w:r>
        <w:rPr/>
        <w:t>21. Contact Us</w:t>
      </w:r>
      <w:bookmarkEnd w:id="24"/>
    </w:p>
    <w:p>
      <w:pPr>
        <w:pStyle w:val="FirstParagraph"/>
        <w:rPr/>
      </w:pPr>
      <w:r>
        <w:rPr>
          <w:b/>
        </w:rPr>
        <w:t>KnockIQ Privacy Team</w:t>
      </w:r>
      <w:r>
        <w:rPr/>
        <w:t xml:space="preserve"> Email: [privacy@knockiq.com] Mail: [ENTITY LEGAL NAME] Attn: Privacy Officer [STREET ADDRESS] [CITY, STATE, ZIP] United States</w:t>
      </w:r>
    </w:p>
    <w:p>
      <w:pPr>
        <w:pStyle w:val="BodyText"/>
        <w:rPr/>
      </w:pPr>
      <w:r>
        <w:rPr>
          <w:b/>
        </w:rPr>
        <w:t>Privacy Officer (Canada):</w:t>
      </w:r>
      <w:r>
        <w:rPr/>
        <w:t xml:space="preserve"> [NAME], [email], [phone].</w:t>
      </w:r>
    </w:p>
    <w:p>
      <w:pPr>
        <w:pStyle w:val="BodyText"/>
        <w:rPr/>
      </w:pPr>
      <w:r>
        <w:rPr/>
        <w:t>For California-specific requests, you may also use our online intake form at [URL] or call us toll-free at [PHONE — if applicable; California requires a toll-free number for businesses that handle personal information of 10,000+ consumers per year].</w:t>
      </w:r>
    </w:p>
    <w:p>
      <w:pPr>
        <w:pStyle w:val="BlockText"/>
        <w:rPr/>
      </w:pPr>
      <w:r>
        <w:rPr>
          <w:b/>
        </w:rPr>
        <w:t>[ATTORNEY REVIEW: confirm whether the California toll-free number requirement applies (it applies to businesses processing personal info of 10,000+ California consumers). If yes, a phone intake is required. Confirm same for Quebec Law 25 Privacy Officer designation — the role must be publicly identified by name and title.]</w:t>
      </w:r>
    </w:p>
    <w:p>
      <w:pPr>
        <w:pStyle w:val="Normal"/>
        <w:rPr/>
      </w:pPr>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5" w:name="state-specific-disclosures-appendix"/>
      <w:r>
        <w:rPr/>
        <w:t>State-Specific Disclosures Appendix</w:t>
      </w:r>
      <w:bookmarkEnd w:id="25"/>
    </w:p>
    <w:p>
      <w:pPr>
        <w:pStyle w:val="Heading3"/>
        <w:rPr/>
      </w:pPr>
      <w:bookmarkStart w:id="26" w:name="california-ccpa-cpra"/>
      <w:r>
        <w:rPr/>
        <w:t>California (CCPA / CPRA)</w:t>
      </w:r>
      <w:bookmarkEnd w:id="26"/>
    </w:p>
    <w:p>
      <w:pPr>
        <w:pStyle w:val="FirstParagraph"/>
        <w:rPr/>
      </w:pPr>
      <w:r>
        <w:rPr/>
        <w:t xml:space="preserve">In the 12 months preceding the date of this Policy, KnockIQ has collected the following categories of personal information about California residents (including Reps and Visited Persons whose addresses are in California): identifiers (name, email, phone, address, IP), commercial information (subscription, transaction history), internet/network activity (logs, device info), </w:t>
      </w:r>
      <w:r>
        <w:rPr>
          <w:b/>
        </w:rPr>
        <w:t>precise geolocation</w:t>
      </w:r>
      <w:r>
        <w:rPr/>
        <w:t xml:space="preserve"> (Rep and Visited Person), </w:t>
      </w:r>
      <w:r>
        <w:rPr>
          <w:b/>
        </w:rPr>
        <w:t>audio data</w:t>
      </w:r>
      <w:r>
        <w:rPr/>
        <w:t xml:space="preserve"> (Rep voice notes), professional/employment information (Rep role, commission), and inferences drawn from the above (performance scoring). Sources, purposes, and recipients are described in Sections 3–7 above. We have </w:t>
      </w:r>
      <w:r>
        <w:rPr>
          <w:b/>
        </w:rPr>
        <w:t>not sold or shared</w:t>
      </w:r>
      <w:r>
        <w:rPr/>
        <w:t xml:space="preserve"> personal information for cross-context behavioral advertising in this period. California residents have the rights described in Section 14. To exercise these rights or authorize an agent to act on your behalf, see Section 14.</w:t>
      </w:r>
    </w:p>
    <w:p>
      <w:pPr>
        <w:pStyle w:val="Heading3"/>
        <w:rPr/>
      </w:pPr>
      <w:bookmarkStart w:id="27" w:name="virginia-vcdpa"/>
      <w:r>
        <w:rPr/>
        <w:t>Virginia (VCDPA)</w:t>
      </w:r>
      <w:bookmarkEnd w:id="27"/>
    </w:p>
    <w:p>
      <w:pPr>
        <w:pStyle w:val="FirstParagraph"/>
        <w:rPr/>
      </w:pPr>
      <w:r>
        <w:rPr/>
        <w:t>Virginia residents have the rights to access, correct, delete, and obtain a copy of their personal data, and to opt out of targeted advertising, the sale of personal data, and profiling with legal or similarly significant effects. To appeal a denied request, reply to the denial within 45 days; we will respond to the appeal within 60 days. After completing the appeal process, you may contact the Virginia Attorney General if you remain dissatisfied. Effective July 1, 2026, we do not sell precise geolocation data.</w:t>
      </w:r>
    </w:p>
    <w:p>
      <w:pPr>
        <w:pStyle w:val="Heading3"/>
        <w:rPr/>
      </w:pPr>
      <w:bookmarkStart w:id="28" w:name="colorado-cpa"/>
      <w:r>
        <w:rPr/>
        <w:t>Colorado (CPA)</w:t>
      </w:r>
      <w:bookmarkEnd w:id="28"/>
    </w:p>
    <w:p>
      <w:pPr>
        <w:pStyle w:val="FirstParagraph"/>
        <w:rPr/>
      </w:pPr>
      <w:r>
        <w:rPr/>
        <w:t>Colorado residents have the rights to access, correct, delete, and obtain a copy of their personal data, and to opt out of targeted advertising, sale, and profiling. We recognize the Global Privacy Control signal as a universal opt-out. To appeal a denied request, follow the instructions in Section 14; you may also contact the Colorado Department of Law.</w:t>
      </w:r>
    </w:p>
    <w:p>
      <w:pPr>
        <w:pStyle w:val="Heading3"/>
        <w:rPr/>
      </w:pPr>
      <w:bookmarkStart w:id="29" w:name="X818daca97121ff8db9c4a5adef28dc661d9d31d"/>
      <w:r>
        <w:rPr/>
        <w:t>Connecticut, Delaware, Indiana, Iowa, Kentucky, Maryland, Minnesota, Montana, Nebraska, New Hampshire, New Jersey, Oregon, Rhode Island, Tennessee, Texas, Utah</w:t>
      </w:r>
      <w:bookmarkEnd w:id="29"/>
    </w:p>
    <w:p>
      <w:pPr>
        <w:pStyle w:val="FirstParagraph"/>
        <w:rPr/>
      </w:pPr>
      <w:r>
        <w:rPr/>
        <w:t>Residents of these states have similar rights to those described above. State-specific contact procedures and appeal mechanisms are described in Section 14. For Maryland residents, we apply MODPA’s heightened protections to sensitive personal information collected from you, including the strict-necessity standard for sensitive data and the prohibition on sale of sensitive data.</w:t>
      </w:r>
    </w:p>
    <w:p>
      <w:pPr>
        <w:pStyle w:val="Heading3"/>
        <w:rPr/>
      </w:pPr>
      <w:bookmarkStart w:id="30" w:name="florida-fdbr"/>
      <w:r>
        <w:rPr/>
        <w:t>Florida (FDBR)</w:t>
      </w:r>
      <w:bookmarkEnd w:id="30"/>
    </w:p>
    <w:p>
      <w:pPr>
        <w:pStyle w:val="FirstParagraph"/>
        <w:rPr/>
      </w:pPr>
      <w:r>
        <w:rPr/>
        <w:t>The Florida Digital Bill of Rights applies to entities meeting specific thresholds. To the extent KnockIQ is covered, Florida residents have rights to access, correct, delete, opt out of sale, opt out of targeted advertising, and opt out of profiling.</w:t>
      </w:r>
    </w:p>
    <w:p>
      <w:pPr>
        <w:pStyle w:val="BlockText"/>
        <w:rPr/>
      </w:pPr>
      <w:r>
        <w:rPr>
          <w:b/>
        </w:rPr>
        <w:t>[ATTORNEY REVIEW: confirm KnockIQ’s status under each of these state laws and revise this appendix to reflect actual coverage. Some statutes have specific notice requirements (e.g., MODPA’s standalone “right to limit” language) that may need their own subsections.]</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 w:name="end-of-policy"/>
      <w:r>
        <w:rPr/>
        <w:t>End of Policy</w:t>
      </w:r>
      <w:bookmarkEnd w:id="31"/>
    </w:p>
    <w:p>
      <w:pPr>
        <w:pStyle w:val="FirstParagraph"/>
        <w:rPr/>
      </w:pPr>
      <w:r>
        <w:rPr>
          <w:b/>
        </w:rPr>
        <w:t>Version:</w:t>
      </w:r>
      <w:r>
        <w:rPr/>
        <w:t xml:space="preserve"> [INSERT — e.g., “1.0”] </w:t>
      </w:r>
      <w:r>
        <w:rPr>
          <w:b/>
        </w:rPr>
        <w:t>Drafted with the assistance of automated tools and reviewed by counsel.</w:t>
      </w:r>
    </w:p>
    <w:p>
      <w:pPr>
        <w:pStyle w:val="BlockText"/>
        <w:spacing w:before="100" w:after="100"/>
        <w:ind w:hanging="0" w:start="480" w:end="480"/>
        <w:rPr/>
      </w:pPr>
      <w:r>
        <w:rPr>
          <w:b/>
        </w:rPr>
        <w:t>[ATTORNEY REVIEW: every bracketed item above is awaiting your input. Additionally, review the entire Policy against (1) the actual technical state of the platform as documented in the data audit, (2) the specific statutes and decisions cited in the legal research memo, and (3) any commitments KnockIQ has made in marketing materials, customer contracts, or sales conversations that would create representations beyond what this Policy says.]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5">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6">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7">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8">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9">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0">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1">
    <w:lvl w:ilvl="0">
      <w:start w:val="1"/>
      <w:numFmt w:val="decimal"/>
      <w:lvlText w:val="%1."/>
      <w:lvlJc w:val="start"/>
      <w:pPr>
        <w:tabs>
          <w:tab w:val="num" w:pos="0"/>
        </w:tabs>
        <w:ind w:start="480" w:hanging="480"/>
      </w:pPr>
      <w:rPr/>
    </w:lvl>
    <w:lvl w:ilvl="1">
      <w:start w:val="1"/>
      <w:numFmt w:val="decimal"/>
      <w:lvlText w:val="%2."/>
      <w:lvlJc w:val="start"/>
      <w:pPr>
        <w:tabs>
          <w:tab w:val="num" w:pos="720"/>
        </w:tabs>
        <w:ind w:start="1200" w:hanging="480"/>
      </w:pPr>
      <w:rPr/>
    </w:lvl>
    <w:lvl w:ilvl="2">
      <w:start w:val="1"/>
      <w:numFmt w:val="decimal"/>
      <w:lvlText w:val="%3."/>
      <w:lvlJc w:val="start"/>
      <w:pPr>
        <w:tabs>
          <w:tab w:val="num" w:pos="1440"/>
        </w:tabs>
        <w:ind w:start="1920" w:hanging="480"/>
      </w:pPr>
      <w:rPr/>
    </w:lvl>
    <w:lvl w:ilvl="3">
      <w:start w:val="1"/>
      <w:numFmt w:val="decimal"/>
      <w:lvlText w:val="%4."/>
      <w:lvlJc w:val="start"/>
      <w:pPr>
        <w:tabs>
          <w:tab w:val="num" w:pos="2160"/>
        </w:tabs>
        <w:ind w:start="2640" w:hanging="480"/>
      </w:pPr>
      <w:rPr/>
    </w:lvl>
    <w:lvl w:ilvl="4">
      <w:start w:val="1"/>
      <w:numFmt w:val="decimal"/>
      <w:lvlText w:val="%5."/>
      <w:lvlJc w:val="start"/>
      <w:pPr>
        <w:tabs>
          <w:tab w:val="num" w:pos="2880"/>
        </w:tabs>
        <w:ind w:start="3360" w:hanging="480"/>
      </w:pPr>
      <w:rPr/>
    </w:lvl>
    <w:lvl w:ilvl="5">
      <w:start w:val="1"/>
      <w:numFmt w:val="decimal"/>
      <w:lvlText w:val="%6."/>
      <w:lvlJc w:val="start"/>
      <w:pPr>
        <w:tabs>
          <w:tab w:val="num" w:pos="3600"/>
        </w:tabs>
        <w:ind w:start="4080" w:hanging="480"/>
      </w:pPr>
      <w:rPr/>
    </w:lvl>
    <w:lvl w:ilvl="6">
      <w:start w:val="1"/>
      <w:numFmt w:val="decimal"/>
      <w:lvlText w:val="%7."/>
      <w:lvlJc w:val="start"/>
      <w:pPr>
        <w:tabs>
          <w:tab w:val="num" w:pos="4320"/>
        </w:tabs>
        <w:ind w:start="4800" w:hanging="480"/>
      </w:pPr>
      <w:rPr/>
    </w:lvl>
    <w:lvl w:ilvl="7">
      <w:start w:val="1"/>
      <w:numFmt w:val="decimal"/>
      <w:lvlText w:val="%8."/>
      <w:lvlJc w:val="start"/>
      <w:pPr>
        <w:tabs>
          <w:tab w:val="num" w:pos="5040"/>
        </w:tabs>
        <w:ind w:start="5520" w:hanging="480"/>
      </w:pPr>
      <w:rPr/>
    </w:lvl>
    <w:lvl w:ilvl="8">
      <w:start w:val="1"/>
      <w:numFmt w:val="decimal"/>
      <w:lvlText w:val="%9."/>
      <w:lvlJc w:val="start"/>
      <w:pPr>
        <w:tabs>
          <w:tab w:val="num" w:pos="5760"/>
        </w:tabs>
        <w:ind w:start="6240" w:hanging="480"/>
      </w:pPr>
      <w:rPr/>
    </w:lvl>
  </w:abstractNum>
  <w:abstractNum w:abstractNumId="12">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3">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4">
    <w:lvl w:ilvl="0">
      <w:numFmt w:val="bullet"/>
      <w:lvlText w:val=""/>
      <w:lvlJc w:val="start"/>
      <w:pPr>
        <w:tabs>
          <w:tab w:val="num" w:pos="0"/>
        </w:tabs>
        <w:ind w:start="480" w:hanging="480"/>
      </w:pPr>
      <w:rPr>
        <w:rFonts w:ascii="Symbol" w:hAnsi="Symbol" w:cs="Symbol" w:hint="default"/>
      </w:rPr>
    </w:lvl>
    <w:lvl w:ilvl="1">
      <w:start w:val="0"/>
      <w:numFmt w:val="bullet"/>
      <w:lvlText w:val=""/>
      <w:lvlJc w:val="start"/>
      <w:pPr>
        <w:tabs>
          <w:tab w:val="num" w:pos="720"/>
        </w:tabs>
        <w:ind w:start="1200" w:hanging="480"/>
      </w:pPr>
      <w:rPr>
        <w:rFonts w:ascii="Symbol" w:hAnsi="Symbol" w:cs="Symbol" w:hint="default"/>
      </w:rPr>
    </w:lvl>
    <w:lvl w:ilvl="2">
      <w:start w:val="0"/>
      <w:numFmt w:val="bullet"/>
      <w:lvlText w:val=""/>
      <w:lvlJc w:val="start"/>
      <w:pPr>
        <w:tabs>
          <w:tab w:val="num" w:pos="1440"/>
        </w:tabs>
        <w:ind w:start="1920" w:hanging="480"/>
      </w:pPr>
      <w:rPr>
        <w:rFonts w:ascii="Symbol" w:hAnsi="Symbol" w:cs="Symbol" w:hint="default"/>
      </w:rPr>
    </w:lvl>
    <w:lvl w:ilvl="3">
      <w:start w:val="0"/>
      <w:numFmt w:val="bullet"/>
      <w:lvlText w:val=""/>
      <w:lvlJc w:val="start"/>
      <w:pPr>
        <w:tabs>
          <w:tab w:val="num" w:pos="2160"/>
        </w:tabs>
        <w:ind w:start="2640" w:hanging="480"/>
      </w:pPr>
      <w:rPr>
        <w:rFonts w:ascii="Symbol" w:hAnsi="Symbol" w:cs="Symbol" w:hint="default"/>
      </w:rPr>
    </w:lvl>
    <w:lvl w:ilvl="4">
      <w:start w:val="0"/>
      <w:numFmt w:val="bullet"/>
      <w:lvlText w:val=""/>
      <w:lvlJc w:val="start"/>
      <w:pPr>
        <w:tabs>
          <w:tab w:val="num" w:pos="2880"/>
        </w:tabs>
        <w:ind w:start="3360" w:hanging="480"/>
      </w:pPr>
      <w:rPr>
        <w:rFonts w:ascii="Symbol" w:hAnsi="Symbol" w:cs="Symbol" w:hint="default"/>
      </w:rPr>
    </w:lvl>
    <w:lvl w:ilvl="5">
      <w:start w:val="0"/>
      <w:numFmt w:val="bullet"/>
      <w:lvlText w:val=""/>
      <w:lvlJc w:val="start"/>
      <w:pPr>
        <w:tabs>
          <w:tab w:val="num" w:pos="3600"/>
        </w:tabs>
        <w:ind w:start="4080" w:hanging="480"/>
      </w:pPr>
      <w:rPr>
        <w:rFonts w:ascii="Symbol" w:hAnsi="Symbol" w:cs="Symbol" w:hint="default"/>
      </w:rPr>
    </w:lvl>
    <w:lvl w:ilvl="6">
      <w:start w:val="0"/>
      <w:numFmt w:val="bullet"/>
      <w:lvlText w:val=""/>
      <w:lvlJc w:val="start"/>
      <w:pPr>
        <w:tabs>
          <w:tab w:val="num" w:pos="4320"/>
        </w:tabs>
        <w:ind w:start="4800" w:hanging="480"/>
      </w:pPr>
      <w:rPr>
        <w:rFonts w:ascii="Symbol" w:hAnsi="Symbol" w:cs="Symbol" w:hint="default"/>
      </w:rPr>
    </w:lvl>
    <w:lvl w:ilvl="7">
      <w:start w:val="0"/>
      <w:numFmt w:val="bullet"/>
      <w:lvlText w:val=""/>
      <w:lvlJc w:val="start"/>
      <w:pPr>
        <w:tabs>
          <w:tab w:val="num" w:pos="5040"/>
        </w:tabs>
        <w:ind w:start="5520" w:hanging="480"/>
      </w:pPr>
      <w:rPr>
        <w:rFonts w:ascii="Symbol" w:hAnsi="Symbol" w:cs="Symbol" w:hint="default"/>
      </w:rPr>
    </w:lvl>
    <w:lvl w:ilvl="8">
      <w:start w:val="0"/>
      <w:numFmt w:val="bullet"/>
      <w:lvlText w:val=""/>
      <w:lvlJc w:val="start"/>
      <w:pPr>
        <w:tabs>
          <w:tab w:val="num" w:pos="5760"/>
        </w:tabs>
        <w:ind w:start="6240" w:hanging="480"/>
      </w:pPr>
      <w:rPr>
        <w:rFonts w:ascii="Symbol" w:hAnsi="Symbol" w:cs="Symbol" w:hint="default"/>
      </w:rPr>
    </w:lvl>
  </w:abstractNum>
  <w:abstractNum w:abstractNumId="1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 w:numId="17">
    <w:abstractNumId w:val="1"/>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LibreOffice/26.2.2.2$Linux_AARCH64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2026-05-29T14:25:00Z</dcterms:created>
  <dc:creator/>
  <dc:description/>
  <dc:language>en-US</dc:language>
  <cp:lastModifiedBy/>
  <dcterms:modified xsi:type="dcterms:W3CDTF">2026-05-29T14:25:00Z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