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knockiq-terms-of-service"/>
      <w:r>
        <w:rPr/>
        <w:t>KnockIQ Terms of Service</w:t>
      </w:r>
      <w:bookmarkEnd w:id="0"/>
    </w:p>
    <w:p>
      <w:pPr>
        <w:pStyle w:val="FirstParagraph"/>
        <w:rPr/>
      </w:pPr>
      <w:r>
        <w:rPr>
          <w:b/>
        </w:rPr>
        <w:t>Effective Date:</w:t>
      </w:r>
      <w:r>
        <w:rPr/>
        <w:t xml:space="preserve"> [INSERT] </w:t>
      </w:r>
      <w:r>
        <w:rPr>
          <w:b/>
        </w:rPr>
        <w:t>Last Updated:</w:t>
      </w:r>
      <w:r>
        <w:rPr/>
        <w:t xml:space="preserve"> [INSERT]</w:t>
      </w:r>
    </w:p>
    <w:p>
      <w:pPr>
        <w:pStyle w:val="BlockText"/>
        <w:rPr/>
      </w:pPr>
      <w:r>
        <w:rPr>
          <w:b/>
        </w:rPr>
        <w:t>[ATTORNEY REVIEW: this Terms of Service is a starting-point draft. Every bracketed item requires confirmation or input. Before publishing, your counsel should verify enforceability of each clause in your governing-law state, confirm arbitration provider designation, and revise indemnification, limitation of liability, and warranty disclaimers to fit your insurance coverage and risk posture.]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acceptance-of-terms"/>
      <w:r>
        <w:rPr/>
        <w:t>1. Acceptance of Terms</w:t>
      </w:r>
      <w:bookmarkEnd w:id="1"/>
    </w:p>
    <w:p>
      <w:pPr>
        <w:pStyle w:val="FirstParagraph"/>
        <w:rPr/>
      </w:pPr>
      <w:r>
        <w:rPr/>
        <w:t>These Terms of Service (“</w:t>
      </w:r>
      <w:r>
        <w:rPr>
          <w:b/>
        </w:rPr>
        <w:t>Terms</w:t>
      </w:r>
      <w:r>
        <w:rPr/>
        <w:t xml:space="preserve">”) constitute a binding legal agreement between </w:t>
      </w:r>
      <w:r>
        <w:rPr>
          <w:b/>
        </w:rPr>
        <w:t>[ENTITY LEGAL NAME — e.g., “KnockIQ Software, Inc.”]</w:t>
      </w:r>
      <w:r>
        <w:rPr/>
        <w:t xml:space="preserve"> (“</w:t>
      </w:r>
      <w:r>
        <w:rPr>
          <w:b/>
        </w:rPr>
        <w:t>KnockIQ</w:t>
      </w:r>
      <w:r>
        <w:rPr/>
        <w:t>,” “</w:t>
      </w:r>
      <w:r>
        <w:rPr>
          <w:b/>
        </w:rPr>
        <w:t>we</w:t>
      </w:r>
      <w:r>
        <w:rPr/>
        <w:t>,” “</w:t>
      </w:r>
      <w:r>
        <w:rPr>
          <w:b/>
        </w:rPr>
        <w:t>us</w:t>
      </w:r>
      <w:r>
        <w:rPr/>
        <w:t>”) and the entity or individual that subscribes to the KnockIQ service (“</w:t>
      </w:r>
      <w:r>
        <w:rPr>
          <w:b/>
        </w:rPr>
        <w:t>Customer</w:t>
      </w:r>
      <w:r>
        <w:rPr/>
        <w:t>,” “</w:t>
      </w:r>
      <w:r>
        <w:rPr>
          <w:b/>
        </w:rPr>
        <w:t>you</w:t>
      </w:r>
      <w:r>
        <w:rPr/>
        <w:t>”). By creating an account, accessing the service, paying a subscription fee, or directing your employees or contractors to use the service, you agree to be bound by these Terms.</w:t>
      </w:r>
    </w:p>
    <w:p>
      <w:pPr>
        <w:pStyle w:val="BodyText"/>
        <w:rPr/>
      </w:pPr>
      <w:r>
        <w:rPr/>
        <w:t>If you are accepting these Terms on behalf of an organization, you represent and warrant that you have authority to bind that organization, and “you” refers to that organization.</w:t>
      </w:r>
    </w:p>
    <w:p>
      <w:pPr>
        <w:pStyle w:val="BodyText"/>
        <w:rPr/>
      </w:pPr>
      <w:r>
        <w:rPr/>
        <w:t>If you do not agree to these Terms, do not use the service.</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definitions"/>
      <w:r>
        <w:rPr/>
        <w:t>2. Definitions</w:t>
      </w:r>
      <w:bookmarkEnd w:id="2"/>
    </w:p>
    <w:p>
      <w:pPr>
        <w:pStyle w:val="Compact"/>
        <w:numPr>
          <w:ilvl w:val="0"/>
          <w:numId w:val="1"/>
        </w:numPr>
        <w:rPr/>
      </w:pPr>
      <w:r>
        <w:rPr>
          <w:b/>
        </w:rPr>
        <w:t>“</w:t>
      </w:r>
      <w:r>
        <w:rPr>
          <w:b/>
        </w:rPr>
        <w:t>Service”</w:t>
      </w:r>
      <w:r>
        <w:rPr/>
        <w:t xml:space="preserve"> — the KnockIQ software-as-a-service platform, including the web application, mobile-optimized interfaces, APIs, documentation, and any related services KnockIQ provides.</w:t>
      </w:r>
    </w:p>
    <w:p>
      <w:pPr>
        <w:pStyle w:val="Compact"/>
        <w:numPr>
          <w:ilvl w:val="0"/>
          <w:numId w:val="1"/>
        </w:numPr>
        <w:rPr/>
      </w:pPr>
      <w:r>
        <w:rPr>
          <w:b/>
        </w:rPr>
        <w:t>“</w:t>
      </w:r>
      <w:r>
        <w:rPr>
          <w:b/>
        </w:rPr>
        <w:t>Customer Account”</w:t>
      </w:r>
      <w:r>
        <w:rPr/>
        <w:t xml:space="preserve"> — the account established for your organization to access the Service.</w:t>
      </w:r>
    </w:p>
    <w:p>
      <w:pPr>
        <w:pStyle w:val="Compact"/>
        <w:numPr>
          <w:ilvl w:val="0"/>
          <w:numId w:val="1"/>
        </w:numPr>
        <w:rPr/>
      </w:pPr>
      <w:r>
        <w:rPr>
          <w:b/>
        </w:rPr>
        <w:t>“</w:t>
      </w:r>
      <w:r>
        <w:rPr>
          <w:b/>
        </w:rPr>
        <w:t>Authorized User” / “Rep”</w:t>
      </w:r>
      <w:r>
        <w:rPr/>
        <w:t xml:space="preserve"> — an individual you authorize to access the Service under your Customer Account (typically a sales representative or manager you employ or engage).</w:t>
      </w:r>
    </w:p>
    <w:p>
      <w:pPr>
        <w:pStyle w:val="Compact"/>
        <w:numPr>
          <w:ilvl w:val="0"/>
          <w:numId w:val="1"/>
        </w:numPr>
        <w:rPr/>
      </w:pPr>
      <w:r>
        <w:rPr>
          <w:b/>
        </w:rPr>
        <w:t>“</w:t>
      </w:r>
      <w:r>
        <w:rPr>
          <w:b/>
        </w:rPr>
        <w:t>Customer Data”</w:t>
      </w:r>
      <w:r>
        <w:rPr/>
        <w:t xml:space="preserve"> — all data that you or your Authorized Users submit to, generate within, or instruct the Service to process, including data about Visited Persons.</w:t>
      </w:r>
    </w:p>
    <w:p>
      <w:pPr>
        <w:pStyle w:val="Compact"/>
        <w:numPr>
          <w:ilvl w:val="0"/>
          <w:numId w:val="1"/>
        </w:numPr>
        <w:rPr/>
      </w:pPr>
      <w:r>
        <w:rPr>
          <w:b/>
        </w:rPr>
        <w:t>“</w:t>
      </w:r>
      <w:r>
        <w:rPr>
          <w:b/>
        </w:rPr>
        <w:t>Visited Person”</w:t>
      </w:r>
      <w:r>
        <w:rPr/>
        <w:t xml:space="preserve"> — any individual whose information is recorded in the Service as a result of a Rep’s canvassing visit, regardless of whether the individual interacted with the Rep.</w:t>
      </w:r>
    </w:p>
    <w:p>
      <w:pPr>
        <w:pStyle w:val="Compact"/>
        <w:numPr>
          <w:ilvl w:val="0"/>
          <w:numId w:val="1"/>
        </w:numPr>
        <w:rPr/>
      </w:pPr>
      <w:r>
        <w:rPr>
          <w:b/>
        </w:rPr>
        <w:t>“</w:t>
      </w:r>
      <w:r>
        <w:rPr>
          <w:b/>
        </w:rPr>
        <w:t>Documentation”</w:t>
      </w:r>
      <w:r>
        <w:rPr/>
        <w:t xml:space="preserve"> — the user guides, knowledge-base articles, and other materials KnockIQ publishes about the Service.</w:t>
      </w:r>
    </w:p>
    <w:p>
      <w:pPr>
        <w:pStyle w:val="Compact"/>
        <w:numPr>
          <w:ilvl w:val="0"/>
          <w:numId w:val="1"/>
        </w:numPr>
        <w:rPr/>
      </w:pPr>
      <w:r>
        <w:rPr>
          <w:b/>
        </w:rPr>
        <w:t>“</w:t>
      </w:r>
      <w:r>
        <w:rPr>
          <w:b/>
        </w:rPr>
        <w:t>Subscription Plan”</w:t>
      </w:r>
      <w:r>
        <w:rPr/>
        <w:t xml:space="preserve"> — the tier, term, seat count, and pricing you select when subscribing.</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 w:name="eligibility-and-account-registration"/>
      <w:r>
        <w:rPr/>
        <w:t>3. Eligibility and Account Registration</w:t>
      </w:r>
      <w:bookmarkEnd w:id="3"/>
    </w:p>
    <w:p>
      <w:pPr>
        <w:pStyle w:val="FirstParagraph"/>
        <w:rPr/>
      </w:pPr>
      <w:r>
        <w:rPr/>
        <w:t>The Service is offered to businesses for use in commercial canvassing operations. To create a Customer Account, you must:</w:t>
      </w:r>
    </w:p>
    <w:p>
      <w:pPr>
        <w:pStyle w:val="Compact"/>
        <w:numPr>
          <w:ilvl w:val="0"/>
          <w:numId w:val="1"/>
        </w:numPr>
        <w:rPr/>
      </w:pPr>
      <w:r>
        <w:rPr/>
        <w:t>Be at least 18 years old and have the legal capacity to enter contracts.</w:t>
      </w:r>
    </w:p>
    <w:p>
      <w:pPr>
        <w:pStyle w:val="Compact"/>
        <w:numPr>
          <w:ilvl w:val="0"/>
          <w:numId w:val="1"/>
        </w:numPr>
        <w:rPr/>
      </w:pPr>
      <w:r>
        <w:rPr/>
        <w:t>Provide accurate and complete information during registration.</w:t>
      </w:r>
    </w:p>
    <w:p>
      <w:pPr>
        <w:pStyle w:val="Compact"/>
        <w:numPr>
          <w:ilvl w:val="0"/>
          <w:numId w:val="1"/>
        </w:numPr>
        <w:rPr/>
      </w:pPr>
      <w:r>
        <w:rPr/>
        <w:t>Promptly update your information if it changes.</w:t>
      </w:r>
    </w:p>
    <w:p>
      <w:pPr>
        <w:pStyle w:val="Compact"/>
        <w:numPr>
          <w:ilvl w:val="0"/>
          <w:numId w:val="1"/>
        </w:numPr>
        <w:rPr/>
      </w:pPr>
      <w:r>
        <w:rPr/>
        <w:t>Keep your account credentials confidential and not share them with anyone outside your organization.</w:t>
      </w:r>
    </w:p>
    <w:p>
      <w:pPr>
        <w:pStyle w:val="Compact"/>
        <w:numPr>
          <w:ilvl w:val="0"/>
          <w:numId w:val="1"/>
        </w:numPr>
        <w:rPr/>
      </w:pPr>
      <w:r>
        <w:rPr/>
        <w:t>Notify us promptly at [security@knockiq.com] of any suspected unauthorized access.</w:t>
      </w:r>
    </w:p>
    <w:p>
      <w:pPr>
        <w:pStyle w:val="FirstParagraph"/>
        <w:rPr/>
      </w:pPr>
      <w:r>
        <w:rPr/>
        <w:t>You are responsible for everything that happens under your Customer Account, including actions taken by your Authorized Users.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 w:name="subscription-fees-and-renewal"/>
      <w:r>
        <w:rPr/>
        <w:t>4. Subscription, Fees, and Renewal</w:t>
      </w:r>
      <w:bookmarkEnd w:id="4"/>
    </w:p>
    <w:p>
      <w:pPr>
        <w:pStyle w:val="Heading3"/>
        <w:rPr/>
      </w:pPr>
      <w:bookmarkStart w:id="5" w:name="plans-and-fees"/>
      <w:r>
        <w:rPr/>
        <w:t>4.1 Plans and fees</w:t>
      </w:r>
      <w:bookmarkEnd w:id="5"/>
    </w:p>
    <w:p>
      <w:pPr>
        <w:pStyle w:val="FirstParagraph"/>
        <w:rPr/>
      </w:pPr>
      <w:r>
        <w:rPr/>
        <w:t>Subscription Plans, included features, seat counts, and pricing are described at [URL — pricing page]. You agree to pay all fees applicable to the Subscription Plan you select.</w:t>
      </w:r>
    </w:p>
    <w:p>
      <w:pPr>
        <w:pStyle w:val="Heading3"/>
        <w:rPr/>
      </w:pPr>
      <w:bookmarkStart w:id="6" w:name="billing"/>
      <w:r>
        <w:rPr/>
        <w:t>4.2 Billing</w:t>
      </w:r>
      <w:bookmarkEnd w:id="6"/>
    </w:p>
    <w:p>
      <w:pPr>
        <w:pStyle w:val="FirstParagraph"/>
        <w:rPr/>
      </w:pPr>
      <w:r>
        <w:rPr/>
        <w:t>We bill subscription fees in advance on a monthly or annual basis, depending on the Plan you choose. Billing is handled by our payment processor, Stripe. By providing payment information, you authorize us (through Stripe) to charge your payment method for all fees as they become due.</w:t>
      </w:r>
    </w:p>
    <w:p>
      <w:pPr>
        <w:pStyle w:val="Heading3"/>
        <w:rPr/>
      </w:pPr>
      <w:bookmarkStart w:id="7" w:name="free-trials"/>
      <w:r>
        <w:rPr/>
        <w:t>4.3 Free trials</w:t>
      </w:r>
      <w:bookmarkEnd w:id="7"/>
    </w:p>
    <w:p>
      <w:pPr>
        <w:pStyle w:val="FirstParagraph"/>
        <w:rPr/>
      </w:pPr>
      <w:r>
        <w:rPr/>
        <w:t>We may offer a free trial period. At the end of a free trial, your Subscription Plan automatically converts to a paid plan unless you cancel before the trial ends. You may cancel at any time during the trial through your account settings.</w:t>
      </w:r>
    </w:p>
    <w:p>
      <w:pPr>
        <w:pStyle w:val="Heading3"/>
        <w:rPr/>
      </w:pPr>
      <w:bookmarkStart w:id="8" w:name="auto-renewal"/>
      <w:r>
        <w:rPr/>
        <w:t>4.4 Auto-renewal</w:t>
      </w:r>
      <w:bookmarkEnd w:id="8"/>
    </w:p>
    <w:p>
      <w:pPr>
        <w:pStyle w:val="FirstParagraph"/>
        <w:rPr/>
      </w:pPr>
      <w:r>
        <w:rPr/>
        <w:t>Subscriptions renew automatically at the end of each billing period at the then-current rate for your Plan, unless you cancel at least [INSERT — e.g., “one (1) day”] before the renewal date. You can cancel from your account settings.</w:t>
      </w:r>
    </w:p>
    <w:p>
      <w:pPr>
        <w:pStyle w:val="Heading3"/>
        <w:rPr/>
      </w:pPr>
      <w:bookmarkStart w:id="9" w:name="taxes"/>
      <w:r>
        <w:rPr/>
        <w:t>4.5 Taxes</w:t>
      </w:r>
      <w:bookmarkEnd w:id="9"/>
    </w:p>
    <w:p>
      <w:pPr>
        <w:pStyle w:val="FirstParagraph"/>
        <w:rPr/>
      </w:pPr>
      <w:r>
        <w:rPr/>
        <w:t>Fees are exclusive of taxes. You are responsible for any sales, use, value-added, or similar taxes applicable to your subscription, other than taxes on KnockIQ’s net income.</w:t>
      </w:r>
    </w:p>
    <w:p>
      <w:pPr>
        <w:pStyle w:val="Heading3"/>
        <w:rPr/>
      </w:pPr>
      <w:bookmarkStart w:id="10" w:name="past-due-amounts"/>
      <w:r>
        <w:rPr/>
        <w:t>4.6 Past-due amounts</w:t>
      </w:r>
      <w:bookmarkEnd w:id="10"/>
    </w:p>
    <w:p>
      <w:pPr>
        <w:pStyle w:val="FirstParagraph"/>
        <w:rPr/>
      </w:pPr>
      <w:r>
        <w:rPr/>
        <w:t>If your payment fails, we may suspend or terminate access to the Service. Past-due amounts may bear interest at the lesser of 1.5% per month or the maximum rate permitted by law, plus reasonable collection costs.</w:t>
      </w:r>
    </w:p>
    <w:p>
      <w:pPr>
        <w:pStyle w:val="Heading3"/>
        <w:rPr/>
      </w:pPr>
      <w:bookmarkStart w:id="11" w:name="refunds"/>
      <w:r>
        <w:rPr/>
        <w:t>4.7 Refunds</w:t>
      </w:r>
      <w:bookmarkEnd w:id="11"/>
    </w:p>
    <w:p>
      <w:pPr>
        <w:pStyle w:val="FirstParagraph"/>
        <w:rPr/>
      </w:pPr>
      <w:r>
        <w:rPr/>
        <w:t xml:space="preserve">Subscription fees are </w:t>
      </w:r>
      <w:r>
        <w:rPr>
          <w:b/>
        </w:rPr>
        <w:t>non-refundable</w:t>
      </w:r>
      <w:r>
        <w:rPr/>
        <w:t>, except where required by law or expressly stated otherwise in writing. If we terminate your account for cause (Section 17), no refund is owed.</w:t>
      </w:r>
    </w:p>
    <w:p>
      <w:pPr>
        <w:pStyle w:val="BlockText"/>
        <w:rPr/>
      </w:pPr>
      <w:r>
        <w:rPr>
          <w:b/>
        </w:rPr>
        <w:t>[ATTORNEY REVIEW: check enforceability of non-refundable language in your governing-law jurisdiction. Some jurisdictions require pro-rated refunds for unused service periods, and consumer-protection statutes may apply if any Customers are individuals rather than businesses.]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2" w:name="acceptable-use"/>
      <w:r>
        <w:rPr/>
        <w:t>5. Acceptable Use</w:t>
      </w:r>
      <w:bookmarkEnd w:id="12"/>
    </w:p>
    <w:p>
      <w:pPr>
        <w:pStyle w:val="FirstParagraph"/>
        <w:rPr/>
      </w:pPr>
      <w:r>
        <w:rPr/>
        <w:t xml:space="preserve">You and your Authorized Users must use the Service lawfully and in accordance with these Terms. </w:t>
      </w:r>
      <w:r>
        <w:rPr>
          <w:b/>
        </w:rPr>
        <w:t>You must not</w:t>
      </w:r>
      <w:r>
        <w:rPr/>
        <w:t xml:space="preserve"> (and must not permit anyone else to):</w:t>
      </w:r>
    </w:p>
    <w:p>
      <w:pPr>
        <w:pStyle w:val="Heading3"/>
        <w:rPr/>
      </w:pPr>
      <w:bookmarkStart w:id="13" w:name="general-prohibitions"/>
      <w:r>
        <w:rPr/>
        <w:t>5.1 General prohibitions</w:t>
      </w:r>
      <w:bookmarkEnd w:id="13"/>
    </w:p>
    <w:p>
      <w:pPr>
        <w:pStyle w:val="Compact"/>
        <w:numPr>
          <w:ilvl w:val="0"/>
          <w:numId w:val="1"/>
        </w:numPr>
        <w:rPr/>
      </w:pPr>
      <w:r>
        <w:rPr/>
        <w:t>Use the Service to engage in any unlawful, fraudulent, harassing, defamatory, or threatening activity.</w:t>
      </w:r>
    </w:p>
    <w:p>
      <w:pPr>
        <w:pStyle w:val="Compact"/>
        <w:numPr>
          <w:ilvl w:val="0"/>
          <w:numId w:val="1"/>
        </w:numPr>
        <w:rPr/>
      </w:pPr>
      <w:r>
        <w:rPr/>
        <w:t>Reverse-engineer, decompile, disassemble, or attempt to derive source code of the Service.</w:t>
      </w:r>
    </w:p>
    <w:p>
      <w:pPr>
        <w:pStyle w:val="Compact"/>
        <w:numPr>
          <w:ilvl w:val="0"/>
          <w:numId w:val="1"/>
        </w:numPr>
        <w:rPr/>
      </w:pPr>
      <w:r>
        <w:rPr/>
        <w:t>Probe, scan, or test the vulnerability of the Service, or breach any security or authentication measure.</w:t>
      </w:r>
    </w:p>
    <w:p>
      <w:pPr>
        <w:pStyle w:val="Compact"/>
        <w:numPr>
          <w:ilvl w:val="0"/>
          <w:numId w:val="1"/>
        </w:numPr>
        <w:rPr/>
      </w:pPr>
      <w:r>
        <w:rPr/>
        <w:t>Access the Service for the purpose of building a competing product.</w:t>
      </w:r>
    </w:p>
    <w:p>
      <w:pPr>
        <w:pStyle w:val="Compact"/>
        <w:numPr>
          <w:ilvl w:val="0"/>
          <w:numId w:val="1"/>
        </w:numPr>
        <w:rPr/>
      </w:pPr>
      <w:r>
        <w:rPr/>
        <w:t>Use any automated means (bots, scrapers, headless browsers) to access the Service except through documented APIs.</w:t>
      </w:r>
    </w:p>
    <w:p>
      <w:pPr>
        <w:pStyle w:val="Compact"/>
        <w:numPr>
          <w:ilvl w:val="0"/>
          <w:numId w:val="1"/>
        </w:numPr>
        <w:rPr/>
      </w:pPr>
      <w:r>
        <w:rPr/>
        <w:t>Share account credentials, transfer your account, or allow individuals you have not designated as Authorized Users to use the Service.</w:t>
      </w:r>
    </w:p>
    <w:p>
      <w:pPr>
        <w:pStyle w:val="Compact"/>
        <w:numPr>
          <w:ilvl w:val="0"/>
          <w:numId w:val="1"/>
        </w:numPr>
        <w:rPr/>
      </w:pPr>
      <w:r>
        <w:rPr/>
        <w:t>Misrepresent your identity or affiliation when signing up.</w:t>
      </w:r>
    </w:p>
    <w:p>
      <w:pPr>
        <w:pStyle w:val="Heading3"/>
        <w:rPr/>
      </w:pPr>
      <w:bookmarkStart w:id="14" w:name="canvassing-specific-obligations-critical"/>
      <w:r>
        <w:rPr/>
        <w:t>5.2 Canvassing-specific obligations (critical)</w:t>
      </w:r>
      <w:bookmarkEnd w:id="14"/>
    </w:p>
    <w:p>
      <w:pPr>
        <w:pStyle w:val="FirstParagraph"/>
        <w:rPr/>
      </w:pPr>
      <w:r>
        <w:rPr/>
        <w:t xml:space="preserve">Because the Service is used to record information about individuals (Visited Persons) who did not directly engage with KnockIQ, </w:t>
      </w:r>
      <w:r>
        <w:rPr>
          <w:b/>
        </w:rPr>
        <w:t>you assume the following specific obligations</w:t>
      </w:r>
      <w:r>
        <w:rPr/>
        <w:t xml:space="preserve"> as a condition of using the Service. </w:t>
      </w:r>
      <w:r>
        <w:rPr>
          <w:b/>
        </w:rPr>
        <w:t>You are solely responsible for compliance with these obligations and you indemnify KnockIQ for any failure to comply</w:t>
      </w:r>
      <w:r>
        <w:rPr/>
        <w:t xml:space="preserve"> (Section 16):</w:t>
      </w:r>
    </w:p>
    <w:p>
      <w:pPr>
        <w:pStyle w:val="BodyText"/>
        <w:rPr/>
      </w:pPr>
      <w:r>
        <w:rPr>
          <w:b/>
        </w:rPr>
        <w:t>(a) Lawful basis for collection.</w:t>
      </w:r>
      <w:r>
        <w:rPr/>
        <w:t xml:space="preserve"> You represent that you have, and will maintain, the lawful basis required by every jurisdiction in which your Reps operate to collect, store, and use the personal information of Visited Persons through the Service.</w:t>
      </w:r>
    </w:p>
    <w:p>
      <w:pPr>
        <w:pStyle w:val="BodyText"/>
        <w:rPr/>
      </w:pPr>
      <w:r>
        <w:rPr>
          <w:b/>
        </w:rPr>
        <w:t>(b) Compliance with do-not-knock registries.</w:t>
      </w:r>
      <w:r>
        <w:rPr/>
        <w:t xml:space="preserve"> You are responsible for identifying and complying with every municipal, county, and state do-not-knock registry that applies in your operating territory. You are responsible for loading the relevant do-not-knock entries into the Service and for ensuring your Reps respect those entries. </w:t>
      </w:r>
      <w:r>
        <w:rPr>
          <w:b/>
        </w:rPr>
        <w:t>KnockIQ does not maintain a centralized do-not-knock registry, does not warrant the completeness of any registry you load, and is not liable for any failure of a Rep to honor the registry.</w:t>
      </w:r>
    </w:p>
    <w:p>
      <w:pPr>
        <w:pStyle w:val="BodyText"/>
        <w:rPr/>
      </w:pPr>
      <w:r>
        <w:rPr>
          <w:b/>
        </w:rPr>
        <w:t>(c) Solicitor licensing.</w:t>
      </w:r>
      <w:r>
        <w:rPr/>
        <w:t xml:space="preserve"> You are responsible for obtaining and maintaining any solicitor, peddler, canvasser, or door-to-door sales license required in the localities where your Reps operate. The Service does not verify license status.</w:t>
      </w:r>
    </w:p>
    <w:p>
      <w:pPr>
        <w:pStyle w:val="BodyText"/>
        <w:rPr/>
      </w:pPr>
      <w:r>
        <w:rPr>
          <w:b/>
        </w:rPr>
        <w:t>(d) Recording-consent compliance — voice notes.</w:t>
      </w:r>
      <w:r>
        <w:rPr/>
        <w:t xml:space="preserve"> The Service includes a voice-note feature that captures audio for transcription. </w:t>
      </w:r>
      <w:r>
        <w:rPr>
          <w:b/>
        </w:rPr>
        <w:t>You must train your Reps to use this feature only as a Rep-side dictation tool, and only after stepping away from any Visited Person or out of earshot of the conversation</w:t>
      </w:r>
      <w:r>
        <w:rPr/>
        <w:t xml:space="preserve">, except where the Rep has obtained explicit verbal consent from all parties to a recording. The following states currently require consent of all parties to a recording: </w:t>
      </w:r>
      <w:r>
        <w:rPr>
          <w:b/>
        </w:rPr>
        <w:t>California, Connecticut, Delaware, Florida, Illinois, Maryland, Massachusetts, Montana, Nevada, New Hampshire, Pennsylvania, and Washington.</w:t>
      </w:r>
      <w:r>
        <w:rPr/>
        <w:t xml:space="preserve"> You are responsible for compliance with all applicable wiretapping and recording-consent statutes. </w:t>
      </w:r>
      <w:r>
        <w:rPr>
          <w:b/>
        </w:rPr>
        <w:t>KnockIQ does not warrant the legality of any recording made through the Service in any jurisdiction.</w:t>
      </w:r>
    </w:p>
    <w:p>
      <w:pPr>
        <w:pStyle w:val="BodyText"/>
        <w:rPr/>
      </w:pPr>
      <w:r>
        <w:rPr>
          <w:b/>
        </w:rPr>
        <w:t>(e) Photo capture restrictions.</w:t>
      </w:r>
      <w:r>
        <w:rPr/>
        <w:t xml:space="preserve"> You must instruct your Reps to use the photo-upload feature only to photograph </w:t>
      </w:r>
      <w:r>
        <w:rPr>
          <w:b/>
        </w:rPr>
        <w:t>building exteriors visible from a publicly accessible location</w:t>
      </w:r>
      <w:r>
        <w:rPr/>
        <w:t xml:space="preserve"> that are directly relevant to the service being quoted (e.g., roof, siding, gutters, driveway). Reps are prohibited from photographing: - Interior spaces of any building. - Identifiable individuals, including but not limited to Visited Persons, household members, or passersby. - Minors. - License plates or other identifying property markers. - Anything from a position the Rep is not lawfully entitled to be in.</w:t>
      </w:r>
    </w:p>
    <w:p>
      <w:pPr>
        <w:pStyle w:val="BodyText"/>
        <w:rPr/>
      </w:pPr>
      <w:r>
        <w:rPr/>
        <w:t>You are responsible for any tort, statutory, or criminal claim arising from a Rep’s failure to follow these restrictions.</w:t>
      </w:r>
    </w:p>
    <w:p>
      <w:pPr>
        <w:pStyle w:val="BodyText"/>
        <w:rPr/>
      </w:pPr>
      <w:r>
        <w:rPr>
          <w:b/>
        </w:rPr>
        <w:t>(f) TCPA and CAN-SPAM compliance for follow-up communications.</w:t>
      </w:r>
      <w:r>
        <w:rPr/>
        <w:t xml:space="preserve"> Phone numbers, email addresses, and other contact information logged in the Service are operational records of a doorstep interaction. </w:t>
      </w:r>
      <w:r>
        <w:rPr>
          <w:b/>
        </w:rPr>
        <w:t>They do not constitute prior express written consent for marketing telephone calls, text messages, or emails.</w:t>
      </w:r>
      <w:r>
        <w:rPr/>
        <w:t xml:space="preserve"> If you or any party to whom you provide this information later contacts a Visited Person by phone, text, or email, you must independently obtain any consent required by the federal Telephone Consumer Protection Act (47 U.S.C. § 227), the CAN-SPAM Act (15 U.S.C. § 7701 et seq.), state mini-TCPAs, and any other applicable communications law. KnockIQ does not transmit marketing communications on your behalf and is not a “seller,” “telemarketer,” or initiator of communications under the TCPA.</w:t>
      </w:r>
    </w:p>
    <w:p>
      <w:pPr>
        <w:pStyle w:val="BodyText"/>
        <w:rPr/>
      </w:pPr>
      <w:r>
        <w:rPr>
          <w:b/>
        </w:rPr>
        <w:t>(g) Home solicitation sales acts.</w:t>
      </w:r>
      <w:r>
        <w:rPr/>
        <w:t xml:space="preserve"> Any sale closed at the door is subject to the Federal Trade Commission’s Cooling-Off Rule (16 C.F.R. Part 429) and to state Home Solicitation Sales Acts. The Service does not generate sales contracts and does not provide statutory cancellation notices. You are responsible for providing all required disclosures, contracts, and cooling-off notices to your customers (the Visited Persons who become buyers).</w:t>
      </w:r>
    </w:p>
    <w:p>
      <w:pPr>
        <w:pStyle w:val="BodyText"/>
        <w:rPr/>
      </w:pPr>
      <w:r>
        <w:rPr>
          <w:b/>
        </w:rPr>
        <w:t>(h) Visited Person privacy requests.</w:t>
      </w:r>
      <w:r>
        <w:rPr/>
        <w:t xml:space="preserve"> If a Visited Person contacts you to exercise privacy rights (e.g., a request to access or delete information), you must respond as required by applicable law. KnockIQ will assist you in locating and acting on the relevant records on reasonable request, and may itself receive and process such requests as a controller (see our Privacy Policy).</w:t>
      </w:r>
    </w:p>
    <w:p>
      <w:pPr>
        <w:pStyle w:val="BodyText"/>
        <w:rPr/>
      </w:pPr>
      <w:r>
        <w:rPr>
          <w:b/>
        </w:rPr>
        <w:t>(i) Rep training.</w:t>
      </w:r>
      <w:r>
        <w:rPr/>
        <w:t xml:space="preserve"> You must train your Authorized Users on the obligations in this Section 5 before authorizing them to use the Service in the field. KnockIQ may, but is not required to, provide training materials.</w:t>
      </w:r>
    </w:p>
    <w:p>
      <w:pPr>
        <w:pStyle w:val="BodyText"/>
        <w:rPr/>
      </w:pPr>
      <w:r>
        <w:rPr>
          <w:b/>
        </w:rPr>
        <w:t>(j) No automated decisioning in regulated contexts.</w:t>
      </w:r>
      <w:r>
        <w:rPr/>
        <w:t xml:space="preserve"> You must not use the Service or data from the Service as the sole basis for any decision producing legal or similarly significant effects on a Visited Person (for example, denial of a service offer based solely on automated profiling), without separately ensuring compliance with the relevant law.</w:t>
      </w:r>
    </w:p>
    <w:p>
      <w:pPr>
        <w:pStyle w:val="BlockText"/>
        <w:rPr/>
      </w:pPr>
      <w:r>
        <w:rPr>
          <w:b/>
        </w:rPr>
        <w:t>[ATTORNEY REVIEW: confirm that the Customer indemnity in Section 16 is broad enough to cover claims arising from any breach of Section 5.2. Add any additional carve-outs your insurance carrier requires.]</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5" w:name="authorized-users-reps"/>
      <w:r>
        <w:rPr/>
        <w:t>6. Authorized Users (Reps)</w:t>
      </w:r>
      <w:bookmarkEnd w:id="15"/>
    </w:p>
    <w:p>
      <w:pPr>
        <w:pStyle w:val="FirstParagraph"/>
        <w:rPr/>
      </w:pPr>
      <w:r>
        <w:rPr/>
        <w:t>You may invite individuals you employ or engage as Reps to access the Service under your Customer Account. By inviting a Rep, you represent that:</w:t>
      </w:r>
    </w:p>
    <w:p>
      <w:pPr>
        <w:pStyle w:val="Compact"/>
        <w:numPr>
          <w:ilvl w:val="0"/>
          <w:numId w:val="1"/>
        </w:numPr>
        <w:rPr/>
      </w:pPr>
      <w:r>
        <w:rPr/>
        <w:t>The Rep has a current employment or independent-contractor relationship with you and is acting within the scope of that engagement.</w:t>
      </w:r>
    </w:p>
    <w:p>
      <w:pPr>
        <w:pStyle w:val="Compact"/>
        <w:numPr>
          <w:ilvl w:val="0"/>
          <w:numId w:val="1"/>
        </w:numPr>
        <w:rPr/>
      </w:pPr>
      <w:r>
        <w:rPr/>
        <w:t>The Rep is at least 18 years old.</w:t>
      </w:r>
    </w:p>
    <w:p>
      <w:pPr>
        <w:pStyle w:val="Compact"/>
        <w:numPr>
          <w:ilvl w:val="0"/>
          <w:numId w:val="1"/>
        </w:numPr>
        <w:rPr/>
      </w:pPr>
      <w:r>
        <w:rPr/>
        <w:t>You have provided the Rep with notice of and obtained any consent required for the data collection KnockIQ performs through the Rep’s device (including continuous geolocation, voice capture, and device motion).</w:t>
      </w:r>
    </w:p>
    <w:p>
      <w:pPr>
        <w:pStyle w:val="Compact"/>
        <w:numPr>
          <w:ilvl w:val="0"/>
          <w:numId w:val="1"/>
        </w:numPr>
        <w:rPr/>
      </w:pPr>
      <w:r>
        <w:rPr/>
        <w:t>You will deactivate the Rep’s access promptly upon termination of the engagement.</w:t>
      </w:r>
    </w:p>
    <w:p>
      <w:pPr>
        <w:pStyle w:val="FirstParagraph"/>
        <w:rPr/>
      </w:pPr>
      <w:r>
        <w:rPr/>
        <w:t>You are responsible for all activity that occurs under each Rep’s credentials, including any breach of these Terms or applicable law by the Rep.</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6" w:name="customer-data"/>
      <w:r>
        <w:rPr/>
        <w:t>7. Customer Data</w:t>
      </w:r>
      <w:bookmarkEnd w:id="16"/>
    </w:p>
    <w:p>
      <w:pPr>
        <w:pStyle w:val="Heading3"/>
        <w:rPr/>
      </w:pPr>
      <w:bookmarkStart w:id="17" w:name="ownership"/>
      <w:r>
        <w:rPr/>
        <w:t>7.1 Ownership</w:t>
      </w:r>
      <w:bookmarkEnd w:id="17"/>
    </w:p>
    <w:p>
      <w:pPr>
        <w:pStyle w:val="FirstParagraph"/>
        <w:rPr/>
      </w:pPr>
      <w:r>
        <w:rPr/>
        <w:t>As between you and KnockIQ, you retain all rights, title, and interest in Customer Data. KnockIQ does not claim ownership of Customer Data.</w:t>
      </w:r>
    </w:p>
    <w:p>
      <w:pPr>
        <w:pStyle w:val="Heading3"/>
        <w:rPr/>
      </w:pPr>
      <w:bookmarkStart w:id="18" w:name="license-to-knockiq"/>
      <w:r>
        <w:rPr/>
        <w:t>7.2 License to KnockIQ</w:t>
      </w:r>
      <w:bookmarkEnd w:id="18"/>
    </w:p>
    <w:p>
      <w:pPr>
        <w:pStyle w:val="FirstParagraph"/>
        <w:rPr/>
      </w:pPr>
      <w:r>
        <w:rPr/>
        <w:t xml:space="preserve">You grant KnockIQ a non-exclusive, worldwide, royalty-free license to host, store, transmit, display, copy, process, and otherwise use Customer Data </w:t>
      </w:r>
      <w:r>
        <w:rPr>
          <w:b/>
        </w:rPr>
        <w:t>solely as necessary</w:t>
      </w:r>
      <w:r>
        <w:rPr/>
        <w:t xml:space="preserve"> to (a) provide the Service to you, (b) operate, maintain, secure, and improve the Service, (c) comply with legal obligations, and (d) generate aggregated and de-identified data for KnockIQ’s internal business purposes.</w:t>
      </w:r>
    </w:p>
    <w:p>
      <w:pPr>
        <w:pStyle w:val="Heading3"/>
        <w:rPr/>
      </w:pPr>
      <w:bookmarkStart w:id="19" w:name="aggregated-and-de-identified-data"/>
      <w:r>
        <w:rPr/>
        <w:t>7.3 Aggregated and de-identified data</w:t>
      </w:r>
      <w:bookmarkEnd w:id="19"/>
    </w:p>
    <w:p>
      <w:pPr>
        <w:pStyle w:val="FirstParagraph"/>
        <w:rPr/>
      </w:pPr>
      <w:r>
        <w:rPr/>
        <w:t>KnockIQ may create aggregated and de-identified data from Customer Data and may use that aggregated data for internal analytics, benchmarking, and product improvement. Aggregated data must not contain any information that could reasonably be used to identify you, any Rep, or any Visited Person.</w:t>
      </w:r>
    </w:p>
    <w:p>
      <w:pPr>
        <w:pStyle w:val="BlockText"/>
        <w:rPr/>
      </w:pPr>
      <w:r>
        <w:rPr>
          <w:b/>
        </w:rPr>
        <w:t>[ATTORNEY REVIEW: this aggregated-data clause is standard but conflicts with MODPA’s strict-necessity rule for sensitive data. If KnockIQ wants to use geolocation- or voice-derived data in aggregated analytics, that must be (a) limited to truly de-identified data per CCPA § 1798.140(m) and equivalent state definitions, and (b) disclosed in the Privacy Policy. Confirm scope.]</w:t>
      </w:r>
    </w:p>
    <w:p>
      <w:pPr>
        <w:pStyle w:val="Heading3"/>
        <w:rPr/>
      </w:pPr>
      <w:bookmarkStart w:id="20" w:name="responsibility-for-accuracy"/>
      <w:r>
        <w:rPr/>
        <w:t>7.4 Responsibility for accuracy</w:t>
      </w:r>
      <w:bookmarkEnd w:id="20"/>
    </w:p>
    <w:p>
      <w:pPr>
        <w:pStyle w:val="FirstParagraph"/>
        <w:rPr/>
      </w:pPr>
      <w:r>
        <w:rPr/>
        <w:t>You are responsible for the accuracy and lawfulness of Customer Data, including data your Reps enter about Visited Persons. KnockIQ does not validate the accuracy of doorstep entries.</w:t>
      </w:r>
    </w:p>
    <w:p>
      <w:pPr>
        <w:pStyle w:val="Heading3"/>
        <w:rPr/>
      </w:pPr>
      <w:bookmarkStart w:id="21" w:name="export-and-deletion"/>
      <w:r>
        <w:rPr/>
        <w:t>7.5 Export and deletion</w:t>
      </w:r>
      <w:bookmarkEnd w:id="21"/>
    </w:p>
    <w:p>
      <w:pPr>
        <w:pStyle w:val="FirstParagraph"/>
        <w:rPr/>
      </w:pPr>
      <w:r>
        <w:rPr/>
        <w:t>You may export Customer Data through the Service at any time during the term. Within [INSERT — e.g., “30 days”] of termination, you may request a final export. After that period, KnockIQ will delete Customer Data from active systems within [INSERT — e.g., “60 days”], subject to any retention required by law or any legal hold notified to you.</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2" w:name="data-processing-addendum"/>
      <w:r>
        <w:rPr/>
        <w:t>8. Data Processing Addendum</w:t>
      </w:r>
      <w:bookmarkEnd w:id="22"/>
    </w:p>
    <w:p>
      <w:pPr>
        <w:pStyle w:val="FirstParagraph"/>
        <w:rPr/>
      </w:pPr>
      <w:r>
        <w:rPr/>
        <w:t xml:space="preserve">A </w:t>
      </w:r>
      <w:r>
        <w:rPr>
          <w:b/>
        </w:rPr>
        <w:t>Data Processing Addendum</w:t>
      </w:r>
      <w:r>
        <w:rPr/>
        <w:t xml:space="preserve"> (“</w:t>
      </w:r>
      <w:r>
        <w:rPr>
          <w:b/>
        </w:rPr>
        <w:t>DPA</w:t>
      </w:r>
      <w:r>
        <w:rPr/>
        <w:t>”) is incorporated into these Terms by reference and forms part of the agreement between us. The DPA describes our respective roles, the technical and organizational measures we maintain, the sub-processors we use, and our commitments regarding data-subject rights requests and breach notification. The current DPA is available at [URL].</w:t>
      </w:r>
    </w:p>
    <w:p>
      <w:pPr>
        <w:pStyle w:val="BodyText"/>
        <w:rPr/>
      </w:pPr>
      <w:r>
        <w:rPr/>
        <w:t>To the extent any provision of the DPA conflicts with these Terms, the DPA controls with respect to the processing of personal information.</w:t>
      </w:r>
    </w:p>
    <w:p>
      <w:pPr>
        <w:pStyle w:val="BlockText"/>
        <w:rPr/>
      </w:pPr>
      <w:r>
        <w:rPr>
          <w:b/>
        </w:rPr>
        <w:t>[ATTORNEY REVIEW: the DPA is a critical companion document required by 11 CCR § 7051 (California) and the equivalent processor provisions in VA, CO, CT, TX, OR, MT, DE, NH, NJ, MD, MN, TN, IN, KY, RI, NE, and IA. The DPA must include all nine 7051-mandatory clauses: purpose limitation, no sale/share/CCBA, sub-processor flow-down, customer assistance with rights requests, audit rights, breach notification, processor self-certification, return/deletion, and confidentiality. Draft this separately and finalize before launch.]</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3" w:name="confidentiality"/>
      <w:r>
        <w:rPr/>
        <w:t>9. Confidentiality</w:t>
      </w:r>
      <w:bookmarkEnd w:id="23"/>
    </w:p>
    <w:p>
      <w:pPr>
        <w:pStyle w:val="FirstParagraph"/>
        <w:rPr/>
      </w:pPr>
      <w:r>
        <w:rPr/>
        <w:t>Each party may receive Confidential Information from the other. “</w:t>
      </w:r>
      <w:r>
        <w:rPr>
          <w:b/>
        </w:rPr>
        <w:t>Confidential Information</w:t>
      </w:r>
      <w:r>
        <w:rPr/>
        <w:t>” means non-public information disclosed by one party to the other that is identified as confidential at the time of disclosure or that a reasonable person would understand to be confidential given its nature and the circumstances of disclosure. KnockIQ’s Confidential Information includes the Service’s non-public features, pricing, performance, and roadmap. Customer Confidential Information includes Customer Data.</w:t>
      </w:r>
    </w:p>
    <w:p>
      <w:pPr>
        <w:pStyle w:val="BodyText"/>
        <w:rPr/>
      </w:pPr>
      <w:r>
        <w:rPr/>
        <w:t>Each party will (a) use Confidential Information only for purposes of performing under these Terms, (b) protect Confidential Information with at least the same care it uses for its own confidential information of like importance (and in no event less than reasonable care), and (c) limit access to Confidential Information to its personnel and contractors who need access for those purposes and who are bound by written confidentiality obligations.</w:t>
      </w:r>
    </w:p>
    <w:p>
      <w:pPr>
        <w:pStyle w:val="BodyText"/>
        <w:rPr/>
      </w:pPr>
      <w:r>
        <w:rPr/>
        <w:t>Confidentiality obligations do not apply to information that is or becomes public through no fault of the receiving party, was independently developed without use of the disclosing party’s Confidential Information, was rightfully received from a third party without restriction, or is required to be disclosed by law (with prompt notice to the disclosing party where legally permitted).</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4" w:name="intellectual-property"/>
      <w:r>
        <w:rPr/>
        <w:t>10. Intellectual Property</w:t>
      </w:r>
      <w:bookmarkEnd w:id="24"/>
    </w:p>
    <w:p>
      <w:pPr>
        <w:pStyle w:val="FirstParagraph"/>
        <w:rPr/>
      </w:pPr>
      <w:r>
        <w:rPr/>
        <w:t>The Service, Documentation, and all related technology, designs, trademarks, and content (other than Customer Data) are the property of KnockIQ or its licensors. We grant you a limited, non-exclusive, non-transferable, non-sublicensable right during your subscription term to access and use the Service and Documentation solely for your internal business purposes and in accordance with these Terms.</w:t>
      </w:r>
    </w:p>
    <w:p>
      <w:pPr>
        <w:pStyle w:val="BodyText"/>
        <w:rPr/>
      </w:pPr>
      <w:r>
        <w:rPr/>
        <w:t>All rights not expressly granted to you are reserved.</w:t>
      </w:r>
    </w:p>
    <w:p>
      <w:pPr>
        <w:pStyle w:val="Heading3"/>
        <w:rPr/>
      </w:pPr>
      <w:bookmarkStart w:id="25" w:name="feedback"/>
      <w:r>
        <w:rPr/>
        <w:t>10.1 Feedback</w:t>
      </w:r>
      <w:bookmarkEnd w:id="25"/>
    </w:p>
    <w:p>
      <w:pPr>
        <w:pStyle w:val="FirstParagraph"/>
        <w:rPr/>
      </w:pPr>
      <w:r>
        <w:rPr/>
        <w:t>If you provide suggestions, ideas, or feedback about the Service, you grant KnockIQ a perpetual, irrevocable, worldwide, royalty-free license to use it for any purpose without obligation to you.</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6" w:name="third-party-services"/>
      <w:r>
        <w:rPr/>
        <w:t>11. Third-Party Services</w:t>
      </w:r>
      <w:bookmarkEnd w:id="26"/>
    </w:p>
    <w:p>
      <w:pPr>
        <w:pStyle w:val="FirstParagraph"/>
        <w:rPr/>
      </w:pPr>
      <w:r>
        <w:rPr/>
        <w:t>The Service integrates with third-party services that we use to operate the platform (e.g., Supabase, OpenAI, Stripe, OpenStreetMap, Resend) and that you may optionally enable (e.g., webhook integrations). KnockIQ does not control third-party services, and your use of them is governed by their respective terms and privacy policies. KnockIQ is not responsible for the acts, omissions, or content of third-party services.</w:t>
      </w:r>
    </w:p>
    <w:p>
      <w:pPr>
        <w:pStyle w:val="BodyText"/>
        <w:rPr/>
      </w:pPr>
      <w:r>
        <w:rPr/>
        <w:t>The current list of sub-processors is maintained at [URL — sub-processor page]. We will provide notice of material changes to the sub-processor list as described in the DPA.</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7" w:name="service-availability"/>
      <w:r>
        <w:rPr/>
        <w:t>12. Service Availability</w:t>
      </w:r>
      <w:bookmarkEnd w:id="27"/>
    </w:p>
    <w:p>
      <w:pPr>
        <w:pStyle w:val="FirstParagraph"/>
        <w:rPr/>
      </w:pPr>
      <w:r>
        <w:rPr/>
        <w:t>We strive to keep the Service available but do not guarantee uninterrupted access. The Service may be unavailable from time to time for scheduled maintenance, urgent fixes, or events beyond our reasonable control. We will use commercially reasonable efforts to provide advance notice of scheduled maintenance.</w:t>
      </w:r>
    </w:p>
    <w:p>
      <w:pPr>
        <w:pStyle w:val="BodyText"/>
        <w:rPr/>
      </w:pPr>
      <w:r>
        <w:rPr/>
        <w:t>We do not currently offer a contractual service-level commitment (“SLA”) through these Terms.</w:t>
      </w:r>
    </w:p>
    <w:p>
      <w:pPr>
        <w:pStyle w:val="BlockText"/>
        <w:rPr/>
      </w:pPr>
      <w:r>
        <w:rPr>
          <w:b/>
        </w:rPr>
        <w:t>[ATTORNEY REVIEW: confirm whether KnockIQ offers an SLA on any Plan. If yes, attach as a schedule and cross-reference here. If no, confirm that the explicit “no SLA” statement is acceptable; some enterprise prospects will refuse this and require contract-level commitments.]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8" w:name="disclaimer-of-warranties"/>
      <w:r>
        <w:rPr/>
        <w:t>13. Disclaimer of Warranties</w:t>
      </w:r>
      <w:bookmarkEnd w:id="28"/>
    </w:p>
    <w:p>
      <w:pPr>
        <w:pStyle w:val="FirstParagraph"/>
        <w:rPr/>
      </w:pPr>
      <w:r>
        <w:rPr/>
        <w:t>EXCEPT AS EXPRESSLY STATED IN THESE TERMS, THE SERVICE AND DOCUMENTATION ARE PROVIDED “</w:t>
      </w:r>
      <w:r>
        <w:rPr>
          <w:b/>
        </w:rPr>
        <w:t>AS IS</w:t>
      </w:r>
      <w:r>
        <w:rPr/>
        <w:t>” AND “</w:t>
      </w:r>
      <w:r>
        <w:rPr>
          <w:b/>
        </w:rPr>
        <w:t>AS AVAILABLE</w:t>
      </w:r>
      <w:r>
        <w:rPr/>
        <w:t>” WITHOUT WARRANTY OF ANY KIND, EXPRESS OR IMPLIED. KNOCKIQ DISCLAIMS ALL WARRANTIES, INCLUDING WARRANTIES OF MERCHANTABILITY, FITNESS FOR A PARTICULAR PURPOSE, NON-INFRINGEMENT, ACCURACY, AND ANY WARRANTY ARISING FROM COURSE OF DEALING OR USAGE OF TRADE.</w:t>
      </w:r>
    </w:p>
    <w:p>
      <w:pPr>
        <w:pStyle w:val="BodyText"/>
        <w:rPr/>
      </w:pPr>
      <w:r>
        <w:rPr/>
        <w:t xml:space="preserve">WITHOUT LIMITING THE GENERALITY OF THE FOREGOING, KNOCKIQ MAKES </w:t>
      </w:r>
      <w:r>
        <w:rPr>
          <w:b/>
        </w:rPr>
        <w:t>NO WARRANTY</w:t>
      </w:r>
      <w:r>
        <w:rPr/>
        <w:t xml:space="preserve"> THAT:</w:t>
      </w:r>
    </w:p>
    <w:p>
      <w:pPr>
        <w:pStyle w:val="Compact"/>
        <w:numPr>
          <w:ilvl w:val="0"/>
          <w:numId w:val="1"/>
        </w:numPr>
        <w:rPr/>
      </w:pPr>
      <w:r>
        <w:rPr/>
        <w:t>THE SERVICE WILL BE UNINTERRUPTED, ERROR-FREE, OR SECURE;</w:t>
      </w:r>
    </w:p>
    <w:p>
      <w:pPr>
        <w:pStyle w:val="Compact"/>
        <w:numPr>
          <w:ilvl w:val="0"/>
          <w:numId w:val="1"/>
        </w:numPr>
        <w:rPr/>
      </w:pPr>
      <w:r>
        <w:rPr/>
        <w:t>DATA STORED OR PROCESSED BY THE SERVICE WILL BE FREE OF LOSS OR CORRUPTION;</w:t>
      </w:r>
    </w:p>
    <w:p>
      <w:pPr>
        <w:pStyle w:val="Compact"/>
        <w:numPr>
          <w:ilvl w:val="0"/>
          <w:numId w:val="1"/>
        </w:numPr>
        <w:rPr/>
      </w:pPr>
      <w:r>
        <w:rPr/>
        <w:t>ANY VOICE NOTE, PHOTOGRAPH, OR OTHER DATA CAPTURED THROUGH THE SERVICE COMPLIES WITH ANY APPLICABLE RECORDING, WIRETAPPING, PHOTOGRAPHY, OR PRIVACY LAW IN ANY JURISDICTION;</w:t>
      </w:r>
    </w:p>
    <w:p>
      <w:pPr>
        <w:pStyle w:val="Compact"/>
        <w:numPr>
          <w:ilvl w:val="0"/>
          <w:numId w:val="1"/>
        </w:numPr>
        <w:rPr/>
      </w:pPr>
      <w:r>
        <w:rPr/>
        <w:t>ANY DO-NOT-KNOCK ENTRY OR LIST AVAILABLE THROUGH THE SERVICE IS COMPLETE OR CURRENT;</w:t>
      </w:r>
    </w:p>
    <w:p>
      <w:pPr>
        <w:pStyle w:val="Compact"/>
        <w:numPr>
          <w:ilvl w:val="0"/>
          <w:numId w:val="1"/>
        </w:numPr>
        <w:rPr/>
      </w:pPr>
      <w:r>
        <w:rPr/>
        <w:t>THE SERVICE WILL PREVENT A REP FROM IGNORING A DO-NOT-KNOCK ENTRY OR FROM ENGAGING IN ANY UNLAWFUL CANVASSING ACTIVITY;</w:t>
      </w:r>
    </w:p>
    <w:p>
      <w:pPr>
        <w:pStyle w:val="Compact"/>
        <w:numPr>
          <w:ilvl w:val="0"/>
          <w:numId w:val="1"/>
        </w:numPr>
        <w:rPr/>
      </w:pPr>
      <w:r>
        <w:rPr/>
        <w:t>ADDRESS, GEOCODING, OR TERRITORY DATA IS ACCURATE;</w:t>
      </w:r>
    </w:p>
    <w:p>
      <w:pPr>
        <w:pStyle w:val="Compact"/>
        <w:numPr>
          <w:ilvl w:val="0"/>
          <w:numId w:val="1"/>
        </w:numPr>
        <w:rPr/>
      </w:pPr>
      <w:r>
        <w:rPr/>
        <w:t>ANY FOLLOW-UP COMMUNICATION YOU SEND USING DATA FROM THE SERVICE COMPLIES WITH THE TCPA, CAN-SPAM, OR ANY STATE COMMUNICATIONS LAW.</w:t>
      </w:r>
    </w:p>
    <w:p>
      <w:pPr>
        <w:pStyle w:val="FirstParagraph"/>
        <w:rPr/>
      </w:pPr>
      <w:r>
        <w:rPr/>
        <w:t>SOME JURISDICTIONS DO NOT ALLOW THE EXCLUSION OF CERTAIN WARRANTIES; IN THOSE JURISDICTIONS, THE EXCLUSIONS IN THIS SECTION APPLY ONLY TO THE EXTENT PERMITTED.</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9" w:name="limitation-of-liability"/>
      <w:r>
        <w:rPr/>
        <w:t>14. Limitation of Liability</w:t>
      </w:r>
      <w:bookmarkEnd w:id="29"/>
    </w:p>
    <w:p>
      <w:pPr>
        <w:pStyle w:val="FirstParagraph"/>
        <w:rPr/>
      </w:pPr>
      <w:r>
        <w:rPr/>
        <w:t>TO THE MAXIMUM EXTENT PERMITTED BY LAW:</w:t>
      </w:r>
    </w:p>
    <w:p>
      <w:pPr>
        <w:pStyle w:val="Normal"/>
        <w:numPr>
          <w:ilvl w:val="0"/>
          <w:numId w:val="9"/>
        </w:numPr>
        <w:rPr/>
      </w:pPr>
      <w:r>
        <w:rPr>
          <w:b/>
        </w:rPr>
        <w:t>No indirect damages.</w:t>
      </w:r>
      <w:r>
        <w:rPr/>
        <w:t xml:space="preserve"> NEITHER PARTY IS LIABLE TO THE OTHER FOR ANY INDIRECT, INCIDENTAL, SPECIAL, CONSEQUENTIAL, EXEMPLARY, OR PUNITIVE DAMAGES, INCLUDING LOST PROFITS, LOST REVENUE, LOST DATA, OR BUSINESS INTERRUPTION, EVEN IF ADVISED OF THE POSSIBILITY OF SUCH DAMAGES.</w:t>
      </w:r>
    </w:p>
    <w:p>
      <w:pPr>
        <w:pStyle w:val="Normal"/>
        <w:numPr>
          <w:ilvl w:val="0"/>
          <w:numId w:val="6"/>
        </w:numPr>
        <w:rPr/>
      </w:pPr>
      <w:r>
        <w:rPr>
          <w:b/>
        </w:rPr>
        <w:t>Cap on direct damages.</w:t>
      </w:r>
      <w:r>
        <w:rPr/>
        <w:t xml:space="preserve"> EACH PARTY’S TOTAL AGGREGATE LIABILITY ARISING OUT OF OR RELATING TO THESE TERMS WILL NOT EXCEED THE GREATER OF (i) THE FEES YOU PAID KNOCKIQ FOR THE SERVICE IN THE </w:t>
      </w:r>
      <w:r>
        <w:rPr>
          <w:b/>
        </w:rPr>
        <w:t>TWELVE (12) MONTHS</w:t>
      </w:r>
      <w:r>
        <w:rPr/>
        <w:t xml:space="preserve"> PRECEDING THE CLAIM, OR (ii) </w:t>
      </w:r>
      <w:r>
        <w:rPr>
          <w:b/>
        </w:rPr>
        <w:t>[INSERT — e.g., “ONE HUNDRED DOLLARS ($100)”]</w:t>
      </w:r>
      <w:r>
        <w:rPr/>
        <w:t>.</w:t>
      </w:r>
    </w:p>
    <w:p>
      <w:pPr>
        <w:pStyle w:val="Normal"/>
        <w:numPr>
          <w:ilvl w:val="0"/>
          <w:numId w:val="6"/>
        </w:numPr>
        <w:rPr/>
      </w:pPr>
      <w:r>
        <w:rPr>
          <w:b/>
        </w:rPr>
        <w:t>Exceptions.</w:t>
      </w:r>
      <w:r>
        <w:rPr/>
        <w:t xml:space="preserve"> The limitations in this Section 14 do not apply to (i) a party’s indemnification obligations under Section 16, (ii) a party’s breach of confidentiality obligations under Section 9, (iii) Customer’s payment obligations under Section 4, (iv) liability that cannot be limited under applicable law (including gross negligence, willful misconduct, or fraud).</w:t>
      </w:r>
    </w:p>
    <w:p>
      <w:pPr>
        <w:pStyle w:val="Normal"/>
        <w:numPr>
          <w:ilvl w:val="0"/>
          <w:numId w:val="6"/>
        </w:numPr>
        <w:rPr/>
      </w:pPr>
      <w:r>
        <w:rPr>
          <w:b/>
        </w:rPr>
        <w:t>Allocation of risk.</w:t>
      </w:r>
      <w:r>
        <w:rPr/>
        <w:t xml:space="preserve"> You acknowledge that the limitations in this Section reflect an allocation of risk between the parties, that the fees for the Service reflect this allocation, and that the limitations form an essential basis of the bargain.</w:t>
      </w:r>
    </w:p>
    <w:p>
      <w:pPr>
        <w:pStyle w:val="BlockText"/>
        <w:rPr/>
      </w:pPr>
      <w:r>
        <w:rPr>
          <w:b/>
        </w:rPr>
        <w:t>[ATTORNEY REVIEW: the 12-month/fees-paid cap is standard SaaS. Confirm acceptable against your insurance. If KnockIQ has cyber liability or E&amp;O coverage with a specific aggregate, align the cap with the coverage limits. The fees-paid carve-back is the most heavily negotiated SaaS clause — expect enterprise customers to push for a multiple of fees or a fixed-dollar minimum.]</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0" w:name="knockiqs-indemnification-of-you"/>
      <w:r>
        <w:rPr/>
        <w:t>15. KnockIQ’s Indemnification of You</w:t>
      </w:r>
      <w:bookmarkEnd w:id="30"/>
    </w:p>
    <w:p>
      <w:pPr>
        <w:pStyle w:val="FirstParagraph"/>
        <w:rPr/>
      </w:pPr>
      <w:r>
        <w:rPr/>
        <w:t>KnockIQ will defend, indemnify, and hold harmless Customer and its officers, directors, employees, and agents from and against third-party claims alleging that the Service, as provided by KnockIQ and used in accordance with these Terms, infringes a US patent, US copyright, or US trademark of the claimant.</w:t>
      </w:r>
    </w:p>
    <w:p>
      <w:pPr>
        <w:pStyle w:val="BodyText"/>
        <w:rPr/>
      </w:pPr>
      <w:r>
        <w:rPr/>
        <w:t>If the Service becomes, or in KnockIQ’s opinion is likely to become, the subject of an infringement claim, KnockIQ may, at its option and expense: (a) procure for Customer the right to continue using the Service, (b) modify the Service so it is non-infringing, or (c) terminate the affected portion of the Service and refund pre-paid fees for the unused subscription period.</w:t>
      </w:r>
    </w:p>
    <w:p>
      <w:pPr>
        <w:pStyle w:val="BodyText"/>
        <w:rPr/>
      </w:pPr>
      <w:r>
        <w:rPr/>
        <w:t>This Section states KnockIQ’s sole liability and Customer’s sole remedy for any third-party infringement claim.</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1" w:name="customers-indemnification-of-knockiq"/>
      <w:r>
        <w:rPr/>
        <w:t>16. Customer’s Indemnification of KnockIQ</w:t>
      </w:r>
      <w:bookmarkEnd w:id="31"/>
    </w:p>
    <w:p>
      <w:pPr>
        <w:pStyle w:val="FirstParagraph"/>
        <w:rPr/>
      </w:pPr>
      <w:r>
        <w:rPr/>
        <w:t>Customer will defend, indemnify, and hold harmless KnockIQ and its officers, directors, employees, contractors, and agents from and against any claim, loss, damage, liability, fine, penalty, or expense (including reasonable attorneys’ fees) arising out of or relating to:</w:t>
      </w:r>
    </w:p>
    <w:p>
      <w:pPr>
        <w:pStyle w:val="Compact"/>
        <w:numPr>
          <w:ilvl w:val="0"/>
          <w:numId w:val="10"/>
        </w:numPr>
        <w:rPr/>
      </w:pPr>
      <w:r>
        <w:rPr/>
        <w:t>Customer’s breach of these Terms (including Section 5);</w:t>
      </w:r>
    </w:p>
    <w:p>
      <w:pPr>
        <w:pStyle w:val="Compact"/>
        <w:numPr>
          <w:ilvl w:val="0"/>
          <w:numId w:val="6"/>
        </w:numPr>
        <w:rPr/>
      </w:pPr>
      <w:r>
        <w:rPr/>
        <w:t>Customer Data, including its accuracy, lawfulness, and any third-party claim that Customer Data infringes or violates a right;</w:t>
      </w:r>
    </w:p>
    <w:p>
      <w:pPr>
        <w:pStyle w:val="Compact"/>
        <w:numPr>
          <w:ilvl w:val="0"/>
          <w:numId w:val="6"/>
        </w:numPr>
        <w:rPr/>
      </w:pPr>
      <w:r>
        <w:rPr/>
        <w:t>Any act or omission of an Authorized User (including but not limited to a Rep), including trespass, unlawful recording, unauthorized photography, harassment, ignoring a do-not-knock entry, or violation of a solicitor-licensing requirement;</w:t>
      </w:r>
    </w:p>
    <w:p>
      <w:pPr>
        <w:pStyle w:val="Compact"/>
        <w:numPr>
          <w:ilvl w:val="0"/>
          <w:numId w:val="6"/>
        </w:numPr>
        <w:rPr/>
      </w:pPr>
      <w:r>
        <w:rPr/>
        <w:t>Any follow-up communication initiated by Customer or by any party to whom Customer transferred Customer Data, including any claim under the TCPA, CAN-SPAM, or a state telemarketing or anti-spam law;</w:t>
      </w:r>
    </w:p>
    <w:p>
      <w:pPr>
        <w:pStyle w:val="Compact"/>
        <w:numPr>
          <w:ilvl w:val="0"/>
          <w:numId w:val="6"/>
        </w:numPr>
        <w:rPr/>
      </w:pPr>
      <w:r>
        <w:rPr/>
        <w:t>Any home-solicitation-sales transaction, including any failure to provide required cancellation notices;</w:t>
      </w:r>
    </w:p>
    <w:p>
      <w:pPr>
        <w:pStyle w:val="Compact"/>
        <w:numPr>
          <w:ilvl w:val="0"/>
          <w:numId w:val="6"/>
        </w:numPr>
        <w:rPr/>
      </w:pPr>
      <w:r>
        <w:rPr/>
        <w:t>Any claim by a Visited Person arising from Customer’s collection, use, or disclosure of personal information about that Visited Person;</w:t>
      </w:r>
    </w:p>
    <w:p>
      <w:pPr>
        <w:pStyle w:val="Compact"/>
        <w:numPr>
          <w:ilvl w:val="0"/>
          <w:numId w:val="6"/>
        </w:numPr>
        <w:rPr/>
      </w:pPr>
      <w:r>
        <w:rPr/>
        <w:t>Customer’s failure to obtain any consent required by applicable wiretapping, recording, or biometric privacy law (including BIPA in Illinois, CUBI in Texas, and RCW 19.375 in Washington);</w:t>
      </w:r>
    </w:p>
    <w:p>
      <w:pPr>
        <w:pStyle w:val="Compact"/>
        <w:numPr>
          <w:ilvl w:val="0"/>
          <w:numId w:val="6"/>
        </w:numPr>
        <w:rPr/>
      </w:pPr>
      <w:r>
        <w:rPr/>
        <w:t>Any tax, license, or registration obligation of Customer.</w:t>
      </w:r>
    </w:p>
    <w:p>
      <w:pPr>
        <w:pStyle w:val="FirstParagraph"/>
        <w:rPr/>
      </w:pPr>
      <w:r>
        <w:rPr/>
        <w:t>KnockIQ will give Customer prompt notice of any claim, allow Customer to control the defense (subject to KnockIQ’s right to participate at its own expense), and cooperate reasonably. Customer may not settle a claim that imposes any obligation on KnockIQ or admits any wrongdoing without KnockIQ’s prior written consent.</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2" w:name="term-and-termination"/>
      <w:r>
        <w:rPr/>
        <w:t>17. Term and Termination</w:t>
      </w:r>
      <w:bookmarkEnd w:id="32"/>
    </w:p>
    <w:p>
      <w:pPr>
        <w:pStyle w:val="Heading3"/>
        <w:rPr/>
      </w:pPr>
      <w:bookmarkStart w:id="33" w:name="term"/>
      <w:r>
        <w:rPr/>
        <w:t>17.1 Term</w:t>
      </w:r>
      <w:bookmarkEnd w:id="33"/>
    </w:p>
    <w:p>
      <w:pPr>
        <w:pStyle w:val="FirstParagraph"/>
        <w:rPr/>
      </w:pPr>
      <w:r>
        <w:rPr/>
        <w:t>These Terms begin when you first accept them and continue until terminated as provided here.</w:t>
      </w:r>
    </w:p>
    <w:p>
      <w:pPr>
        <w:pStyle w:val="Heading3"/>
        <w:rPr/>
      </w:pPr>
      <w:bookmarkStart w:id="34" w:name="termination-for-convenience"/>
      <w:r>
        <w:rPr/>
        <w:t>17.2 Termination for convenience</w:t>
      </w:r>
      <w:bookmarkEnd w:id="34"/>
    </w:p>
    <w:p>
      <w:pPr>
        <w:pStyle w:val="FirstParagraph"/>
        <w:rPr/>
      </w:pPr>
      <w:r>
        <w:rPr/>
        <w:t>Either party may cancel a subscription at the end of the then-current billing period through the Service’s account-management interface or by written notice.</w:t>
      </w:r>
    </w:p>
    <w:p>
      <w:pPr>
        <w:pStyle w:val="Heading3"/>
        <w:rPr/>
      </w:pPr>
      <w:bookmarkStart w:id="35" w:name="termination-for-cause"/>
      <w:r>
        <w:rPr/>
        <w:t>17.3 Termination for cause</w:t>
      </w:r>
      <w:bookmarkEnd w:id="35"/>
    </w:p>
    <w:p>
      <w:pPr>
        <w:pStyle w:val="FirstParagraph"/>
        <w:rPr/>
      </w:pPr>
      <w:r>
        <w:rPr/>
        <w:t>Either party may terminate immediately on written notice if the other party (a) materially breaches these Terms and does not cure the breach within 30 days of notice, (b) becomes insolvent, files for bankruptcy, or makes a general assignment for the benefit of creditors, or (c) ceases operations.</w:t>
      </w:r>
    </w:p>
    <w:p>
      <w:pPr>
        <w:pStyle w:val="Heading3"/>
        <w:rPr/>
      </w:pPr>
      <w:bookmarkStart w:id="36" w:name="suspension"/>
      <w:r>
        <w:rPr/>
        <w:t>17.4 Suspension</w:t>
      </w:r>
      <w:bookmarkEnd w:id="36"/>
    </w:p>
    <w:p>
      <w:pPr>
        <w:pStyle w:val="FirstParagraph"/>
        <w:rPr/>
      </w:pPr>
      <w:r>
        <w:rPr/>
        <w:t>KnockIQ may suspend access to the Service immediately, without prior notice, if (a) Customer’s account is past due, (b) Customer’s use of the Service threatens the security or stability of the Service or other users, (c) KnockIQ reasonably believes Customer’s use violates law or these Terms (including Section 5.2), or (d) required by law or regulator order.</w:t>
      </w:r>
    </w:p>
    <w:p>
      <w:pPr>
        <w:pStyle w:val="Heading3"/>
        <w:rPr/>
      </w:pPr>
      <w:bookmarkStart w:id="37" w:name="effect-of-termination"/>
      <w:r>
        <w:rPr/>
        <w:t>17.5 Effect of termination</w:t>
      </w:r>
      <w:bookmarkEnd w:id="37"/>
    </w:p>
    <w:p>
      <w:pPr>
        <w:pStyle w:val="FirstParagraph"/>
        <w:rPr/>
      </w:pPr>
      <w:r>
        <w:rPr/>
        <w:t>On termination: (a) all licenses granted under these Terms end immediately, (b) Customer’s access to the Service ends, (c) Customer may export Customer Data for up to [30 days], after which KnockIQ will delete it as described in Section 7.5, and (d) any provision that by its nature should survive termination (including Sections 4, 7, 9, 10, 13, 14, 15, 16, 18, 19, and 21) survives.</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8" w:name="dispute-resolution"/>
      <w:r>
        <w:rPr/>
        <w:t>18. Dispute Resolution</w:t>
      </w:r>
      <w:bookmarkEnd w:id="38"/>
    </w:p>
    <w:p>
      <w:pPr>
        <w:pStyle w:val="Heading3"/>
        <w:rPr/>
      </w:pPr>
      <w:bookmarkStart w:id="39" w:name="informal-resolution"/>
      <w:r>
        <w:rPr/>
        <w:t>18.1 Informal resolution</w:t>
      </w:r>
      <w:bookmarkEnd w:id="39"/>
    </w:p>
    <w:p>
      <w:pPr>
        <w:pStyle w:val="FirstParagraph"/>
        <w:rPr/>
      </w:pPr>
      <w:r>
        <w:rPr/>
        <w:t>Before filing any formal claim, the party with the dispute will send written notice to the other party describing the dispute and proposed resolution. The parties will negotiate in good faith for at least 30 days to resolve the dispute.</w:t>
      </w:r>
    </w:p>
    <w:p>
      <w:pPr>
        <w:pStyle w:val="Heading3"/>
        <w:rPr/>
      </w:pPr>
      <w:bookmarkStart w:id="40" w:name="binding-arbitration"/>
      <w:r>
        <w:rPr/>
        <w:t>18.2 Binding arbitration</w:t>
      </w:r>
      <w:bookmarkEnd w:id="40"/>
    </w:p>
    <w:p>
      <w:pPr>
        <w:pStyle w:val="FirstParagraph"/>
        <w:rPr/>
      </w:pPr>
      <w:r>
        <w:rPr/>
        <w:t xml:space="preserve">If the dispute is not resolved within the negotiation period, </w:t>
      </w:r>
      <w:r>
        <w:rPr>
          <w:b/>
        </w:rPr>
        <w:t>any dispute arising out of or relating to these Terms or the Service</w:t>
      </w:r>
      <w:r>
        <w:rPr/>
        <w:t xml:space="preserve"> will be resolved by </w:t>
      </w:r>
      <w:r>
        <w:rPr>
          <w:b/>
        </w:rPr>
        <w:t>binding individual arbitration</w:t>
      </w:r>
      <w:r>
        <w:rPr/>
        <w:t xml:space="preserve"> administered by </w:t>
      </w:r>
      <w:r>
        <w:rPr>
          <w:b/>
        </w:rPr>
        <w:t>[INSERT — e.g., JAMS or the American Arbitration Association]</w:t>
      </w:r>
      <w:r>
        <w:rPr/>
        <w:t xml:space="preserve"> under its commercial arbitration rules (or the streamlined rules if the amount in controversy is below the applicable threshold), by a single arbitrator. Arbitration will take place in </w:t>
      </w:r>
      <w:r>
        <w:rPr>
          <w:b/>
        </w:rPr>
        <w:t>[INSERT — e.g., “the City and County of San Francisco, California”]</w:t>
      </w:r>
      <w:r>
        <w:rPr/>
        <w:t xml:space="preserve"> (or by remote hearing at the arbitrator’s discretion). Judgment on the award may be entered in any court of competent jurisdiction.</w:t>
      </w:r>
    </w:p>
    <w:p>
      <w:pPr>
        <w:pStyle w:val="Heading3"/>
        <w:rPr/>
      </w:pPr>
      <w:bookmarkStart w:id="41" w:name="class-action-waiver"/>
      <w:r>
        <w:rPr/>
        <w:t>18.3 Class-action waiver</w:t>
      </w:r>
      <w:bookmarkEnd w:id="41"/>
    </w:p>
    <w:p>
      <w:pPr>
        <w:pStyle w:val="FirstParagraph"/>
        <w:rPr/>
      </w:pPr>
      <w:r>
        <w:rPr>
          <w:b/>
        </w:rPr>
        <w:t>EACH PARTY WAIVES ANY RIGHT TO PARTICIPATE IN A CLASS ACTION, COLLECTIVE ACTION, OR REPRESENTATIVE PROCEEDING. ARBITRATION WILL BE CONDUCTED ON AN INDIVIDUAL BASIS ONLY.</w:t>
      </w:r>
      <w:r>
        <w:rPr/>
        <w:t xml:space="preserve"> If a court finds this waiver unenforceable, the entire arbitration agreement is null and void, and the parties’ disputes will be resolved in court (Section 18.5).</w:t>
      </w:r>
    </w:p>
    <w:p>
      <w:pPr>
        <w:pStyle w:val="Heading3"/>
        <w:rPr/>
      </w:pPr>
      <w:bookmarkStart w:id="42" w:name="carve-outs"/>
      <w:r>
        <w:rPr/>
        <w:t>18.4 Carve-outs</w:t>
      </w:r>
      <w:bookmarkEnd w:id="42"/>
    </w:p>
    <w:p>
      <w:pPr>
        <w:pStyle w:val="FirstParagraph"/>
        <w:rPr/>
      </w:pPr>
      <w:r>
        <w:rPr/>
        <w:t>Either party may seek (a) injunctive or equitable relief in any court of competent jurisdiction to protect its intellectual property, Confidential Information, or Service security without first proceeding through informal resolution or arbitration, and (b) small-claims-court actions to the extent permitted by that court’s jurisdictional limits.</w:t>
      </w:r>
    </w:p>
    <w:p>
      <w:pPr>
        <w:pStyle w:val="Heading3"/>
        <w:rPr/>
      </w:pPr>
      <w:bookmarkStart w:id="43" w:name="court-fallback"/>
      <w:r>
        <w:rPr/>
        <w:t>18.5 Court fallback</w:t>
      </w:r>
      <w:bookmarkEnd w:id="43"/>
    </w:p>
    <w:p>
      <w:pPr>
        <w:pStyle w:val="FirstParagraph"/>
        <w:rPr/>
      </w:pPr>
      <w:r>
        <w:rPr/>
        <w:t xml:space="preserve">If arbitration is unavailable for any reason, the parties consent to the exclusive jurisdiction of the state and federal courts located in </w:t>
      </w:r>
      <w:r>
        <w:rPr>
          <w:b/>
        </w:rPr>
        <w:t>[INSERT — e.g., “San Francisco County, California”]</w:t>
      </w:r>
      <w:r>
        <w:rPr/>
        <w:t xml:space="preserve"> for resolution of any dispute.</w:t>
      </w:r>
    </w:p>
    <w:p>
      <w:pPr>
        <w:pStyle w:val="BlockText"/>
        <w:rPr/>
      </w:pPr>
      <w:r>
        <w:rPr>
          <w:b/>
        </w:rPr>
        <w:t>[ATTORNEY REVIEW: arbitration clauses are heavily scrutinized and the enforceability rules differ by state. Confirm (1) arbitration provider selection, (2) seat / venue, (3) cost-sharing provisions (one-sided cost shifting can void the clause), (4) whether to require pre-dispute mediation, (5) the class-action waiver under California McGill v. Citibank and similar state cases, and (6) any required consumer-arbitration disclosures.]</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4" w:name="governing-law"/>
      <w:r>
        <w:rPr/>
        <w:t>19. Governing Law</w:t>
      </w:r>
      <w:bookmarkEnd w:id="44"/>
    </w:p>
    <w:p>
      <w:pPr>
        <w:pStyle w:val="FirstParagraph"/>
        <w:rPr/>
      </w:pPr>
      <w:r>
        <w:rPr/>
        <w:t xml:space="preserve">These Terms are governed by the laws of the </w:t>
      </w:r>
      <w:r>
        <w:rPr>
          <w:b/>
        </w:rPr>
        <w:t>State of [INSERT — e.g., “Delaware”]</w:t>
      </w:r>
      <w:r>
        <w:rPr/>
        <w:t>, without regard to its conflict-of-laws principles. The United Nations Convention on Contracts for the International Sale of Goods does not apply.</w:t>
      </w:r>
    </w:p>
    <w:p>
      <w:pPr>
        <w:pStyle w:val="BlockText"/>
        <w:rPr/>
      </w:pPr>
      <w:r>
        <w:rPr>
          <w:b/>
        </w:rPr>
        <w:t>[ATTORNEY REVIEW: governing-law choice is strategic. Delaware is the most common for SaaS due to favorable corporate law and predictable commercial decisions. California has consumer-protective default rules that affect SaaS contracts. Confirm based on your incorporation state and where the highest-volume customer base will be.]</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5" w:name="modifications"/>
      <w:r>
        <w:rPr/>
        <w:t>20. Modifications</w:t>
      </w:r>
      <w:bookmarkEnd w:id="45"/>
    </w:p>
    <w:p>
      <w:pPr>
        <w:pStyle w:val="Heading3"/>
        <w:rPr/>
      </w:pPr>
      <w:bookmarkStart w:id="46" w:name="to-the-service"/>
      <w:r>
        <w:rPr/>
        <w:t>20.1 To the Service</w:t>
      </w:r>
      <w:bookmarkEnd w:id="46"/>
    </w:p>
    <w:p>
      <w:pPr>
        <w:pStyle w:val="FirstParagraph"/>
        <w:rPr/>
      </w:pPr>
      <w:r>
        <w:rPr/>
        <w:t>We may modify, enhance, or discontinue features of the Service from time to time. We will not materially degrade the core functionality of a paid subscription during the paid term.</w:t>
      </w:r>
    </w:p>
    <w:p>
      <w:pPr>
        <w:pStyle w:val="Heading3"/>
        <w:rPr/>
      </w:pPr>
      <w:bookmarkStart w:id="47" w:name="to-these-terms"/>
      <w:r>
        <w:rPr/>
        <w:t>20.2 To these Terms</w:t>
      </w:r>
      <w:bookmarkEnd w:id="47"/>
    </w:p>
    <w:p>
      <w:pPr>
        <w:pStyle w:val="FirstParagraph"/>
        <w:rPr/>
      </w:pPr>
      <w:r>
        <w:rPr/>
        <w:t xml:space="preserve">We may update these Terms from time to time. If we make a material change, we will give Customer notice at least </w:t>
      </w:r>
      <w:r>
        <w:rPr>
          <w:b/>
        </w:rPr>
        <w:t>30 days</w:t>
      </w:r>
      <w:r>
        <w:rPr/>
        <w:t xml:space="preserve"> before the change takes effect, by email to the Customer Account’s billing contact and by posting the updated Terms at [URL]. Continued use after the effective date constitutes acceptance. If you do not accept material changes, your sole remedy is to terminate before the effective date and receive a pro-rata refund of any pre-paid fees for the unused period.</w:t>
      </w:r>
    </w:p>
    <w:p>
      <w:pPr>
        <w:pStyle w:val="BlockText"/>
        <w:rPr/>
      </w:pPr>
      <w:r>
        <w:rPr>
          <w:b/>
        </w:rPr>
        <w:t>[ATTORNEY REVIEW: confirm whether 30-day notice + continued-use acceptance is enforceable in your governing-law state for material changes. Some jurisdictions (and certain consumer-facing contexts) require affirmative re-acceptance.]</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8" w:name="general"/>
      <w:r>
        <w:rPr/>
        <w:t>21. General</w:t>
      </w:r>
      <w:bookmarkEnd w:id="48"/>
    </w:p>
    <w:p>
      <w:pPr>
        <w:pStyle w:val="Heading3"/>
        <w:rPr/>
      </w:pPr>
      <w:bookmarkStart w:id="49" w:name="notices"/>
      <w:r>
        <w:rPr/>
        <w:t>21.1 Notices</w:t>
      </w:r>
      <w:bookmarkEnd w:id="49"/>
    </w:p>
    <w:p>
      <w:pPr>
        <w:pStyle w:val="FirstParagraph"/>
        <w:rPr/>
      </w:pPr>
      <w:r>
        <w:rPr/>
        <w:t xml:space="preserve">Notices to KnockIQ must be sent to </w:t>
      </w:r>
      <w:r>
        <w:rPr>
          <w:b/>
        </w:rPr>
        <w:t>[legal@knockiq.com]</w:t>
      </w:r>
      <w:r>
        <w:rPr/>
        <w:t xml:space="preserve"> with a copy to </w:t>
      </w:r>
      <w:r>
        <w:rPr>
          <w:b/>
        </w:rPr>
        <w:t>[ENTITY LEGAL NAME], Attn: Legal, [ADDRESS]</w:t>
      </w:r>
      <w:r>
        <w:rPr/>
        <w:t>. Notices to Customer will be sent to the email address on file for the Customer Account.</w:t>
      </w:r>
    </w:p>
    <w:p>
      <w:pPr>
        <w:pStyle w:val="Heading3"/>
        <w:rPr/>
      </w:pPr>
      <w:bookmarkStart w:id="50" w:name="assignment"/>
      <w:r>
        <w:rPr/>
        <w:t>21.2 Assignment</w:t>
      </w:r>
      <w:bookmarkEnd w:id="50"/>
    </w:p>
    <w:p>
      <w:pPr>
        <w:pStyle w:val="FirstParagraph"/>
        <w:rPr/>
      </w:pPr>
      <w:r>
        <w:rPr/>
        <w:t>You may not assign these Terms or any rights or obligations under them without KnockIQ’s prior written consent, except to a successor in a merger, acquisition, or sale of substantially all assets. KnockIQ may assign these Terms freely. Any assignment in violation of this section is void.</w:t>
      </w:r>
    </w:p>
    <w:p>
      <w:pPr>
        <w:pStyle w:val="Heading3"/>
        <w:rPr/>
      </w:pPr>
      <w:bookmarkStart w:id="51" w:name="force-majeure"/>
      <w:r>
        <w:rPr/>
        <w:t>21.3 Force majeure</w:t>
      </w:r>
      <w:bookmarkEnd w:id="51"/>
    </w:p>
    <w:p>
      <w:pPr>
        <w:pStyle w:val="FirstParagraph"/>
        <w:rPr/>
      </w:pPr>
      <w:r>
        <w:rPr/>
        <w:t>Neither party is liable for delay or failure to perform (other than payment obligations) caused by events beyond its reasonable control, including natural disasters, war, terrorism, civil unrest, government action, labor disputes, pandemic, internet outages, or third-party service outages.</w:t>
      </w:r>
    </w:p>
    <w:p>
      <w:pPr>
        <w:pStyle w:val="Heading3"/>
        <w:rPr/>
      </w:pPr>
      <w:bookmarkStart w:id="52" w:name="independent-contractors"/>
      <w:r>
        <w:rPr/>
        <w:t>21.4 Independent contractors</w:t>
      </w:r>
      <w:bookmarkEnd w:id="52"/>
    </w:p>
    <w:p>
      <w:pPr>
        <w:pStyle w:val="FirstParagraph"/>
        <w:rPr/>
      </w:pPr>
      <w:r>
        <w:rPr/>
        <w:t>The parties are independent contractors. Nothing in these Terms creates an agency, partnership, joint venture, employment, or fiduciary relationship.</w:t>
      </w:r>
    </w:p>
    <w:p>
      <w:pPr>
        <w:pStyle w:val="Heading3"/>
        <w:rPr/>
      </w:pPr>
      <w:bookmarkStart w:id="53" w:name="no-third-party-beneficiaries"/>
      <w:r>
        <w:rPr/>
        <w:t>21.5 No third-party beneficiaries</w:t>
      </w:r>
      <w:bookmarkEnd w:id="53"/>
    </w:p>
    <w:p>
      <w:pPr>
        <w:pStyle w:val="FirstParagraph"/>
        <w:rPr/>
      </w:pPr>
      <w:r>
        <w:rPr/>
        <w:t>These Terms do not confer any rights on any third party, except as expressly stated.</w:t>
      </w:r>
    </w:p>
    <w:p>
      <w:pPr>
        <w:pStyle w:val="Heading3"/>
        <w:rPr/>
      </w:pPr>
      <w:bookmarkStart w:id="54" w:name="severability"/>
      <w:r>
        <w:rPr/>
        <w:t>21.6 Severability</w:t>
      </w:r>
      <w:bookmarkEnd w:id="54"/>
    </w:p>
    <w:p>
      <w:pPr>
        <w:pStyle w:val="FirstParagraph"/>
        <w:rPr/>
      </w:pPr>
      <w:r>
        <w:rPr/>
        <w:t>If any provision is held unenforceable, the remaining provisions remain in full effect, and the unenforceable provision will be modified to the minimum extent necessary to make it enforceable.</w:t>
      </w:r>
    </w:p>
    <w:p>
      <w:pPr>
        <w:pStyle w:val="Heading3"/>
        <w:rPr/>
      </w:pPr>
      <w:bookmarkStart w:id="55" w:name="waiver"/>
      <w:r>
        <w:rPr/>
        <w:t>21.7 Waiver</w:t>
      </w:r>
      <w:bookmarkEnd w:id="55"/>
    </w:p>
    <w:p>
      <w:pPr>
        <w:pStyle w:val="FirstParagraph"/>
        <w:rPr/>
      </w:pPr>
      <w:r>
        <w:rPr/>
        <w:t>A waiver of any provision is effective only if in writing and signed by the waiving party, and applies only to the specific instance.</w:t>
      </w:r>
    </w:p>
    <w:p>
      <w:pPr>
        <w:pStyle w:val="Heading3"/>
        <w:rPr/>
      </w:pPr>
      <w:bookmarkStart w:id="56" w:name="entire-agreement"/>
      <w:r>
        <w:rPr/>
        <w:t>21.8 Entire agreement</w:t>
      </w:r>
      <w:bookmarkEnd w:id="56"/>
    </w:p>
    <w:p>
      <w:pPr>
        <w:pStyle w:val="FirstParagraph"/>
        <w:rPr/>
      </w:pPr>
      <w:r>
        <w:rPr/>
        <w:t>These Terms, the Privacy Policy, the DPA, and any order forms or schedules executed between the parties constitute the entire agreement and supersede all prior agreements regarding the subject matter.</w:t>
      </w:r>
    </w:p>
    <w:p>
      <w:pPr>
        <w:pStyle w:val="Heading3"/>
        <w:rPr/>
      </w:pPr>
      <w:bookmarkStart w:id="57" w:name="order-of-precedence"/>
      <w:r>
        <w:rPr/>
        <w:t>21.9 Order of precedence</w:t>
      </w:r>
      <w:bookmarkEnd w:id="57"/>
    </w:p>
    <w:p>
      <w:pPr>
        <w:pStyle w:val="FirstParagraph"/>
        <w:rPr/>
      </w:pPr>
      <w:r>
        <w:rPr/>
        <w:t>In case of conflict: (a) a signed order form controls over these Terms for the specific subject of conflict, (b) the DPA controls over these Terms with respect to processing of personal information, and (c) otherwise, these Terms control.</w:t>
      </w:r>
    </w:p>
    <w:p>
      <w:pPr>
        <w:pStyle w:val="Heading3"/>
        <w:rPr/>
      </w:pPr>
      <w:bookmarkStart w:id="58" w:name="export-and-sanctions"/>
      <w:r>
        <w:rPr/>
        <w:t>21.10 Export and sanctions</w:t>
      </w:r>
      <w:bookmarkEnd w:id="58"/>
    </w:p>
    <w:p>
      <w:pPr>
        <w:pStyle w:val="FirstParagraph"/>
        <w:rPr/>
      </w:pPr>
      <w:r>
        <w:rPr/>
        <w:t>You represent that you and your Authorized Users are not located in, organized under the laws of, or ordinarily resident in a country subject to comprehensive US sanctions, and that you are not on any US sanctions list. You will not use the Service in violation of US export-control laws.</w:t>
      </w:r>
    </w:p>
    <w:p>
      <w:pPr>
        <w:pStyle w:val="Heading3"/>
        <w:rPr/>
      </w:pPr>
      <w:bookmarkStart w:id="59" w:name="federal-customers"/>
      <w:r>
        <w:rPr/>
        <w:t>21.11 Federal customers</w:t>
      </w:r>
      <w:bookmarkEnd w:id="59"/>
    </w:p>
    <w:p>
      <w:pPr>
        <w:pStyle w:val="FirstParagraph"/>
        <w:rPr/>
      </w:pPr>
      <w:r>
        <w:rPr/>
        <w:t>The Service is “commercial computer software” and “commercial computer software documentation” under FAR 2.101 and DFARS 252.227-7014(a)(1). Use by US Government end users is subject to commercial-license terms.</w:t>
      </w:r>
    </w:p>
    <w:p>
      <w:pPr>
        <w:pStyle w:val="BlockText"/>
        <w:rPr/>
      </w:pPr>
      <w:r>
        <w:rPr>
          <w:b/>
        </w:rPr>
        <w:t>[ATTORNEY REVIEW: confirm sanctions / export-control language with any relevant counsel. If KnockIQ has or expects federal customers, additional FedRAMP or government-cloud language may be needed.]</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0" w:name="contact"/>
      <w:r>
        <w:rPr/>
        <w:t>22. Contact</w:t>
      </w:r>
      <w:bookmarkEnd w:id="60"/>
    </w:p>
    <w:p>
      <w:pPr>
        <w:pStyle w:val="FirstParagraph"/>
        <w:rPr/>
      </w:pPr>
      <w:r>
        <w:rPr>
          <w:b/>
        </w:rPr>
        <w:t>Questions about these Terms:</w:t>
      </w:r>
      <w:r>
        <w:rPr/>
        <w:t xml:space="preserve"> [legal@knockiq.com] </w:t>
      </w:r>
      <w:r>
        <w:rPr>
          <w:b/>
        </w:rPr>
        <w:t>Billing questions:</w:t>
      </w:r>
      <w:r>
        <w:rPr/>
        <w:t xml:space="preserve"> [billing@knockiq.com] </w:t>
      </w:r>
      <w:r>
        <w:rPr>
          <w:b/>
        </w:rPr>
        <w:t>Privacy questions:</w:t>
      </w:r>
      <w:r>
        <w:rPr/>
        <w:t xml:space="preserve"> [privacy@knockiq.com] </w:t>
      </w:r>
      <w:r>
        <w:rPr>
          <w:b/>
        </w:rPr>
        <w:t>Security incident reports:</w:t>
      </w:r>
      <w:r>
        <w:rPr/>
        <w:t xml:space="preserve"> [security@knockiq.com]</w:t>
      </w:r>
    </w:p>
    <w:p>
      <w:pPr>
        <w:pStyle w:val="BodyText"/>
        <w:rPr/>
      </w:pPr>
      <w:r>
        <w:rPr>
          <w:b/>
        </w:rPr>
        <w:t>Mailing address:</w:t>
      </w:r>
      <w:r>
        <w:rPr/>
        <w:t xml:space="preserve"> [ENTITY LEGAL NAME] [STREET ADDRESS] [CITY, STATE, ZIP] United States</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rPr>
        <w:t>Version:</w:t>
      </w:r>
      <w:r>
        <w:rPr/>
        <w:t xml:space="preserve"> [INSERT] </w:t>
      </w:r>
      <w:r>
        <w:rPr>
          <w:b/>
        </w:rPr>
        <w:t>Drafted with the assistance of automated tools and intended for review by counsel before publication.</w:t>
      </w:r>
    </w:p>
    <w:p>
      <w:pPr>
        <w:pStyle w:val="BlockText"/>
        <w:spacing w:before="100" w:after="100"/>
        <w:ind w:hanging="0" w:start="480" w:end="480"/>
        <w:rPr/>
      </w:pPr>
      <w:r>
        <w:rPr>
          <w:b/>
        </w:rPr>
        <w:t>[ATTORNEY REVIEW: final pass: (1) confirm every bracketed item, (2) ensure consistency with the Privacy Policy, the DPA, and any order forms, (3) confirm the customer-indemnification scope satisfies your insurance carrier, (4) confirm dispute-resolution clauses are current with arbitration-provider rules and state law.]</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6">
    <w:lvl w:ilvl="0">
      <w:start w:val="1"/>
      <w:numFmt w:val="lowerLetter"/>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Letter"/>
      <w:lvlText w:val="(%3)"/>
      <w:lvlJc w:val="start"/>
      <w:pPr>
        <w:tabs>
          <w:tab w:val="num" w:pos="1440"/>
        </w:tabs>
        <w:ind w:start="1920" w:hanging="480"/>
      </w:pPr>
      <w:rPr/>
    </w:lvl>
    <w:lvl w:ilvl="3">
      <w:start w:val="1"/>
      <w:numFmt w:val="lowerLetter"/>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Letter"/>
      <w:lvlText w:val="(%6)"/>
      <w:lvlJc w:val="start"/>
      <w:pPr>
        <w:tabs>
          <w:tab w:val="num" w:pos="3600"/>
        </w:tabs>
        <w:ind w:start="4080" w:hanging="480"/>
      </w:pPr>
      <w:rPr/>
    </w:lvl>
    <w:lvl w:ilvl="6">
      <w:start w:val="1"/>
      <w:numFmt w:val="lowerLetter"/>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Letter"/>
      <w:lvlText w:val="(%9)"/>
      <w:lvlJc w:val="start"/>
      <w:pPr>
        <w:tabs>
          <w:tab w:val="num" w:pos="5760"/>
        </w:tabs>
        <w:ind w:start="6240" w:hanging="480"/>
      </w:pPr>
      <w:rPr/>
    </w:lvl>
  </w:abstractNum>
  <w:abstractNum w:abstractNumId="7">
    <w:lvl w:ilvl="0">
      <w:start w:val="1"/>
      <w:numFmt w:val="lowerLetter"/>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Letter"/>
      <w:lvlText w:val="(%3)"/>
      <w:lvlJc w:val="start"/>
      <w:pPr>
        <w:tabs>
          <w:tab w:val="num" w:pos="1440"/>
        </w:tabs>
        <w:ind w:start="1920" w:hanging="480"/>
      </w:pPr>
      <w:rPr/>
    </w:lvl>
    <w:lvl w:ilvl="3">
      <w:start w:val="1"/>
      <w:numFmt w:val="lowerLetter"/>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Letter"/>
      <w:lvlText w:val="(%6)"/>
      <w:lvlJc w:val="start"/>
      <w:pPr>
        <w:tabs>
          <w:tab w:val="num" w:pos="3600"/>
        </w:tabs>
        <w:ind w:start="4080" w:hanging="480"/>
      </w:pPr>
      <w:rPr/>
    </w:lvl>
    <w:lvl w:ilvl="6">
      <w:start w:val="1"/>
      <w:numFmt w:val="lowerLetter"/>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Letter"/>
      <w:lvlText w:val="(%9)"/>
      <w:lvlJc w:val="start"/>
      <w:pPr>
        <w:tabs>
          <w:tab w:val="num" w:pos="5760"/>
        </w:tabs>
        <w:ind w:start="6240" w:hanging="4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lvlOverride w:ilvl="0">
      <w:startOverride w:val="1"/>
    </w:lvlOverride>
  </w:num>
  <w:num w:numId="10">
    <w:abstractNumId w:val="6"/>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2026-05-29T14:25:01Z</dcterms:created>
  <dc:creator/>
  <dc:description/>
  <dc:language>en-US</dc:language>
  <cp:lastModifiedBy/>
  <dcterms:modified xsi:type="dcterms:W3CDTF">2026-05-29T14:25:01Z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