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knockiq-sub-processors"/>
      <w:r>
        <w:t xml:space="preserve">KnockIQ Sub-Processors</w:t>
      </w:r>
      <w:bookmarkEnd w:id="20"/>
    </w:p>
    <w:p>
      <w:pPr>
        <w:pStyle w:val="FirstParagraph"/>
      </w:pPr>
      <w:r>
        <w:rPr>
          <w:b/>
        </w:rPr>
        <w:t xml:space="preserve">Last Updated:</w:t>
      </w:r>
      <w:r>
        <w:t xml:space="preserve"> </w:t>
      </w:r>
      <w:r>
        <w:t xml:space="preserve">June 8, 2026</w:t>
      </w:r>
    </w:p>
    <w:p>
      <w:pPr>
        <w:pStyle w:val="BodyText"/>
      </w:pPr>
      <w:r>
        <w:t xml:space="preserve">KnockIQ, LLC engages the third-party service providers ("sub-processors") listed below to help us deliver the KnockIQ service. Each sub-processor Processes personal information only as needed to perform its function and is contractually required to protect that information at a level no less protective than our own commitments. This page is referenced by our</w:t>
      </w:r>
      <w:r>
        <w:t xml:space="preserve"> </w:t>
      </w:r>
      <w:hyperlink r:id="rId21">
        <w:r>
          <w:rPr>
            <w:rStyle w:val="Hyperlink"/>
          </w:rPr>
          <w:t xml:space="preserve">Privacy Policy</w:t>
        </w:r>
      </w:hyperlink>
      <w:r>
        <w:t xml:space="preserve">,</w:t>
      </w:r>
      <w:r>
        <w:t xml:space="preserve"> </w:t>
      </w:r>
      <w:hyperlink r:id="rId22">
        <w:r>
          <w:rPr>
            <w:rStyle w:val="Hyperlink"/>
          </w:rPr>
          <w:t xml:space="preserve">Terms of Service</w:t>
        </w:r>
      </w:hyperlink>
      <w:r>
        <w:t xml:space="preserve">, and</w:t>
      </w:r>
      <w:r>
        <w:t xml:space="preserve"> </w:t>
      </w:r>
      <w:hyperlink r:id="rId23">
        <w:r>
          <w:rPr>
            <w:rStyle w:val="Hyperlink"/>
          </w:rPr>
          <w:t xml:space="preserve">Data Processing Addendum</w:t>
        </w:r>
      </w:hyperlink>
      <w:r>
        <w:t xml:space="preserve">.</w:t>
      </w:r>
    </w:p>
    <w:p>
      <w:pPr>
        <w:pStyle w:val="Heading2"/>
      </w:pPr>
      <w:bookmarkStart w:id="24" w:name="current-sub-processors"/>
      <w:r>
        <w:t xml:space="preserve">Current sub-processors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Sub-processor</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Data processed</w:t>
            </w:r>
          </w:p>
        </w:tc>
      </w:tr>
      <w:tr>
        <w:tc>
          <w:p>
            <w:pPr>
              <w:pStyle w:val="Compact"/>
              <w:jc w:val="left"/>
            </w:pPr>
            <w:r>
              <w:rPr>
                <w:b/>
              </w:rPr>
              <w:t xml:space="preserve">Supabase, Inc.</w:t>
            </w:r>
          </w:p>
        </w:tc>
        <w:tc>
          <w:p>
            <w:pPr>
              <w:pStyle w:val="Compact"/>
              <w:jc w:val="left"/>
            </w:pPr>
            <w:r>
              <w:t xml:space="preserve">Primary hosted database, authentication, file storage, and edge compute</w:t>
            </w:r>
          </w:p>
        </w:tc>
        <w:tc>
          <w:p>
            <w:pPr>
              <w:pStyle w:val="Compact"/>
              <w:jc w:val="left"/>
            </w:pPr>
            <w:r>
              <w:t xml:space="preserve">United States</w:t>
            </w:r>
          </w:p>
        </w:tc>
        <w:tc>
          <w:p>
            <w:pPr>
              <w:pStyle w:val="Compact"/>
              <w:jc w:val="left"/>
            </w:pPr>
            <w:r>
              <w:t xml:space="preserve">All KnockIQ-stored data</w:t>
            </w:r>
          </w:p>
        </w:tc>
      </w:tr>
      <w:tr>
        <w:tc>
          <w:p>
            <w:pPr>
              <w:pStyle w:val="Compact"/>
              <w:jc w:val="left"/>
            </w:pPr>
            <w:r>
              <w:rPr>
                <w:b/>
              </w:rPr>
              <w:t xml:space="preserve">Stripe, Inc.</w:t>
            </w:r>
          </w:p>
        </w:tc>
        <w:tc>
          <w:p>
            <w:pPr>
              <w:pStyle w:val="Compact"/>
              <w:jc w:val="left"/>
            </w:pPr>
            <w:r>
              <w:t xml:space="preserve">Subscription billing and payment processing</w:t>
            </w:r>
          </w:p>
        </w:tc>
        <w:tc>
          <w:p>
            <w:pPr>
              <w:pStyle w:val="Compact"/>
              <w:jc w:val="left"/>
            </w:pPr>
            <w:r>
              <w:t xml:space="preserve">United States</w:t>
            </w:r>
          </w:p>
        </w:tc>
        <w:tc>
          <w:p>
            <w:pPr>
              <w:pStyle w:val="Compact"/>
              <w:jc w:val="left"/>
            </w:pPr>
            <w:r>
              <w:t xml:space="preserve">Customer billing identifiers, billing address, payment events</w:t>
            </w:r>
          </w:p>
        </w:tc>
      </w:tr>
      <w:tr>
        <w:tc>
          <w:p>
            <w:pPr>
              <w:pStyle w:val="Compact"/>
              <w:jc w:val="left"/>
            </w:pPr>
            <w:r>
              <w:rPr>
                <w:b/>
              </w:rPr>
              <w:t xml:space="preserve">Resend</w:t>
            </w:r>
          </w:p>
        </w:tc>
        <w:tc>
          <w:p>
            <w:pPr>
              <w:pStyle w:val="Compact"/>
              <w:jc w:val="left"/>
            </w:pPr>
            <w:r>
              <w:t xml:space="preserve">Transactional email delivery (invitations and account notifications)</w:t>
            </w:r>
          </w:p>
        </w:tc>
        <w:tc>
          <w:p>
            <w:pPr>
              <w:pStyle w:val="Compact"/>
              <w:jc w:val="left"/>
            </w:pPr>
            <w:r>
              <w:t xml:space="preserve">United States / EU</w:t>
            </w:r>
          </w:p>
        </w:tc>
        <w:tc>
          <w:p>
            <w:pPr>
              <w:pStyle w:val="Compact"/>
              <w:jc w:val="left"/>
            </w:pPr>
            <w:r>
              <w:t xml:space="preserve">Recipient name, email address, organization name</w:t>
            </w:r>
          </w:p>
        </w:tc>
      </w:tr>
      <w:tr>
        <w:tc>
          <w:p>
            <w:pPr>
              <w:pStyle w:val="Compact"/>
              <w:jc w:val="left"/>
            </w:pPr>
            <w:r>
              <w:rPr>
                <w:b/>
              </w:rPr>
              <w:t xml:space="preserve">Google Maps Platform — Geocoding API</w:t>
            </w:r>
          </w:p>
        </w:tc>
        <w:tc>
          <w:p>
            <w:pPr>
              <w:pStyle w:val="Compact"/>
              <w:jc w:val="left"/>
            </w:pPr>
            <w:r>
              <w:t xml:space="preserve">Reverse geocoding of doorstep coordinates into addresses</w:t>
            </w:r>
          </w:p>
        </w:tc>
        <w:tc>
          <w:p>
            <w:pPr>
              <w:pStyle w:val="Compact"/>
              <w:jc w:val="left"/>
            </w:pPr>
            <w:r>
              <w:t xml:space="preserve">United States</w:t>
            </w:r>
          </w:p>
        </w:tc>
        <w:tc>
          <w:p>
            <w:pPr>
              <w:pStyle w:val="Compact"/>
              <w:jc w:val="left"/>
            </w:pPr>
            <w:r>
              <w:t xml:space="preserve">Doorstep coordinates</w:t>
            </w:r>
          </w:p>
        </w:tc>
      </w:tr>
      <w:tr>
        <w:tc>
          <w:p>
            <w:pPr>
              <w:pStyle w:val="Compact"/>
              <w:jc w:val="left"/>
            </w:pPr>
            <w:r>
              <w:rPr>
                <w:b/>
              </w:rPr>
              <w:t xml:space="preserve">Google Maps Platform — Solar API</w:t>
            </w:r>
          </w:p>
        </w:tc>
        <w:tc>
          <w:p>
            <w:pPr>
              <w:pStyle w:val="Compact"/>
              <w:jc w:val="left"/>
            </w:pPr>
            <w:r>
              <w:t xml:space="preserve">Roof/property insights for Customers with the Pro "Roof Insights" add-on enabled</w:t>
            </w:r>
          </w:p>
        </w:tc>
        <w:tc>
          <w:p>
            <w:pPr>
              <w:pStyle w:val="Compact"/>
              <w:jc w:val="left"/>
            </w:pPr>
            <w:r>
              <w:t xml:space="preserve">United States</w:t>
            </w:r>
          </w:p>
        </w:tc>
        <w:tc>
          <w:p>
            <w:pPr>
              <w:pStyle w:val="Compact"/>
              <w:jc w:val="left"/>
            </w:pPr>
            <w:r>
              <w:t xml:space="preserve">Visited Person address / doorstep coordinates</w:t>
            </w:r>
          </w:p>
        </w:tc>
      </w:tr>
      <w:tr>
        <w:tc>
          <w:p>
            <w:pPr>
              <w:pStyle w:val="Compact"/>
              <w:jc w:val="left"/>
            </w:pPr>
            <w:r>
              <w:rPr>
                <w:b/>
              </w:rPr>
              <w:t xml:space="preserve">OpenStreetMap Foundation</w:t>
            </w:r>
            <w:r>
              <w:t xml:space="preserve"> </w:t>
            </w:r>
            <w:r>
              <w:t xml:space="preserve">(tiles, Overpass, Nominatim)</w:t>
            </w:r>
          </w:p>
        </w:tc>
        <w:tc>
          <w:p>
            <w:pPr>
              <w:pStyle w:val="Compact"/>
              <w:jc w:val="left"/>
            </w:pPr>
            <w:r>
              <w:t xml:space="preserve">Map rendering and fallback reverse geocoding</w:t>
            </w:r>
          </w:p>
        </w:tc>
        <w:tc>
          <w:p>
            <w:pPr>
              <w:pStyle w:val="Compact"/>
              <w:jc w:val="left"/>
            </w:pPr>
            <w:r>
              <w:t xml:space="preserve">Germany / EU</w:t>
            </w:r>
          </w:p>
        </w:tc>
        <w:tc>
          <w:p>
            <w:pPr>
              <w:pStyle w:val="Compact"/>
              <w:jc w:val="left"/>
            </w:pPr>
            <w:r>
              <w:t xml:space="preserve">Requesting device IP and viewport coordinates; doorstep coordinates during reverse geocoding</w:t>
            </w:r>
          </w:p>
        </w:tc>
      </w:tr>
      <w:tr>
        <w:tc>
          <w:p>
            <w:pPr>
              <w:pStyle w:val="Compact"/>
              <w:jc w:val="left"/>
            </w:pPr>
            <w:r>
              <w:rPr>
                <w:b/>
              </w:rPr>
              <w:t xml:space="preserve">Google Fonts; unpkg.com</w:t>
            </w:r>
          </w:p>
        </w:tc>
        <w:tc>
          <w:p>
            <w:pPr>
              <w:pStyle w:val="Compact"/>
              <w:jc w:val="left"/>
            </w:pPr>
            <w:r>
              <w:t xml:space="preserve">Delivery of static assets (fonts, CSS/JS libraries)</w:t>
            </w:r>
          </w:p>
        </w:tc>
        <w:tc>
          <w:p>
            <w:pPr>
              <w:pStyle w:val="Compact"/>
              <w:jc w:val="left"/>
            </w:pPr>
            <w:r>
              <w:t xml:space="preserve">United States</w:t>
            </w:r>
          </w:p>
        </w:tc>
        <w:tc>
          <w:p>
            <w:pPr>
              <w:pStyle w:val="Compact"/>
              <w:jc w:val="left"/>
            </w:pPr>
            <w:r>
              <w:t xml:space="preserve">Requesting device IP address and user-agent</w:t>
            </w:r>
          </w:p>
        </w:tc>
      </w:tr>
    </w:tbl>
    <w:p>
      <w:pPr>
        <w:pStyle w:val="Heading2"/>
      </w:pPr>
      <w:bookmarkStart w:id="25" w:name="customer-enabled-integrations"/>
      <w:r>
        <w:t xml:space="preserve">Customer-enabled integrations</w:t>
      </w:r>
      <w:bookmarkEnd w:id="25"/>
    </w:p>
    <w:p>
      <w:pPr>
        <w:pStyle w:val="FirstParagraph"/>
      </w:pPr>
      <w:r>
        <w:t xml:space="preserve">If a Customer chooses to enable an outbound webhook integration (for example, Zapier), KnockIQ transmits the data described in our Privacy Policy to the endpoint the Customer configures. The destination, retention, and onward use of that data are controlled by the Customer, and the recipient is not a KnockIQ sub-processor. See Section 5.2 of the Terms of Service.</w:t>
      </w:r>
    </w:p>
    <w:p>
      <w:pPr>
        <w:pStyle w:val="Heading2"/>
      </w:pPr>
      <w:bookmarkStart w:id="26" w:name="what-we-do-not-use"/>
      <w:r>
        <w:t xml:space="preserve">What we do not use</w:t>
      </w:r>
      <w:bookmarkEnd w:id="26"/>
    </w:p>
    <w:p>
      <w:pPr>
        <w:pStyle w:val="FirstParagraph"/>
      </w:pPr>
      <w:r>
        <w:t xml:space="preserve">KnockIQ does not collect audio and uses no audio-transcription or voice-biometric sub-processor. KnockIQ does not currently use third-party analytics, advertising, or cross-site tracking SDKs.</w:t>
      </w:r>
    </w:p>
    <w:p>
      <w:pPr>
        <w:pStyle w:val="Heading2"/>
      </w:pPr>
      <w:bookmarkStart w:id="27" w:name="notifications-of-changes"/>
      <w:r>
        <w:t xml:space="preserve">Notifications of changes</w:t>
      </w:r>
      <w:bookmarkEnd w:id="27"/>
    </w:p>
    <w:p>
      <w:pPr>
        <w:pStyle w:val="FirstParagraph"/>
      </w:pPr>
      <w:r>
        <w:t xml:space="preserve">We update this page before a new sub-processor begins processing personal information. To receive advance email notice of additions or replacements, subscribe by emailing</w:t>
      </w:r>
      <w:r>
        <w:t xml:space="preserve"> </w:t>
      </w:r>
      <w:hyperlink r:id="rId28">
        <w:r>
          <w:rPr>
            <w:rStyle w:val="Hyperlink"/>
            <w:b/>
          </w:rPr>
          <w:t xml:space="preserve">privacy@knockiq.com</w:t>
        </w:r>
      </w:hyperlink>
      <w:r>
        <w:t xml:space="preserve"> </w:t>
      </w:r>
      <w:r>
        <w:t xml:space="preserve">with the subject line "Sub-processor notifications." We provide at least ten (10) days' notice as described in our Data Processing Addendum.</w:t>
      </w:r>
    </w:p>
    <w:p>
      <w:pPr>
        <w:pStyle w:val="Heading2"/>
      </w:pPr>
      <w:bookmarkStart w:id="29" w:name="contact"/>
      <w:r>
        <w:t xml:space="preserve">Contact</w:t>
      </w:r>
      <w:bookmarkEnd w:id="29"/>
    </w:p>
    <w:p>
      <w:pPr>
        <w:pStyle w:val="FirstParagraph"/>
      </w:pPr>
      <w:r>
        <w:t xml:space="preserve">Questions about our sub-processors:</w:t>
      </w:r>
      <w:r>
        <w:t xml:space="preserve"> </w:t>
      </w:r>
      <w:hyperlink r:id="rId28">
        <w:r>
          <w:rPr>
            <w:rStyle w:val="Hyperlink"/>
            <w:b/>
          </w:rPr>
          <w:t xml:space="preserve">privacy@knockiq.com</w:t>
        </w:r>
      </w:hyperlink>
      <w:r>
        <w:t xml:space="preserve"> </w:t>
      </w:r>
      <w:r>
        <w:t xml:space="preserve">· (813) 669-0997 · KnockIQ, LLC, 4609 N Clark Ave, Tampa, FL 33614, United States.</w:t>
      </w:r>
    </w:p>
    <w:p>
      <w:r>
        <w:pict>
          <v:rect style="width:0;height:1.5pt" o:hralign="center" o:hrstd="t" o:hr="t"/>
        </w:pict>
      </w:r>
    </w:p>
    <w:p>
      <w:pPr>
        <w:pStyle w:val="FirstParagraph"/>
      </w:pPr>
      <w:r>
        <w:rPr>
          <w:i/>
        </w:rPr>
        <w:t xml:space="preserve">This page is provided for general informational purposes and does not constitute legal advice.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www.getknockiq.com/dpa" TargetMode="External" /><Relationship Type="http://schemas.openxmlformats.org/officeDocument/2006/relationships/hyperlink" Id="rId21" Target="https://www.getknockiq.com/privacy" TargetMode="External" /><Relationship Type="http://schemas.openxmlformats.org/officeDocument/2006/relationships/hyperlink" Id="rId22" Target="https://www.getknockiq.com/terms" TargetMode="External" /><Relationship Type="http://schemas.openxmlformats.org/officeDocument/2006/relationships/hyperlink" Id="rId28" Target="mailto:privacy@knockiq.com" TargetMode="External" /></Relationships>
</file>

<file path=word/_rels/footnotes.xml.rels><?xml version="1.0" encoding="UTF-8"?>
<Relationships xmlns="http://schemas.openxmlformats.org/package/2006/relationships"><Relationship Type="http://schemas.openxmlformats.org/officeDocument/2006/relationships/hyperlink" Id="rId23" Target="https://www.getknockiq.com/dpa" TargetMode="External" /><Relationship Type="http://schemas.openxmlformats.org/officeDocument/2006/relationships/hyperlink" Id="rId21" Target="https://www.getknockiq.com/privacy" TargetMode="External" /><Relationship Type="http://schemas.openxmlformats.org/officeDocument/2006/relationships/hyperlink" Id="rId22" Target="https://www.getknockiq.com/terms" TargetMode="External" /><Relationship Type="http://schemas.openxmlformats.org/officeDocument/2006/relationships/hyperlink" Id="rId28" Target="mailto:privacy@knockiq.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2026-06-08T14:01:54Z</dcterms:created>
  <dcterms:modified xsi:type="dcterms:W3CDTF">2026-06-08T14:01:54Z</dcterms:modified>
</cp:coreProperties>
</file>

<file path=docProps/custom.xml><?xml version="1.0" encoding="utf-8"?>
<Properties xmlns="http://schemas.openxmlformats.org/officeDocument/2006/custom-properties" xmlns:vt="http://schemas.openxmlformats.org/officeDocument/2006/docPropsVTypes"/>
</file>