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108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6"/>
          <w:u w:val="single"/>
        </w:rPr>
        <w:t>IN THE LAHORE HIGH COURT, LAHORE</w:t>
      </w:r>
      <w:r>
        <w:rPr>
          <w:rFonts w:ascii="" w:hAnsi="" w:eastAsia="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0" w:lineRule="auto" w:before="120" w:after="18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6"/>
          <w:u w:val="single"/>
        </w:rPr>
        <w:t>WRIT PETITION. NO. 77067/2025</w:t>
      </w:r>
      <w:r>
        <w:rPr>
          <w:rFonts w:ascii="" w:hAnsi="" w:eastAsia=""/>
          <w:b/>
          <w:i w:val="0"/>
          <w:color w:val="000000"/>
          <w:sz w:val="2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492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  <w:u w:val="single"/>
              </w:rPr>
              <w:t>MUHAMMAD USMAN DAR</w:t>
            </w: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6" w:after="0"/>
              <w:ind w:left="0" w:right="30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…Petitioner </w:t>
            </w:r>
          </w:p>
        </w:tc>
      </w:tr>
    </w:tbl>
    <w:p>
      <w:pPr>
        <w:autoSpaceDN w:val="0"/>
        <w:autoSpaceDE w:val="0"/>
        <w:widowControl/>
        <w:spacing w:line="240" w:lineRule="auto" w:before="60" w:after="6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6"/>
        </w:rPr>
        <w:t xml:space="preserve">Vs.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490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The State &amp; Others</w:t>
            </w: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38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24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16" w:after="0"/>
              <w:ind w:left="0" w:right="46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>​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7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 …Respondent 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4"/>
          <w:u w:val="single"/>
        </w:rPr>
        <w:t>REPORT ON BEHALF OF SECRETARY, MINISTRY OF INTERIOR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240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Respectfully Sheweth: </w:t>
      </w:r>
    </w:p>
    <w:p>
      <w:pPr>
        <w:autoSpaceDN w:val="0"/>
        <w:autoSpaceDE w:val="0"/>
        <w:widowControl/>
        <w:spacing w:line="271" w:lineRule="auto" w:before="292" w:after="0"/>
        <w:ind w:left="1440" w:right="1374" w:firstLine="72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It is submitted  that the name of Muhammad Usman Dar S/o Imtiaz-ud-Din </w:t>
      </w:r>
      <w:r>
        <w:rPr>
          <w:rFonts w:ascii="" w:hAnsi="" w:eastAsia=""/>
          <w:b w:val="0"/>
          <w:i w:val="0"/>
          <w:color w:val="000000"/>
          <w:sz w:val="24"/>
        </w:rPr>
        <w:t xml:space="preserve">Dar, CNIC # 34603-3335976-5 was placed on ECL on the recommendation of </w:t>
      </w:r>
      <w:r>
        <w:rPr>
          <w:rFonts w:ascii="" w:hAnsi="" w:eastAsia=""/>
          <w:b w:val="0"/>
          <w:i w:val="0"/>
          <w:color w:val="000000"/>
          <w:sz w:val="24"/>
        </w:rPr>
        <w:t xml:space="preserve">Home Department Government of Punjab/City Police Officer Rawalpindi under </w:t>
      </w:r>
      <w:r>
        <w:rPr>
          <w:rFonts w:ascii="" w:hAnsi="" w:eastAsia=""/>
          <w:b w:val="0"/>
          <w:i w:val="0"/>
          <w:color w:val="000000"/>
          <w:sz w:val="24"/>
        </w:rPr>
        <w:t xml:space="preserve">Section 2 of Exit from Pakistan (Control) ordinance 1981 with the approval of </w:t>
      </w:r>
      <w:r>
        <w:rPr>
          <w:rFonts w:ascii="" w:hAnsi="" w:eastAsia=""/>
          <w:b w:val="0"/>
          <w:i w:val="0"/>
          <w:color w:val="000000"/>
          <w:sz w:val="24"/>
        </w:rPr>
        <w:t xml:space="preserve">Federal Government vide Cabinet Decision Case No. 845/Rule-19/2025/1108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dated 03.12.2025. According to Home Department Govt. of Punjab &amp; City Police </w:t>
      </w:r>
      <w:r>
        <w:rPr>
          <w:rFonts w:ascii="" w:hAnsi="" w:eastAsia=""/>
          <w:b w:val="0"/>
          <w:i w:val="0"/>
          <w:color w:val="000000"/>
          <w:sz w:val="24"/>
        </w:rPr>
        <w:t xml:space="preserve">Officer Rawalpindi the accused person is involved in case FIR. No. 708/23 dated </w:t>
      </w:r>
      <w:r>
        <w:rPr>
          <w:rFonts w:ascii="" w:hAnsi="" w:eastAsia=""/>
          <w:b w:val="0"/>
          <w:i w:val="0"/>
          <w:color w:val="000000"/>
          <w:sz w:val="24"/>
        </w:rPr>
        <w:t xml:space="preserve">09.05.2023 U/s 353/186/324/7ATA registered at PS R.A. Bazaar Rawalpindi. </w:t>
      </w:r>
    </w:p>
    <w:p>
      <w:pPr>
        <w:autoSpaceDN w:val="0"/>
        <w:tabs>
          <w:tab w:pos="2160" w:val="left"/>
        </w:tabs>
        <w:autoSpaceDE w:val="0"/>
        <w:widowControl/>
        <w:spacing w:line="269" w:lineRule="auto" w:before="172" w:after="0"/>
        <w:ind w:left="1440" w:right="129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2.</w:t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It is further, submitted </w:t>
      </w:r>
      <w:r>
        <w:rPr>
          <w:rFonts w:ascii="" w:hAnsi="" w:eastAsia=""/>
          <w:b w:val="0"/>
          <w:i w:val="0"/>
          <w:color w:val="000000"/>
          <w:sz w:val="28"/>
        </w:rPr>
        <w:t>t</w:t>
      </w:r>
      <w:r>
        <w:rPr>
          <w:rFonts w:ascii="" w:hAnsi="" w:eastAsia=""/>
          <w:b w:val="0"/>
          <w:i w:val="0"/>
          <w:color w:val="000000"/>
          <w:sz w:val="24"/>
        </w:rPr>
        <w:t xml:space="preserve">hat the Placement/Removal from ECL is the sole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prerogative of the Federal Government in terms of Exit from Pakistan Control </w:t>
      </w:r>
      <w:r>
        <w:rPr>
          <w:rFonts w:ascii="" w:hAnsi="" w:eastAsia=""/>
          <w:b w:val="0"/>
          <w:i w:val="0"/>
          <w:color w:val="000000"/>
          <w:sz w:val="24"/>
        </w:rPr>
        <w:t xml:space="preserve">Ordinance, 1981. The Federal Government has constituted a Sub-Committee on </w:t>
      </w:r>
      <w:r>
        <w:rPr>
          <w:rFonts w:ascii="" w:hAnsi="" w:eastAsia=""/>
          <w:b w:val="0"/>
          <w:i w:val="0"/>
          <w:color w:val="000000"/>
          <w:sz w:val="24"/>
        </w:rPr>
        <w:t xml:space="preserve">ECL to scrutinize the ECL cases vide its Notification No. F-5/13/2024-Com dated </w:t>
      </w:r>
      <w:r>
        <w:rPr>
          <w:rFonts w:ascii="" w:hAnsi="" w:eastAsia=""/>
          <w:b w:val="0"/>
          <w:i w:val="0"/>
          <w:color w:val="000000"/>
          <w:sz w:val="24"/>
        </w:rPr>
        <w:t xml:space="preserve">28-03-2025. 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72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3.</w:t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The Cabinet Sub-Committee on ECL comprises the following Ministers:- </w:t>
      </w:r>
    </w:p>
    <w:p>
      <w:pPr>
        <w:autoSpaceDN w:val="0"/>
        <w:tabs>
          <w:tab w:pos="2160" w:val="left"/>
        </w:tabs>
        <w:autoSpaceDE w:val="0"/>
        <w:widowControl/>
        <w:spacing w:line="266" w:lineRule="auto" w:before="172" w:after="0"/>
        <w:ind w:left="1800" w:right="129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1.</w:t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rPr>
          <w:rFonts w:ascii="" w:hAnsi="" w:eastAsia=""/>
          <w:b w:val="0"/>
          <w:i w:val="0"/>
          <w:color w:val="000000"/>
          <w:sz w:val="24"/>
        </w:rPr>
        <w:t xml:space="preserve"> Federal Law Minister (Chairman)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2.</w:t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rPr>
          <w:rFonts w:ascii="" w:hAnsi="" w:eastAsia=""/>
          <w:b w:val="0"/>
          <w:i w:val="0"/>
          <w:color w:val="000000"/>
          <w:sz w:val="24"/>
        </w:rPr>
        <w:t xml:space="preserve"> Minister for Overseas Pakistanis &amp; Human Resource Development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(Member)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3.</w:t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rPr>
          <w:rFonts w:ascii="" w:hAnsi="" w:eastAsia=""/>
          <w:b w:val="0"/>
          <w:i w:val="0"/>
          <w:color w:val="000000"/>
          <w:sz w:val="24"/>
        </w:rPr>
        <w:t xml:space="preserve"> Minister for National Food Security &amp; Research (Member)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170" w:after="0"/>
        <w:ind w:left="1440" w:right="129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4.</w:t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Afterwards, the recommendations of the Cabinet Sub-Committee on ECL </w:t>
      </w:r>
      <w:r>
        <w:rPr>
          <w:rFonts w:ascii="" w:hAnsi="" w:eastAsia=""/>
          <w:b w:val="0"/>
          <w:i w:val="0"/>
          <w:color w:val="000000"/>
          <w:sz w:val="24"/>
        </w:rPr>
        <w:t xml:space="preserve">were subsequently forwarded to the Cabinet for final approval. </w:t>
      </w:r>
    </w:p>
    <w:p>
      <w:pPr>
        <w:autoSpaceDN w:val="0"/>
        <w:tabs>
          <w:tab w:pos="2160" w:val="left"/>
        </w:tabs>
        <w:autoSpaceDE w:val="0"/>
        <w:widowControl/>
        <w:spacing w:line="257" w:lineRule="auto" w:before="172" w:after="0"/>
        <w:ind w:left="1440" w:right="129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5.</w:t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The case is likely to be considered in the upcoming Cabinet </w:t>
      </w:r>
      <w:r>
        <w:rPr>
          <w:rFonts w:ascii="" w:hAnsi="" w:eastAsia=""/>
          <w:b w:val="0"/>
          <w:i w:val="0"/>
          <w:color w:val="000000"/>
          <w:sz w:val="24"/>
        </w:rPr>
        <w:t xml:space="preserve">Sub-Committee on ECL meeting. </w:t>
      </w:r>
    </w:p>
    <w:p>
      <w:pPr>
        <w:autoSpaceDN w:val="0"/>
        <w:autoSpaceDE w:val="0"/>
        <w:widowControl/>
        <w:spacing w:line="240" w:lineRule="auto" w:before="172" w:after="0"/>
        <w:ind w:left="0" w:right="1498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 xml:space="preserve"> ON BEHALF OF SECRETARY INTERIOR   </w:t>
      </w:r>
    </w:p>
    <w:p>
      <w:pPr>
        <w:autoSpaceDN w:val="0"/>
        <w:autoSpaceDE w:val="0"/>
        <w:widowControl/>
        <w:spacing w:line="245" w:lineRule="auto" w:before="1172" w:after="0"/>
        <w:ind w:left="6768" w:right="1872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 (Muhammad Azeem Akhtar)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 Section Officer (ECL)</w:t>
      </w:r>
    </w:p>
    <w:sectPr w:rsidR="00FC693F" w:rsidRPr="0006063C" w:rsidSect="00034616">
      <w:pgSz w:w="12240" w:h="2016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