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UMBRELLA HEALTH - LEGAL BILLING POLICY (synthetic demo)</w:t>
      </w:r>
    </w:p>
    <w:p>
      <w:r>
        <w:t xml:space="preserve">This policy applies to all outside counsel engaged by Umbrella Health.</w:t>
      </w:r>
    </w:p>
    <w:p>
      <w:r>
        <w:t xml:space="preserve">Section 1. Time Recording</w:t>
      </w:r>
    </w:p>
    <w:p>
      <w:r>
        <w:t xml:space="preserve">1.1 Increments. Time must be recorded in increments of one-tenth of an hour (0.1).</w:t>
      </w:r>
    </w:p>
    <w:p>
      <w:r>
        <w:t xml:space="preserve">1.2 Narrative detail. Narratives under five words, or using "review documents" or "attention to", will be rejected.</w:t>
      </w:r>
    </w:p>
    <w:p>
      <w:r>
        <w:t xml:space="preserve">1.3 Block billing. Each entry must describe a single task; entries combining multiple tasks over 0.5 hours will be rejected.</w:t>
      </w:r>
    </w:p>
    <w:p>
      <w:r>
        <w:t xml:space="preserve">Section 2. Staffing</w:t>
      </w:r>
    </w:p>
    <w:p>
      <w:r>
        <w:t xml:space="preserve">2.1 Depositions. No more than two timekeepers may bill for attending the same deposition on the same day.</w:t>
      </w:r>
    </w:p>
    <w:p>
      <w:r>
        <w:t xml:space="preserve">2.2 Paralegal rate. Paralegal time may not be billed at a rate above $250 per hour.</w:t>
      </w:r>
    </w:p>
    <w:p>
      <w:r>
        <w:t xml:space="preserve">2.3 Internal conferences. Internal conferences between firm timekeepers are not billable.</w:t>
      </w:r>
    </w:p>
    <w:p>
      <w:r>
        <w:t xml:space="preserve">Section 3. General</w:t>
      </w:r>
    </w:p>
    <w:p>
      <w:r>
        <w:t xml:space="preserve">3.1 Value. Staffing and time must be appropriate to the complexity of the matter.</w:t>
      </w:r>
    </w:p>
  </w:body>
</w:document>
</file>