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jc w:val="center"/>
        <w:rPr>
          <w:rFonts w:ascii="Calibri" w:hAnsi="Calibri"/>
        </w:rPr>
      </w:pPr>
      <w:r>
        <w:rPr>
          <w:rFonts w:ascii="Calibri" w:hAnsi="Calibri"/>
          <w:color w:val="000000"/>
          <w:sz w:val="40"/>
          <w:szCs w:val="40"/>
          <w:shd w:fill="FFFFFF" w:val="clear"/>
        </w:rPr>
        <w:t>Архитектура вычислительных систем.</w:t>
      </w:r>
    </w:p>
    <w:p>
      <w:pPr>
        <w:pStyle w:val="Normal"/>
        <w:jc w:val="center"/>
        <w:rPr>
          <w:rFonts w:ascii="Calibri" w:hAnsi="Calibri"/>
        </w:rPr>
      </w:pPr>
      <w:r>
        <w:rPr>
          <w:color w:val="000000"/>
          <w:sz w:val="40"/>
          <w:szCs w:val="40"/>
          <w:shd w:fill="FFFFFF" w:val="clear"/>
        </w:rPr>
        <w:t>Практическое задание 1. Вариант 171.</w:t>
      </w:r>
    </w:p>
    <w:p>
      <w:pPr>
        <w:pStyle w:val="Normal"/>
        <w:jc w:val="center"/>
        <w:rPr>
          <w:rFonts w:ascii="Calibri" w:hAnsi="Calibri"/>
        </w:rPr>
      </w:pPr>
      <w:r>
        <w:rPr>
          <w:color w:val="000000"/>
          <w:sz w:val="40"/>
          <w:szCs w:val="40"/>
          <w:shd w:fill="FFFFFF" w:val="clear"/>
        </w:rPr>
        <w:t>Задание — 3, функция — 13.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264" w:before="0" w:after="175"/>
        <w:ind w:left="10" w:hanging="0"/>
        <w:jc w:val="right"/>
        <w:rPr/>
      </w:pPr>
      <w:r>
        <w:rPr>
          <w:b/>
        </w:rPr>
        <w:t xml:space="preserve"> </w:t>
      </w:r>
    </w:p>
    <w:p>
      <w:pPr>
        <w:pStyle w:val="Normal"/>
        <w:spacing w:before="0" w:after="154"/>
        <w:ind w:left="10" w:right="-9" w:hanging="0"/>
        <w:jc w:val="right"/>
        <w:rPr/>
      </w:pPr>
      <w:r>
        <w:rPr/>
        <w:t>Группа БПИ205</w:t>
      </w:r>
    </w:p>
    <w:p>
      <w:pPr>
        <w:pStyle w:val="Normal"/>
        <w:spacing w:before="0" w:after="185"/>
        <w:ind w:left="10" w:right="-9" w:hanging="0"/>
        <w:jc w:val="right"/>
        <w:rPr/>
      </w:pPr>
      <w:r>
        <w:rPr/>
        <w:t>Зубарев Н.С.</w:t>
      </w:r>
    </w:p>
    <w:p>
      <w:pPr>
        <w:pStyle w:val="Normal"/>
        <w:rPr>
          <w:b/>
          <w:b/>
          <w:szCs w:val="28"/>
        </w:rPr>
      </w:pPr>
      <w:r>
        <w:br w:type="column"/>
      </w:r>
      <w:r>
        <w:rPr>
          <w:b/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rStyle w:val="Fontstyle01"/>
        </w:rPr>
        <w:t>Описание полученного задания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>Существуют три разных объекта — фигуры, имеющие общее поле, плотность материала фигуры (действительное число), и метод, считающий объем фигуры (действительное число).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>- Шар с целочисленным радиусом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>- Параллелепипед с тремя челочисленными ребрами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>- Правильный тетраэдр с челочисленным ребром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>Программа умеет обрабатывать каждый из этих типов. Сортировать все объекты по убыванию с использованием (Shaker Sort).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/>
        <w:t>Объекты соответствующих типов считываются из файла и выводятся в другой файл с указанием их количества два раза, второй раз отсортированными.</w:t>
      </w:r>
    </w:p>
    <w:p>
      <w:pPr>
        <w:pStyle w:val="Normal"/>
        <w:rPr>
          <w:rStyle w:val="Fontstyle01"/>
          <w:rFonts w:ascii="Calibri" w:hAnsi="Calibri" w:ascii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>
          <w:rFonts w:asciiTheme="minorHAnsi" w:hAnsiTheme="minorHAnsi"/>
          <w:b w:val="false"/>
          <w:bCs w:val="false"/>
          <w:color w:val="auto"/>
          <w:sz w:val="22"/>
          <w:szCs w:val="22"/>
        </w:rPr>
      </w:r>
    </w:p>
    <w:p>
      <w:pPr>
        <w:pStyle w:val="Normal"/>
        <w:rPr>
          <w:rFonts w:ascii="TimesNewRomanPS-BoldMT" w:hAnsi="TimesNewRomanPS-BoldMT"/>
          <w:b/>
          <w:b/>
          <w:bCs/>
          <w:color w:val="000000"/>
          <w:sz w:val="28"/>
          <w:szCs w:val="28"/>
        </w:rPr>
      </w:pPr>
      <w:r>
        <w:rPr>
          <w:rStyle w:val="Fontstyle01"/>
        </w:rPr>
        <w:t>Структурная схема изучаемой архитектуры ВС</w:t>
      </w:r>
    </w:p>
    <w:p>
      <w:pPr>
        <w:pStyle w:val="Title"/>
        <w:rPr>
          <w:sz w:val="26"/>
          <w:szCs w:val="26"/>
        </w:rPr>
      </w:pPr>
      <w:r>
        <w:rPr>
          <w:sz w:val="26"/>
          <w:szCs w:val="26"/>
        </w:rPr>
        <w:t>Таблица типов</w:t>
      </w:r>
    </w:p>
    <w:tbl>
      <w:tblPr>
        <w:tblStyle w:val="a3"/>
        <w:tblW w:w="467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6"/>
        <w:gridCol w:w="1416"/>
      </w:tblGrid>
      <w:tr>
        <w:trPr>
          <w:trHeight w:val="561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>
          <w:trHeight w:val="561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rPr>
          <w:trHeight w:val="587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rPr>
          <w:trHeight w:val="587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enum types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3[0]</w:t>
            </w:r>
          </w:p>
        </w:tc>
      </w:tr>
      <w:tr>
        <w:trPr>
          <w:trHeight w:val="561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struct  Figure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enum types type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float density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union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Sphere: sphere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Parallelepiped: parallelepiped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Tetrahedron: tetrahedron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3[0]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rPr>
          <w:trHeight w:val="561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struct Sphere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radius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rPr>
          <w:trHeight w:val="561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struct Parallelepiped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firstEdge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secondEdge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thirdEdge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rPr>
          <w:trHeight w:val="587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struct Tetrahedron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int edge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561" w:hRule="atLeast"/>
        </w:trPr>
        <w:tc>
          <w:tcPr>
            <w:tcW w:w="325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struct Container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size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CAPACITY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struct Fugire* figures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370004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270000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le"/>
        <w:rPr>
          <w:sz w:val="28"/>
          <w:szCs w:val="28"/>
        </w:rPr>
      </w:pPr>
      <w:r>
        <w:rPr>
          <w:sz w:val="28"/>
          <w:szCs w:val="28"/>
        </w:rPr>
        <w:t>Память программы</w:t>
      </w:r>
    </w:p>
    <w:tbl>
      <w:tblPr>
        <w:tblStyle w:val="a3"/>
        <w:tblW w:w="478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8"/>
        <w:gridCol w:w="1243"/>
      </w:tblGrid>
      <w:tr>
        <w:trPr>
          <w:trHeight w:val="947" w:hRule="atLeast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argc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char** argv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Container container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size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FILE* input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FILE* output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270032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270000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8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8</w:t>
            </w:r>
          </w:p>
        </w:tc>
      </w:tr>
      <w:tr>
        <w:trPr>
          <w:trHeight w:val="947" w:hRule="atLeast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fileInput()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Container* container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FILE* input_file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Figure figure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type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rPr>
          <w:trHeight w:val="947" w:hRule="atLeast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fileOutput()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Container* container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FILE* output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947" w:hRule="atLeast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randomInt()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from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to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>
        <w:trPr>
          <w:trHeight w:val="991" w:hRule="atLeast"/>
        </w:trPr>
        <w:tc>
          <w:tcPr>
            <w:tcW w:w="35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randomInputFigure()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Figure* figure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int type</w:t>
            </w:r>
          </w:p>
        </w:tc>
        <w:tc>
          <w:tcPr>
            <w:tcW w:w="124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rStyle w:val="Fontstyle01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20560" cy="36436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Fontstyle01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63500</wp:posOffset>
            </wp:positionH>
            <wp:positionV relativeFrom="paragraph">
              <wp:posOffset>-66040</wp:posOffset>
            </wp:positionV>
            <wp:extent cx="5940425" cy="46488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01"/>
        </w:rPr>
        <w:t>О</w:t>
      </w:r>
      <w:r>
        <w:rPr>
          <w:rStyle w:val="Fontstyle01"/>
        </w:rPr>
        <w:t>сновные характеристики программы</w:t>
      </w:r>
    </w:p>
    <w:p>
      <w:pPr>
        <w:pStyle w:val="Normal"/>
        <w:rPr/>
      </w:pPr>
      <w:r>
        <w:rPr/>
        <w:t xml:space="preserve">Число интерфейсных модулей: </w:t>
      </w:r>
      <w:r>
        <w:rPr/>
        <w:t>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Число модулей реализации: 7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NewRomanPS-Bold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4"/>
    <w:uiPriority w:val="10"/>
    <w:qFormat/>
    <w:rsid w:val="00e55e5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Fontstyle01" w:customStyle="1">
    <w:name w:val="fontstyle01"/>
    <w:basedOn w:val="DefaultParagraphFont"/>
    <w:qFormat/>
    <w:rsid w:val="00c76659"/>
    <w:rPr>
      <w:rFonts w:ascii="TimesNewRomanPS-BoldMT" w:hAnsi="TimesNewRomanPS-BoldMT"/>
      <w:b/>
      <w:bCs/>
      <w:i w:val="false"/>
      <w:iCs w:val="false"/>
      <w:color w:val="000000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a5"/>
    <w:uiPriority w:val="10"/>
    <w:qFormat/>
    <w:rsid w:val="00e55e5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qFormat/>
    <w:rsid w:val="00c7665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f41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Application>LibreOffice/6.4.7.2$Linux_X86_64 LibreOffice_project/40$Build-2</Application>
  <Pages>4</Pages>
  <Words>236</Words>
  <Characters>1354</Characters>
  <CharactersWithSpaces>1490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2021-10-07T18:50:00Z</dcterms:created>
  <dc:creator>Баранюк Ирина Семеновна</dc:creator>
  <dc:description/>
  <dc:language>en-US</dc:language>
  <cp:lastModifiedBy/>
  <dcterms:modified xsi:type="dcterms:W3CDTF">2021-10-11T00:07:10Z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